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375DF">
      <w:pPr>
        <w:rPr>
          <w:rFonts w:eastAsia="仿宋_GB2312"/>
          <w:color w:val="auto"/>
          <w:sz w:val="36"/>
          <w:szCs w:val="36"/>
        </w:rPr>
      </w:pPr>
    </w:p>
    <w:p w14:paraId="534DD91B">
      <w:pPr>
        <w:rPr>
          <w:rFonts w:eastAsia="仿宋_GB2312"/>
          <w:color w:val="auto"/>
          <w:sz w:val="36"/>
          <w:szCs w:val="36"/>
        </w:rPr>
      </w:pPr>
    </w:p>
    <w:p w14:paraId="6C8ECCA1">
      <w:pPr>
        <w:rPr>
          <w:rFonts w:eastAsia="仿宋_GB2312"/>
          <w:color w:val="auto"/>
          <w:sz w:val="36"/>
          <w:szCs w:val="36"/>
        </w:rPr>
      </w:pPr>
    </w:p>
    <w:p w14:paraId="3D4D24F0">
      <w:pPr>
        <w:adjustRightInd w:val="0"/>
        <w:snapToGrid w:val="0"/>
        <w:ind w:firstLine="0" w:firstLineChars="0"/>
        <w:jc w:val="center"/>
        <w:outlineLvl w:val="0"/>
        <w:rPr>
          <w:rFonts w:eastAsia="方正小标宋_GBK"/>
          <w:bCs/>
          <w:color w:val="auto"/>
          <w:sz w:val="72"/>
          <w:szCs w:val="72"/>
        </w:rPr>
      </w:pPr>
      <w:bookmarkStart w:id="0" w:name="_Toc10548"/>
      <w:bookmarkStart w:id="1" w:name="_Toc18209"/>
      <w:r>
        <w:rPr>
          <w:rFonts w:eastAsia="方正小标宋_GBK"/>
          <w:bCs/>
          <w:color w:val="auto"/>
          <w:sz w:val="72"/>
          <w:szCs w:val="72"/>
        </w:rPr>
        <w:t>建设项目环境影响报告表</w:t>
      </w:r>
      <w:bookmarkEnd w:id="0"/>
      <w:bookmarkEnd w:id="1"/>
    </w:p>
    <w:p w14:paraId="538EED1E">
      <w:pPr>
        <w:adjustRightInd w:val="0"/>
        <w:snapToGrid w:val="0"/>
        <w:ind w:firstLine="0" w:firstLineChars="0"/>
        <w:jc w:val="center"/>
        <w:rPr>
          <w:rFonts w:eastAsia="楷体_GB2312"/>
          <w:bCs/>
          <w:color w:val="auto"/>
          <w:sz w:val="48"/>
          <w:szCs w:val="48"/>
        </w:rPr>
      </w:pPr>
      <w:bookmarkStart w:id="2" w:name="_Toc7995"/>
      <w:r>
        <w:rPr>
          <w:rFonts w:eastAsia="楷体_GB2312"/>
          <w:bCs/>
          <w:color w:val="auto"/>
          <w:sz w:val="48"/>
          <w:szCs w:val="48"/>
        </w:rPr>
        <w:t>（污染影响类）</w:t>
      </w:r>
      <w:bookmarkEnd w:id="2"/>
    </w:p>
    <w:p w14:paraId="2D2B8140">
      <w:pPr>
        <w:ind w:firstLine="480"/>
        <w:rPr>
          <w:color w:val="auto"/>
        </w:rPr>
      </w:pPr>
    </w:p>
    <w:p w14:paraId="790A368F">
      <w:pPr>
        <w:ind w:firstLine="480"/>
        <w:rPr>
          <w:color w:val="auto"/>
        </w:rPr>
      </w:pPr>
    </w:p>
    <w:p w14:paraId="17DC02A3">
      <w:pPr>
        <w:ind w:firstLine="480"/>
        <w:rPr>
          <w:color w:val="auto"/>
        </w:rPr>
      </w:pPr>
    </w:p>
    <w:p w14:paraId="6E5DF643">
      <w:pPr>
        <w:ind w:firstLine="480"/>
        <w:rPr>
          <w:color w:val="auto"/>
        </w:rPr>
      </w:pPr>
    </w:p>
    <w:p w14:paraId="4A32EA3B">
      <w:pPr>
        <w:pStyle w:val="12"/>
        <w:rPr>
          <w:color w:val="auto"/>
        </w:rPr>
      </w:pPr>
    </w:p>
    <w:p w14:paraId="25BD5A62">
      <w:pPr>
        <w:ind w:firstLine="480"/>
        <w:rPr>
          <w:color w:val="auto"/>
        </w:rPr>
      </w:pPr>
    </w:p>
    <w:tbl>
      <w:tblPr>
        <w:tblStyle w:val="34"/>
        <w:tblW w:w="4997" w:type="pct"/>
        <w:jc w:val="center"/>
        <w:tblLayout w:type="autofit"/>
        <w:tblCellMar>
          <w:top w:w="0" w:type="dxa"/>
          <w:left w:w="28" w:type="dxa"/>
          <w:bottom w:w="0" w:type="dxa"/>
          <w:right w:w="28" w:type="dxa"/>
        </w:tblCellMar>
      </w:tblPr>
      <w:tblGrid>
        <w:gridCol w:w="2016"/>
        <w:gridCol w:w="6879"/>
      </w:tblGrid>
      <w:tr w14:paraId="28537BED">
        <w:tblPrEx>
          <w:tblCellMar>
            <w:top w:w="0" w:type="dxa"/>
            <w:left w:w="28" w:type="dxa"/>
            <w:bottom w:w="0" w:type="dxa"/>
            <w:right w:w="28" w:type="dxa"/>
          </w:tblCellMar>
        </w:tblPrEx>
        <w:trPr>
          <w:trHeight w:val="688" w:hRule="exact"/>
          <w:jc w:val="center"/>
        </w:trPr>
        <w:tc>
          <w:tcPr>
            <w:tcW w:w="1133" w:type="pct"/>
            <w:tcBorders>
              <w:top w:val="nil"/>
              <w:left w:val="nil"/>
              <w:right w:val="nil"/>
            </w:tcBorders>
            <w:vAlign w:val="center"/>
          </w:tcPr>
          <w:p w14:paraId="6C4126C2">
            <w:pPr>
              <w:adjustRightInd w:val="0"/>
              <w:snapToGrid w:val="0"/>
              <w:spacing w:line="240" w:lineRule="auto"/>
              <w:ind w:firstLine="0" w:firstLineChars="0"/>
              <w:jc w:val="center"/>
              <w:rPr>
                <w:rFonts w:hint="default" w:ascii="Times New Roman" w:hAnsi="Times New Roman" w:eastAsia="仿宋_GB2312" w:cs="Times New Roman"/>
                <w:b w:val="0"/>
                <w:bCs w:val="0"/>
                <w:color w:val="auto"/>
                <w:sz w:val="36"/>
                <w:szCs w:val="36"/>
              </w:rPr>
            </w:pPr>
            <w:r>
              <w:rPr>
                <w:rFonts w:hint="default" w:ascii="Times New Roman" w:hAnsi="Times New Roman" w:eastAsia="仿宋_GB2312" w:cs="Times New Roman"/>
                <w:b w:val="0"/>
                <w:bCs w:val="0"/>
                <w:color w:val="auto"/>
                <w:sz w:val="36"/>
                <w:szCs w:val="36"/>
              </w:rPr>
              <w:t>项目名称：</w:t>
            </w:r>
          </w:p>
        </w:tc>
        <w:tc>
          <w:tcPr>
            <w:tcW w:w="3866" w:type="pct"/>
            <w:tcBorders>
              <w:left w:val="nil"/>
              <w:bottom w:val="single" w:color="auto" w:sz="4" w:space="0"/>
            </w:tcBorders>
            <w:vAlign w:val="center"/>
          </w:tcPr>
          <w:p w14:paraId="1A78D36B">
            <w:pPr>
              <w:adjustRightInd w:val="0"/>
              <w:snapToGrid w:val="0"/>
              <w:spacing w:line="240" w:lineRule="auto"/>
              <w:ind w:firstLine="0" w:firstLineChars="0"/>
              <w:jc w:val="center"/>
              <w:rPr>
                <w:rFonts w:hint="default" w:ascii="Times New Roman" w:hAnsi="Times New Roman" w:eastAsia="仿宋_GB2312" w:cs="Times New Roman"/>
                <w:b w:val="0"/>
                <w:bCs w:val="0"/>
                <w:color w:val="auto"/>
                <w:sz w:val="36"/>
                <w:szCs w:val="36"/>
                <w:lang w:val="en-US" w:eastAsia="zh-CN"/>
              </w:rPr>
            </w:pPr>
            <w:r>
              <w:rPr>
                <w:rFonts w:hint="default" w:ascii="Times New Roman" w:hAnsi="Times New Roman" w:eastAsia="仿宋_GB2312" w:cs="Times New Roman"/>
                <w:b w:val="0"/>
                <w:bCs w:val="0"/>
                <w:color w:val="auto"/>
                <w:sz w:val="36"/>
                <w:szCs w:val="36"/>
                <w:lang w:val="en-US" w:eastAsia="zh-CN"/>
              </w:rPr>
              <w:t>东至县建筑垃圾综合处置项目</w:t>
            </w:r>
          </w:p>
        </w:tc>
      </w:tr>
      <w:tr w14:paraId="07152A64">
        <w:tblPrEx>
          <w:tblCellMar>
            <w:top w:w="0" w:type="dxa"/>
            <w:left w:w="28" w:type="dxa"/>
            <w:bottom w:w="0" w:type="dxa"/>
            <w:right w:w="28" w:type="dxa"/>
          </w:tblCellMar>
        </w:tblPrEx>
        <w:trPr>
          <w:trHeight w:val="949" w:hRule="exact"/>
          <w:jc w:val="center"/>
        </w:trPr>
        <w:tc>
          <w:tcPr>
            <w:tcW w:w="1133" w:type="pct"/>
            <w:tcBorders>
              <w:top w:val="nil"/>
              <w:bottom w:val="nil"/>
              <w:right w:val="nil"/>
            </w:tcBorders>
            <w:vAlign w:val="center"/>
          </w:tcPr>
          <w:p w14:paraId="25C5F496">
            <w:pPr>
              <w:adjustRightInd w:val="0"/>
              <w:snapToGrid w:val="0"/>
              <w:spacing w:line="240" w:lineRule="auto"/>
              <w:ind w:firstLine="0" w:firstLineChars="0"/>
              <w:jc w:val="center"/>
              <w:rPr>
                <w:rFonts w:hint="default" w:ascii="Times New Roman" w:hAnsi="Times New Roman" w:eastAsia="仿宋_GB2312" w:cs="Times New Roman"/>
                <w:b w:val="0"/>
                <w:bCs w:val="0"/>
                <w:color w:val="auto"/>
                <w:sz w:val="36"/>
                <w:szCs w:val="36"/>
              </w:rPr>
            </w:pPr>
            <w:r>
              <w:rPr>
                <w:rFonts w:hint="default" w:ascii="Times New Roman" w:hAnsi="Times New Roman" w:eastAsia="仿宋_GB2312" w:cs="Times New Roman"/>
                <w:b w:val="0"/>
                <w:bCs w:val="0"/>
                <w:color w:val="auto"/>
                <w:sz w:val="36"/>
                <w:szCs w:val="36"/>
              </w:rPr>
              <w:t>建设单位</w:t>
            </w:r>
          </w:p>
          <w:p w14:paraId="3644EEE4">
            <w:pPr>
              <w:adjustRightInd w:val="0"/>
              <w:snapToGrid w:val="0"/>
              <w:spacing w:line="240" w:lineRule="auto"/>
              <w:ind w:firstLine="0" w:firstLineChars="0"/>
              <w:jc w:val="center"/>
              <w:rPr>
                <w:rFonts w:hint="default" w:ascii="Times New Roman" w:hAnsi="Times New Roman" w:eastAsia="仿宋_GB2312" w:cs="Times New Roman"/>
                <w:b w:val="0"/>
                <w:bCs w:val="0"/>
                <w:color w:val="auto"/>
                <w:sz w:val="36"/>
                <w:szCs w:val="36"/>
              </w:rPr>
            </w:pPr>
            <w:r>
              <w:rPr>
                <w:rFonts w:hint="default" w:ascii="Times New Roman" w:hAnsi="Times New Roman" w:eastAsia="仿宋_GB2312" w:cs="Times New Roman"/>
                <w:b w:val="0"/>
                <w:bCs w:val="0"/>
                <w:color w:val="auto"/>
                <w:sz w:val="36"/>
                <w:szCs w:val="36"/>
                <w:lang w:eastAsia="zh-CN"/>
              </w:rPr>
              <w:t>（</w:t>
            </w:r>
            <w:r>
              <w:rPr>
                <w:rFonts w:hint="default" w:ascii="Times New Roman" w:hAnsi="Times New Roman" w:eastAsia="仿宋_GB2312" w:cs="Times New Roman"/>
                <w:b w:val="0"/>
                <w:bCs w:val="0"/>
                <w:color w:val="auto"/>
                <w:sz w:val="36"/>
                <w:szCs w:val="36"/>
              </w:rPr>
              <w:t>盖章</w:t>
            </w:r>
            <w:r>
              <w:rPr>
                <w:rFonts w:hint="default" w:ascii="Times New Roman" w:hAnsi="Times New Roman" w:eastAsia="仿宋_GB2312" w:cs="Times New Roman"/>
                <w:b w:val="0"/>
                <w:bCs w:val="0"/>
                <w:color w:val="auto"/>
                <w:sz w:val="36"/>
                <w:szCs w:val="36"/>
                <w:lang w:eastAsia="zh-CN"/>
              </w:rPr>
              <w:t>）</w:t>
            </w:r>
            <w:r>
              <w:rPr>
                <w:rFonts w:hint="default" w:ascii="Times New Roman" w:hAnsi="Times New Roman" w:eastAsia="仿宋_GB2312" w:cs="Times New Roman"/>
                <w:b w:val="0"/>
                <w:bCs w:val="0"/>
                <w:color w:val="auto"/>
                <w:sz w:val="36"/>
                <w:szCs w:val="36"/>
              </w:rPr>
              <w:t>：</w:t>
            </w:r>
          </w:p>
        </w:tc>
        <w:tc>
          <w:tcPr>
            <w:tcW w:w="3866" w:type="pct"/>
            <w:tcBorders>
              <w:top w:val="single" w:color="auto" w:sz="4" w:space="0"/>
              <w:left w:val="nil"/>
              <w:bottom w:val="single" w:color="auto" w:sz="4" w:space="0"/>
              <w:right w:val="nil"/>
            </w:tcBorders>
            <w:vAlign w:val="center"/>
          </w:tcPr>
          <w:p w14:paraId="0D8D76D9">
            <w:pPr>
              <w:adjustRightInd w:val="0"/>
              <w:snapToGrid w:val="0"/>
              <w:spacing w:line="240" w:lineRule="auto"/>
              <w:ind w:firstLine="0" w:firstLineChars="0"/>
              <w:jc w:val="center"/>
              <w:rPr>
                <w:rFonts w:hint="default" w:ascii="Times New Roman" w:hAnsi="Times New Roman" w:eastAsia="仿宋_GB2312" w:cs="Times New Roman"/>
                <w:b w:val="0"/>
                <w:bCs w:val="0"/>
                <w:color w:val="auto"/>
                <w:sz w:val="36"/>
                <w:szCs w:val="36"/>
                <w:lang w:val="en-US" w:eastAsia="zh-CN"/>
              </w:rPr>
            </w:pPr>
            <w:r>
              <w:rPr>
                <w:rFonts w:hint="default" w:ascii="Times New Roman" w:hAnsi="Times New Roman" w:eastAsia="仿宋_GB2312" w:cs="Times New Roman"/>
                <w:b w:val="0"/>
                <w:bCs w:val="0"/>
                <w:color w:val="auto"/>
                <w:sz w:val="36"/>
                <w:szCs w:val="36"/>
                <w:lang w:val="en-US" w:eastAsia="zh-CN"/>
              </w:rPr>
              <w:t>安徽言尘新能源科技有限公司</w:t>
            </w:r>
          </w:p>
        </w:tc>
      </w:tr>
      <w:tr w14:paraId="7E05597B">
        <w:tblPrEx>
          <w:tblCellMar>
            <w:top w:w="0" w:type="dxa"/>
            <w:left w:w="28" w:type="dxa"/>
            <w:bottom w:w="0" w:type="dxa"/>
            <w:right w:w="28" w:type="dxa"/>
          </w:tblCellMar>
        </w:tblPrEx>
        <w:trPr>
          <w:trHeight w:val="543" w:hRule="exact"/>
          <w:jc w:val="center"/>
        </w:trPr>
        <w:tc>
          <w:tcPr>
            <w:tcW w:w="1133" w:type="pct"/>
            <w:tcBorders>
              <w:top w:val="nil"/>
              <w:left w:val="nil"/>
              <w:bottom w:val="nil"/>
              <w:right w:val="nil"/>
            </w:tcBorders>
            <w:vAlign w:val="center"/>
          </w:tcPr>
          <w:p w14:paraId="520803B6">
            <w:pPr>
              <w:adjustRightInd w:val="0"/>
              <w:snapToGrid w:val="0"/>
              <w:spacing w:line="240" w:lineRule="auto"/>
              <w:ind w:firstLine="0" w:firstLineChars="0"/>
              <w:jc w:val="center"/>
              <w:rPr>
                <w:rFonts w:hint="default" w:ascii="Times New Roman" w:hAnsi="Times New Roman" w:eastAsia="仿宋_GB2312" w:cs="Times New Roman"/>
                <w:b w:val="0"/>
                <w:bCs w:val="0"/>
                <w:color w:val="auto"/>
                <w:sz w:val="36"/>
                <w:szCs w:val="36"/>
              </w:rPr>
            </w:pPr>
            <w:r>
              <w:rPr>
                <w:rFonts w:hint="default" w:ascii="Times New Roman" w:hAnsi="Times New Roman" w:eastAsia="仿宋_GB2312" w:cs="Times New Roman"/>
                <w:b w:val="0"/>
                <w:bCs w:val="0"/>
                <w:color w:val="auto"/>
                <w:sz w:val="36"/>
                <w:szCs w:val="36"/>
              </w:rPr>
              <w:t>编制日期：</w:t>
            </w:r>
          </w:p>
        </w:tc>
        <w:tc>
          <w:tcPr>
            <w:tcW w:w="3866" w:type="pct"/>
            <w:tcBorders>
              <w:top w:val="nil"/>
              <w:left w:val="nil"/>
              <w:bottom w:val="single" w:color="auto" w:sz="4" w:space="0"/>
              <w:right w:val="nil"/>
            </w:tcBorders>
            <w:vAlign w:val="center"/>
          </w:tcPr>
          <w:p w14:paraId="18833E9A">
            <w:pPr>
              <w:adjustRightInd w:val="0"/>
              <w:snapToGrid w:val="0"/>
              <w:spacing w:line="240" w:lineRule="auto"/>
              <w:ind w:firstLine="0" w:firstLineChars="0"/>
              <w:jc w:val="center"/>
              <w:rPr>
                <w:rFonts w:hint="default" w:ascii="Times New Roman" w:hAnsi="Times New Roman" w:eastAsia="仿宋_GB2312" w:cs="Times New Roman"/>
                <w:b w:val="0"/>
                <w:bCs w:val="0"/>
                <w:color w:val="auto"/>
                <w:sz w:val="36"/>
                <w:szCs w:val="36"/>
              </w:rPr>
            </w:pPr>
            <w:r>
              <w:rPr>
                <w:rFonts w:hint="default" w:ascii="Times New Roman" w:hAnsi="Times New Roman" w:eastAsia="仿宋_GB2312" w:cs="Times New Roman"/>
                <w:b w:val="0"/>
                <w:bCs w:val="0"/>
                <w:color w:val="auto"/>
                <w:sz w:val="36"/>
                <w:szCs w:val="36"/>
              </w:rPr>
              <w:t>202</w:t>
            </w:r>
            <w:r>
              <w:rPr>
                <w:rFonts w:hint="default" w:ascii="Times New Roman" w:hAnsi="Times New Roman" w:eastAsia="仿宋_GB2312" w:cs="Times New Roman"/>
                <w:b w:val="0"/>
                <w:bCs w:val="0"/>
                <w:color w:val="auto"/>
                <w:sz w:val="36"/>
                <w:szCs w:val="36"/>
                <w:lang w:val="en-US" w:eastAsia="zh-CN"/>
              </w:rPr>
              <w:t>6</w:t>
            </w:r>
            <w:r>
              <w:rPr>
                <w:rFonts w:hint="default" w:ascii="Times New Roman" w:hAnsi="Times New Roman" w:eastAsia="仿宋_GB2312" w:cs="Times New Roman"/>
                <w:b w:val="0"/>
                <w:bCs w:val="0"/>
                <w:color w:val="auto"/>
                <w:sz w:val="36"/>
                <w:szCs w:val="36"/>
              </w:rPr>
              <w:t>年</w:t>
            </w:r>
            <w:r>
              <w:rPr>
                <w:rFonts w:hint="eastAsia" w:eastAsia="仿宋_GB2312" w:cs="Times New Roman"/>
                <w:b w:val="0"/>
                <w:bCs w:val="0"/>
                <w:color w:val="auto"/>
                <w:sz w:val="36"/>
                <w:szCs w:val="36"/>
                <w:lang w:val="en-US" w:eastAsia="zh-CN"/>
              </w:rPr>
              <w:t>2</w:t>
            </w:r>
            <w:r>
              <w:rPr>
                <w:rFonts w:hint="default" w:ascii="Times New Roman" w:hAnsi="Times New Roman" w:eastAsia="仿宋_GB2312" w:cs="Times New Roman"/>
                <w:b w:val="0"/>
                <w:bCs w:val="0"/>
                <w:color w:val="auto"/>
                <w:sz w:val="36"/>
                <w:szCs w:val="36"/>
              </w:rPr>
              <w:t>月</w:t>
            </w:r>
          </w:p>
        </w:tc>
      </w:tr>
    </w:tbl>
    <w:p w14:paraId="2E46C516">
      <w:pPr>
        <w:adjustRightInd w:val="0"/>
        <w:snapToGrid w:val="0"/>
        <w:spacing w:line="288" w:lineRule="auto"/>
        <w:ind w:firstLine="0" w:firstLineChars="0"/>
        <w:jc w:val="center"/>
        <w:rPr>
          <w:rFonts w:eastAsia="楷体_GB2312"/>
          <w:color w:val="auto"/>
          <w:sz w:val="36"/>
          <w:szCs w:val="36"/>
        </w:rPr>
      </w:pPr>
    </w:p>
    <w:p w14:paraId="6C03AB24">
      <w:pPr>
        <w:adjustRightInd w:val="0"/>
        <w:snapToGrid w:val="0"/>
        <w:spacing w:line="288" w:lineRule="auto"/>
        <w:ind w:firstLine="0" w:firstLineChars="0"/>
        <w:jc w:val="center"/>
        <w:rPr>
          <w:rFonts w:eastAsia="楷体_GB2312"/>
          <w:color w:val="auto"/>
          <w:sz w:val="36"/>
          <w:szCs w:val="36"/>
        </w:rPr>
      </w:pPr>
    </w:p>
    <w:p w14:paraId="63C96F39">
      <w:pPr>
        <w:adjustRightInd w:val="0"/>
        <w:snapToGrid w:val="0"/>
        <w:spacing w:line="288" w:lineRule="auto"/>
        <w:ind w:firstLine="0" w:firstLineChars="0"/>
        <w:jc w:val="center"/>
        <w:rPr>
          <w:rFonts w:eastAsia="楷体_GB2312"/>
          <w:color w:val="auto"/>
          <w:sz w:val="36"/>
          <w:szCs w:val="36"/>
        </w:rPr>
      </w:pPr>
    </w:p>
    <w:p w14:paraId="41BCD452">
      <w:pPr>
        <w:adjustRightInd w:val="0"/>
        <w:snapToGrid w:val="0"/>
        <w:spacing w:line="288" w:lineRule="auto"/>
        <w:ind w:firstLine="0" w:firstLineChars="0"/>
        <w:jc w:val="center"/>
        <w:rPr>
          <w:rFonts w:eastAsia="楷体_GB2312"/>
          <w:color w:val="auto"/>
          <w:sz w:val="36"/>
          <w:szCs w:val="36"/>
        </w:rPr>
      </w:pPr>
    </w:p>
    <w:p w14:paraId="042A15E0">
      <w:pPr>
        <w:adjustRightInd w:val="0"/>
        <w:snapToGrid w:val="0"/>
        <w:spacing w:line="288" w:lineRule="auto"/>
        <w:ind w:firstLine="0" w:firstLineChars="0"/>
        <w:jc w:val="center"/>
        <w:rPr>
          <w:rFonts w:eastAsia="楷体_GB2312"/>
          <w:color w:val="auto"/>
          <w:sz w:val="36"/>
          <w:szCs w:val="36"/>
        </w:rPr>
      </w:pPr>
    </w:p>
    <w:p w14:paraId="5D95DBCF">
      <w:pPr>
        <w:adjustRightInd w:val="0"/>
        <w:snapToGrid w:val="0"/>
        <w:spacing w:line="288" w:lineRule="auto"/>
        <w:ind w:firstLine="0" w:firstLineChars="0"/>
        <w:jc w:val="center"/>
        <w:rPr>
          <w:rFonts w:eastAsia="楷体_GB2312"/>
          <w:color w:val="auto"/>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701" w:right="1531" w:bottom="1701" w:left="1531" w:header="851" w:footer="1077" w:gutter="0"/>
          <w:pgBorders>
            <w:top w:val="none" w:sz="0" w:space="0"/>
            <w:left w:val="none" w:sz="0" w:space="0"/>
            <w:bottom w:val="none" w:sz="0" w:space="0"/>
            <w:right w:val="none" w:sz="0" w:space="0"/>
          </w:pgBorders>
          <w:pgNumType w:fmt="decimalFullWidth" w:start="3"/>
          <w:cols w:space="720" w:num="1"/>
          <w:docGrid w:linePitch="312" w:charSpace="0"/>
        </w:sectPr>
      </w:pPr>
      <w:r>
        <w:rPr>
          <w:rFonts w:eastAsia="楷体_GB2312"/>
          <w:color w:val="auto"/>
          <w:sz w:val="36"/>
          <w:szCs w:val="36"/>
        </w:rPr>
        <w:t>中华人民共和国生态环境部制</w:t>
      </w:r>
    </w:p>
    <w:p w14:paraId="020289B1">
      <w:pPr>
        <w:tabs>
          <w:tab w:val="right" w:leader="dot" w:pos="8844"/>
        </w:tabs>
        <w:ind w:firstLine="0" w:firstLineChars="0"/>
        <w:jc w:val="center"/>
        <w:rPr>
          <w:b/>
          <w:bCs/>
          <w:color w:val="auto"/>
          <w:sz w:val="32"/>
          <w:szCs w:val="32"/>
        </w:rPr>
      </w:pPr>
      <w:r>
        <w:rPr>
          <w:b/>
          <w:bCs/>
          <w:color w:val="auto"/>
          <w:sz w:val="32"/>
          <w:szCs w:val="32"/>
        </w:rPr>
        <w:t>目 录</w:t>
      </w:r>
    </w:p>
    <w:p w14:paraId="36690DB0">
      <w:pPr>
        <w:pStyle w:val="26"/>
        <w:tabs>
          <w:tab w:val="right" w:leader="dot" w:pos="8844"/>
        </w:tabs>
        <w:ind w:firstLine="0" w:firstLineChars="0"/>
        <w:rPr>
          <w:color w:val="auto"/>
          <w:sz w:val="28"/>
          <w:szCs w:val="28"/>
        </w:rPr>
      </w:pPr>
      <w:r>
        <w:rPr>
          <w:color w:val="auto"/>
          <w:sz w:val="28"/>
          <w:szCs w:val="28"/>
        </w:rPr>
        <w:fldChar w:fldCharType="begin"/>
      </w:r>
      <w:r>
        <w:rPr>
          <w:color w:val="auto"/>
          <w:sz w:val="28"/>
          <w:szCs w:val="28"/>
        </w:rPr>
        <w:instrText xml:space="preserve">TOC \o "1-1" \h \u </w:instrText>
      </w:r>
      <w:r>
        <w:rPr>
          <w:color w:val="auto"/>
          <w:sz w:val="28"/>
          <w:szCs w:val="28"/>
        </w:rPr>
        <w:fldChar w:fldCharType="separate"/>
      </w:r>
      <w:r>
        <w:rPr>
          <w:color w:val="auto"/>
        </w:rPr>
        <w:fldChar w:fldCharType="begin"/>
      </w:r>
      <w:r>
        <w:rPr>
          <w:color w:val="auto"/>
        </w:rPr>
        <w:instrText xml:space="preserve"> HYPERLINK \l "_Toc8813" </w:instrText>
      </w:r>
      <w:r>
        <w:rPr>
          <w:color w:val="auto"/>
        </w:rPr>
        <w:fldChar w:fldCharType="separate"/>
      </w:r>
      <w:r>
        <w:rPr>
          <w:color w:val="auto"/>
          <w:sz w:val="28"/>
          <w:szCs w:val="28"/>
        </w:rPr>
        <w:t>一、建设项目基本情况</w:t>
      </w:r>
      <w:r>
        <w:rPr>
          <w:color w:val="auto"/>
          <w:sz w:val="28"/>
          <w:szCs w:val="28"/>
        </w:rPr>
        <w:tab/>
      </w:r>
      <w:r>
        <w:rPr>
          <w:color w:val="auto"/>
          <w:sz w:val="28"/>
          <w:szCs w:val="28"/>
        </w:rPr>
        <w:fldChar w:fldCharType="begin"/>
      </w:r>
      <w:r>
        <w:rPr>
          <w:color w:val="auto"/>
          <w:sz w:val="28"/>
          <w:szCs w:val="28"/>
        </w:rPr>
        <w:instrText xml:space="preserve"> PAGEREF _Toc8813 \h </w:instrText>
      </w:r>
      <w:r>
        <w:rPr>
          <w:color w:val="auto"/>
          <w:sz w:val="28"/>
          <w:szCs w:val="28"/>
        </w:rPr>
        <w:fldChar w:fldCharType="separate"/>
      </w:r>
      <w:r>
        <w:rPr>
          <w:color w:val="auto"/>
          <w:sz w:val="28"/>
          <w:szCs w:val="28"/>
        </w:rPr>
        <w:t>1</w:t>
      </w:r>
      <w:r>
        <w:rPr>
          <w:color w:val="auto"/>
          <w:sz w:val="28"/>
          <w:szCs w:val="28"/>
        </w:rPr>
        <w:fldChar w:fldCharType="end"/>
      </w:r>
      <w:r>
        <w:rPr>
          <w:color w:val="auto"/>
          <w:sz w:val="28"/>
          <w:szCs w:val="28"/>
        </w:rPr>
        <w:fldChar w:fldCharType="end"/>
      </w:r>
    </w:p>
    <w:p w14:paraId="773EF03A">
      <w:pPr>
        <w:pStyle w:val="26"/>
        <w:tabs>
          <w:tab w:val="right" w:leader="dot" w:pos="8844"/>
        </w:tabs>
        <w:ind w:firstLine="0" w:firstLineChars="0"/>
        <w:rPr>
          <w:color w:val="auto"/>
          <w:sz w:val="28"/>
          <w:szCs w:val="28"/>
        </w:rPr>
      </w:pPr>
      <w:r>
        <w:rPr>
          <w:color w:val="auto"/>
        </w:rPr>
        <w:fldChar w:fldCharType="begin"/>
      </w:r>
      <w:r>
        <w:rPr>
          <w:color w:val="auto"/>
        </w:rPr>
        <w:instrText xml:space="preserve"> HYPERLINK \l "_Toc22827" </w:instrText>
      </w:r>
      <w:r>
        <w:rPr>
          <w:color w:val="auto"/>
        </w:rPr>
        <w:fldChar w:fldCharType="separate"/>
      </w:r>
      <w:r>
        <w:rPr>
          <w:color w:val="auto"/>
          <w:sz w:val="28"/>
          <w:szCs w:val="28"/>
        </w:rPr>
        <w:t>二、建设项目工程分析</w:t>
      </w:r>
      <w:r>
        <w:rPr>
          <w:color w:val="auto"/>
          <w:sz w:val="28"/>
          <w:szCs w:val="28"/>
        </w:rPr>
        <w:tab/>
      </w:r>
      <w:r>
        <w:rPr>
          <w:color w:val="auto"/>
          <w:sz w:val="28"/>
          <w:szCs w:val="28"/>
        </w:rPr>
        <w:fldChar w:fldCharType="begin"/>
      </w:r>
      <w:r>
        <w:rPr>
          <w:color w:val="auto"/>
          <w:sz w:val="28"/>
          <w:szCs w:val="28"/>
        </w:rPr>
        <w:instrText xml:space="preserve"> PAGEREF _Toc22827 \h </w:instrText>
      </w:r>
      <w:r>
        <w:rPr>
          <w:color w:val="auto"/>
          <w:sz w:val="28"/>
          <w:szCs w:val="28"/>
        </w:rPr>
        <w:fldChar w:fldCharType="separate"/>
      </w:r>
      <w:r>
        <w:rPr>
          <w:color w:val="auto"/>
          <w:sz w:val="28"/>
          <w:szCs w:val="28"/>
        </w:rPr>
        <w:t>26</w:t>
      </w:r>
      <w:r>
        <w:rPr>
          <w:color w:val="auto"/>
          <w:sz w:val="28"/>
          <w:szCs w:val="28"/>
        </w:rPr>
        <w:fldChar w:fldCharType="end"/>
      </w:r>
      <w:r>
        <w:rPr>
          <w:color w:val="auto"/>
          <w:sz w:val="28"/>
          <w:szCs w:val="28"/>
        </w:rPr>
        <w:fldChar w:fldCharType="end"/>
      </w:r>
    </w:p>
    <w:p w14:paraId="4492E95D">
      <w:pPr>
        <w:pStyle w:val="26"/>
        <w:tabs>
          <w:tab w:val="right" w:leader="dot" w:pos="8844"/>
        </w:tabs>
        <w:ind w:firstLine="0" w:firstLineChars="0"/>
        <w:rPr>
          <w:color w:val="auto"/>
          <w:sz w:val="28"/>
          <w:szCs w:val="28"/>
        </w:rPr>
      </w:pPr>
      <w:r>
        <w:rPr>
          <w:color w:val="auto"/>
        </w:rPr>
        <w:fldChar w:fldCharType="begin"/>
      </w:r>
      <w:r>
        <w:rPr>
          <w:color w:val="auto"/>
        </w:rPr>
        <w:instrText xml:space="preserve"> HYPERLINK \l "_Toc8636" </w:instrText>
      </w:r>
      <w:r>
        <w:rPr>
          <w:color w:val="auto"/>
        </w:rPr>
        <w:fldChar w:fldCharType="separate"/>
      </w:r>
      <w:r>
        <w:rPr>
          <w:color w:val="auto"/>
          <w:sz w:val="28"/>
          <w:szCs w:val="28"/>
        </w:rPr>
        <w:t>三、区域环境质量现状、环境保护目标及评价标准</w:t>
      </w:r>
      <w:r>
        <w:rPr>
          <w:color w:val="auto"/>
          <w:sz w:val="28"/>
          <w:szCs w:val="28"/>
        </w:rPr>
        <w:tab/>
      </w:r>
      <w:r>
        <w:rPr>
          <w:color w:val="auto"/>
          <w:sz w:val="28"/>
          <w:szCs w:val="28"/>
        </w:rPr>
        <w:fldChar w:fldCharType="begin"/>
      </w:r>
      <w:r>
        <w:rPr>
          <w:color w:val="auto"/>
          <w:sz w:val="28"/>
          <w:szCs w:val="28"/>
        </w:rPr>
        <w:instrText xml:space="preserve"> PAGEREF _Toc8636 \h </w:instrText>
      </w:r>
      <w:r>
        <w:rPr>
          <w:color w:val="auto"/>
          <w:sz w:val="28"/>
          <w:szCs w:val="28"/>
        </w:rPr>
        <w:fldChar w:fldCharType="separate"/>
      </w:r>
      <w:r>
        <w:rPr>
          <w:color w:val="auto"/>
          <w:sz w:val="28"/>
          <w:szCs w:val="28"/>
        </w:rPr>
        <w:t>42</w:t>
      </w:r>
      <w:r>
        <w:rPr>
          <w:color w:val="auto"/>
          <w:sz w:val="28"/>
          <w:szCs w:val="28"/>
        </w:rPr>
        <w:fldChar w:fldCharType="end"/>
      </w:r>
      <w:r>
        <w:rPr>
          <w:color w:val="auto"/>
          <w:sz w:val="28"/>
          <w:szCs w:val="28"/>
        </w:rPr>
        <w:fldChar w:fldCharType="end"/>
      </w:r>
    </w:p>
    <w:p w14:paraId="530F7E35">
      <w:pPr>
        <w:pStyle w:val="26"/>
        <w:tabs>
          <w:tab w:val="right" w:leader="dot" w:pos="8844"/>
        </w:tabs>
        <w:ind w:firstLine="0" w:firstLineChars="0"/>
        <w:rPr>
          <w:color w:val="auto"/>
          <w:sz w:val="28"/>
          <w:szCs w:val="28"/>
        </w:rPr>
      </w:pPr>
      <w:r>
        <w:rPr>
          <w:color w:val="auto"/>
        </w:rPr>
        <w:fldChar w:fldCharType="begin"/>
      </w:r>
      <w:r>
        <w:rPr>
          <w:color w:val="auto"/>
        </w:rPr>
        <w:instrText xml:space="preserve"> HYPERLINK \l "_Toc28059" </w:instrText>
      </w:r>
      <w:r>
        <w:rPr>
          <w:color w:val="auto"/>
        </w:rPr>
        <w:fldChar w:fldCharType="separate"/>
      </w:r>
      <w:r>
        <w:rPr>
          <w:snapToGrid w:val="0"/>
          <w:color w:val="auto"/>
          <w:sz w:val="28"/>
          <w:szCs w:val="28"/>
        </w:rPr>
        <w:t>四、主要环境影响和保护措施</w:t>
      </w:r>
      <w:r>
        <w:rPr>
          <w:color w:val="auto"/>
          <w:sz w:val="28"/>
          <w:szCs w:val="28"/>
        </w:rPr>
        <w:tab/>
      </w:r>
      <w:r>
        <w:rPr>
          <w:color w:val="auto"/>
          <w:sz w:val="28"/>
          <w:szCs w:val="28"/>
        </w:rPr>
        <w:fldChar w:fldCharType="begin"/>
      </w:r>
      <w:r>
        <w:rPr>
          <w:color w:val="auto"/>
          <w:sz w:val="28"/>
          <w:szCs w:val="28"/>
        </w:rPr>
        <w:instrText xml:space="preserve"> PAGEREF _Toc28059 \h </w:instrText>
      </w:r>
      <w:r>
        <w:rPr>
          <w:color w:val="auto"/>
          <w:sz w:val="28"/>
          <w:szCs w:val="28"/>
        </w:rPr>
        <w:fldChar w:fldCharType="separate"/>
      </w:r>
      <w:r>
        <w:rPr>
          <w:color w:val="auto"/>
          <w:sz w:val="28"/>
          <w:szCs w:val="28"/>
        </w:rPr>
        <w:t>48</w:t>
      </w:r>
      <w:r>
        <w:rPr>
          <w:color w:val="auto"/>
          <w:sz w:val="28"/>
          <w:szCs w:val="28"/>
        </w:rPr>
        <w:fldChar w:fldCharType="end"/>
      </w:r>
      <w:r>
        <w:rPr>
          <w:color w:val="auto"/>
          <w:sz w:val="28"/>
          <w:szCs w:val="28"/>
        </w:rPr>
        <w:fldChar w:fldCharType="end"/>
      </w:r>
    </w:p>
    <w:p w14:paraId="1469A6E6">
      <w:pPr>
        <w:pStyle w:val="26"/>
        <w:tabs>
          <w:tab w:val="right" w:leader="dot" w:pos="8844"/>
        </w:tabs>
        <w:ind w:firstLine="0" w:firstLineChars="0"/>
        <w:rPr>
          <w:color w:val="auto"/>
          <w:sz w:val="28"/>
          <w:szCs w:val="28"/>
        </w:rPr>
      </w:pPr>
      <w:r>
        <w:rPr>
          <w:color w:val="auto"/>
        </w:rPr>
        <w:fldChar w:fldCharType="begin"/>
      </w:r>
      <w:r>
        <w:rPr>
          <w:color w:val="auto"/>
        </w:rPr>
        <w:instrText xml:space="preserve"> HYPERLINK \l "_Toc5498" </w:instrText>
      </w:r>
      <w:r>
        <w:rPr>
          <w:color w:val="auto"/>
        </w:rPr>
        <w:fldChar w:fldCharType="separate"/>
      </w:r>
      <w:r>
        <w:rPr>
          <w:color w:val="auto"/>
          <w:sz w:val="28"/>
          <w:szCs w:val="28"/>
        </w:rPr>
        <w:t>五、环境保护措施监督检查清单</w:t>
      </w:r>
      <w:r>
        <w:rPr>
          <w:color w:val="auto"/>
          <w:sz w:val="28"/>
          <w:szCs w:val="28"/>
        </w:rPr>
        <w:tab/>
      </w:r>
      <w:r>
        <w:rPr>
          <w:color w:val="auto"/>
          <w:sz w:val="28"/>
          <w:szCs w:val="28"/>
        </w:rPr>
        <w:fldChar w:fldCharType="begin"/>
      </w:r>
      <w:r>
        <w:rPr>
          <w:color w:val="auto"/>
          <w:sz w:val="28"/>
          <w:szCs w:val="28"/>
        </w:rPr>
        <w:instrText xml:space="preserve"> PAGEREF _Toc5498 \h </w:instrText>
      </w:r>
      <w:r>
        <w:rPr>
          <w:color w:val="auto"/>
          <w:sz w:val="28"/>
          <w:szCs w:val="28"/>
        </w:rPr>
        <w:fldChar w:fldCharType="separate"/>
      </w:r>
      <w:r>
        <w:rPr>
          <w:color w:val="auto"/>
          <w:sz w:val="28"/>
          <w:szCs w:val="28"/>
        </w:rPr>
        <w:t>72</w:t>
      </w:r>
      <w:r>
        <w:rPr>
          <w:color w:val="auto"/>
          <w:sz w:val="28"/>
          <w:szCs w:val="28"/>
        </w:rPr>
        <w:fldChar w:fldCharType="end"/>
      </w:r>
      <w:r>
        <w:rPr>
          <w:color w:val="auto"/>
          <w:sz w:val="28"/>
          <w:szCs w:val="28"/>
        </w:rPr>
        <w:fldChar w:fldCharType="end"/>
      </w:r>
    </w:p>
    <w:p w14:paraId="343491C2">
      <w:pPr>
        <w:pStyle w:val="26"/>
        <w:tabs>
          <w:tab w:val="right" w:leader="dot" w:pos="8844"/>
        </w:tabs>
        <w:ind w:firstLine="0" w:firstLineChars="0"/>
        <w:rPr>
          <w:color w:val="auto"/>
          <w:sz w:val="28"/>
          <w:szCs w:val="28"/>
        </w:rPr>
      </w:pPr>
      <w:r>
        <w:rPr>
          <w:color w:val="auto"/>
        </w:rPr>
        <w:fldChar w:fldCharType="begin"/>
      </w:r>
      <w:r>
        <w:rPr>
          <w:color w:val="auto"/>
        </w:rPr>
        <w:instrText xml:space="preserve"> HYPERLINK \l "_Toc18137" </w:instrText>
      </w:r>
      <w:r>
        <w:rPr>
          <w:color w:val="auto"/>
        </w:rPr>
        <w:fldChar w:fldCharType="separate"/>
      </w:r>
      <w:r>
        <w:rPr>
          <w:snapToGrid w:val="0"/>
          <w:color w:val="auto"/>
          <w:sz w:val="28"/>
          <w:szCs w:val="28"/>
        </w:rPr>
        <w:t>六、结论</w:t>
      </w:r>
      <w:r>
        <w:rPr>
          <w:color w:val="auto"/>
          <w:sz w:val="28"/>
          <w:szCs w:val="28"/>
        </w:rPr>
        <w:tab/>
      </w:r>
      <w:r>
        <w:rPr>
          <w:color w:val="auto"/>
          <w:sz w:val="28"/>
          <w:szCs w:val="28"/>
        </w:rPr>
        <w:fldChar w:fldCharType="begin"/>
      </w:r>
      <w:r>
        <w:rPr>
          <w:color w:val="auto"/>
          <w:sz w:val="28"/>
          <w:szCs w:val="28"/>
        </w:rPr>
        <w:instrText xml:space="preserve"> PAGEREF _Toc18137 \h </w:instrText>
      </w:r>
      <w:r>
        <w:rPr>
          <w:color w:val="auto"/>
          <w:sz w:val="28"/>
          <w:szCs w:val="28"/>
        </w:rPr>
        <w:fldChar w:fldCharType="separate"/>
      </w:r>
      <w:r>
        <w:rPr>
          <w:color w:val="auto"/>
          <w:sz w:val="28"/>
          <w:szCs w:val="28"/>
        </w:rPr>
        <w:t>88</w:t>
      </w:r>
      <w:r>
        <w:rPr>
          <w:color w:val="auto"/>
          <w:sz w:val="28"/>
          <w:szCs w:val="28"/>
        </w:rPr>
        <w:fldChar w:fldCharType="end"/>
      </w:r>
      <w:r>
        <w:rPr>
          <w:color w:val="auto"/>
          <w:sz w:val="28"/>
          <w:szCs w:val="28"/>
        </w:rPr>
        <w:fldChar w:fldCharType="end"/>
      </w:r>
    </w:p>
    <w:p w14:paraId="5FC88EE6">
      <w:pPr>
        <w:pStyle w:val="26"/>
        <w:tabs>
          <w:tab w:val="right" w:leader="dot" w:pos="8844"/>
        </w:tabs>
        <w:ind w:firstLine="0" w:firstLineChars="0"/>
        <w:rPr>
          <w:color w:val="auto"/>
          <w:sz w:val="28"/>
          <w:szCs w:val="28"/>
        </w:rPr>
      </w:pPr>
    </w:p>
    <w:p w14:paraId="2C1EFC13">
      <w:pPr>
        <w:ind w:firstLine="0" w:firstLineChars="0"/>
        <w:rPr>
          <w:color w:val="auto"/>
        </w:rPr>
      </w:pPr>
      <w:r>
        <w:rPr>
          <w:color w:val="auto"/>
          <w:sz w:val="28"/>
          <w:szCs w:val="28"/>
        </w:rPr>
        <w:fldChar w:fldCharType="end"/>
      </w:r>
    </w:p>
    <w:p w14:paraId="3BB93BAB">
      <w:pPr>
        <w:ind w:firstLine="480"/>
        <w:rPr>
          <w:color w:val="auto"/>
        </w:rPr>
      </w:pPr>
    </w:p>
    <w:p w14:paraId="4C32F5FF">
      <w:pPr>
        <w:pStyle w:val="18"/>
        <w:ind w:firstLine="480"/>
        <w:rPr>
          <w:rFonts w:ascii="Times New Roman" w:hAnsi="Times New Roman"/>
          <w:color w:val="auto"/>
        </w:rPr>
      </w:pPr>
    </w:p>
    <w:p w14:paraId="5A142089">
      <w:pPr>
        <w:ind w:firstLine="480"/>
        <w:rPr>
          <w:color w:val="auto"/>
        </w:rPr>
      </w:pPr>
    </w:p>
    <w:p w14:paraId="51310CFF">
      <w:pPr>
        <w:adjustRightInd w:val="0"/>
        <w:snapToGrid w:val="0"/>
        <w:ind w:firstLine="0" w:firstLineChars="0"/>
        <w:rPr>
          <w:b/>
          <w:bCs/>
          <w:color w:val="auto"/>
          <w:sz w:val="28"/>
          <w:szCs w:val="28"/>
        </w:rPr>
        <w:sectPr>
          <w:footerReference r:id="rId11" w:type="default"/>
          <w:pgSz w:w="11906" w:h="16838"/>
          <w:pgMar w:top="1701" w:right="1531" w:bottom="1701" w:left="1531" w:header="851" w:footer="1077" w:gutter="0"/>
          <w:pgBorders>
            <w:top w:val="none" w:sz="0" w:space="0"/>
            <w:left w:val="none" w:sz="0" w:space="0"/>
            <w:bottom w:val="none" w:sz="0" w:space="0"/>
            <w:right w:val="none" w:sz="0" w:space="0"/>
          </w:pgBorders>
          <w:pgNumType w:fmt="decimalFullWidth" w:start="1"/>
          <w:cols w:space="720" w:num="1"/>
          <w:docGrid w:linePitch="312" w:charSpace="0"/>
        </w:sectPr>
      </w:pPr>
    </w:p>
    <w:p w14:paraId="126EE49B">
      <w:pPr>
        <w:adjustRightInd w:val="0"/>
        <w:snapToGrid w:val="0"/>
        <w:spacing w:line="312" w:lineRule="auto"/>
        <w:ind w:firstLine="0" w:firstLineChars="0"/>
        <w:rPr>
          <w:b/>
          <w:bCs/>
          <w:color w:val="auto"/>
          <w:sz w:val="28"/>
          <w:szCs w:val="28"/>
        </w:rPr>
      </w:pPr>
    </w:p>
    <w:p w14:paraId="3AD12B18">
      <w:pPr>
        <w:rPr>
          <w:rFonts w:hint="default"/>
          <w:color w:val="auto"/>
          <w:lang w:val="en-US" w:eastAsia="zh-CN"/>
        </w:rPr>
      </w:pPr>
    </w:p>
    <w:p w14:paraId="76F4B02C">
      <w:pPr>
        <w:adjustRightInd w:val="0"/>
        <w:snapToGrid w:val="0"/>
        <w:spacing w:line="360" w:lineRule="auto"/>
        <w:ind w:firstLine="0" w:firstLineChars="0"/>
        <w:rPr>
          <w:b/>
          <w:bCs/>
          <w:color w:val="auto"/>
          <w:sz w:val="28"/>
          <w:szCs w:val="28"/>
        </w:rPr>
      </w:pPr>
      <w:r>
        <w:rPr>
          <w:b/>
          <w:bCs/>
          <w:color w:val="auto"/>
          <w:sz w:val="28"/>
          <w:szCs w:val="28"/>
        </w:rPr>
        <w:t>附件：</w:t>
      </w:r>
    </w:p>
    <w:p w14:paraId="24179287">
      <w:pPr>
        <w:spacing w:line="360" w:lineRule="auto"/>
        <w:ind w:firstLine="480"/>
        <w:rPr>
          <w:color w:val="auto"/>
        </w:rPr>
      </w:pPr>
      <w:r>
        <w:rPr>
          <w:color w:val="auto"/>
        </w:rPr>
        <w:t xml:space="preserve">附件1 </w:t>
      </w:r>
      <w:r>
        <w:rPr>
          <w:rFonts w:hint="eastAsia"/>
          <w:color w:val="auto"/>
          <w:lang w:val="en-US" w:eastAsia="zh-CN"/>
        </w:rPr>
        <w:t>环评</w:t>
      </w:r>
      <w:r>
        <w:rPr>
          <w:color w:val="auto"/>
        </w:rPr>
        <w:t>委托书</w:t>
      </w:r>
    </w:p>
    <w:p w14:paraId="375D1957">
      <w:pPr>
        <w:spacing w:line="360" w:lineRule="auto"/>
        <w:ind w:firstLine="480"/>
        <w:rPr>
          <w:color w:val="auto"/>
        </w:rPr>
      </w:pPr>
      <w:r>
        <w:rPr>
          <w:color w:val="auto"/>
        </w:rPr>
        <w:t>附件2 项目备案表</w:t>
      </w:r>
    </w:p>
    <w:p w14:paraId="22020A6A">
      <w:pPr>
        <w:pStyle w:val="18"/>
        <w:spacing w:line="360" w:lineRule="auto"/>
        <w:ind w:firstLine="480"/>
        <w:rPr>
          <w:rFonts w:hint="default" w:ascii="Times New Roman" w:hAnsi="Times New Roman" w:eastAsia="宋体"/>
          <w:color w:val="auto"/>
          <w:lang w:val="en-US" w:eastAsia="zh-CN"/>
        </w:rPr>
      </w:pPr>
      <w:r>
        <w:rPr>
          <w:rFonts w:hint="eastAsia" w:ascii="Times New Roman" w:hAnsi="Times New Roman"/>
          <w:color w:val="auto"/>
        </w:rPr>
        <w:t>附件</w:t>
      </w:r>
      <w:r>
        <w:rPr>
          <w:rFonts w:hint="eastAsia" w:ascii="Times New Roman" w:hAnsi="Times New Roman"/>
          <w:color w:val="auto"/>
          <w:lang w:val="en-US" w:eastAsia="zh-CN"/>
        </w:rPr>
        <w:t>3</w:t>
      </w:r>
      <w:r>
        <w:rPr>
          <w:rFonts w:hint="eastAsia" w:ascii="Times New Roman" w:hAnsi="Times New Roman"/>
          <w:color w:val="auto"/>
        </w:rPr>
        <w:t xml:space="preserve"> </w:t>
      </w:r>
      <w:r>
        <w:rPr>
          <w:rFonts w:hint="eastAsia" w:ascii="Times New Roman" w:hAnsi="Times New Roman"/>
          <w:color w:val="auto"/>
          <w:lang w:val="en-US" w:eastAsia="zh-CN"/>
        </w:rPr>
        <w:t>企业营业执照</w:t>
      </w:r>
    </w:p>
    <w:p w14:paraId="4F2BE31B">
      <w:pPr>
        <w:pStyle w:val="11"/>
        <w:rPr>
          <w:rFonts w:hint="default"/>
          <w:color w:val="auto"/>
          <w:lang w:val="en-US" w:eastAsia="zh-CN"/>
        </w:rPr>
      </w:pPr>
      <w:r>
        <w:rPr>
          <w:rFonts w:hint="eastAsia"/>
          <w:color w:val="auto"/>
          <w:lang w:val="en-US" w:eastAsia="zh-CN"/>
        </w:rPr>
        <w:t>附件4 法人身份证</w:t>
      </w:r>
    </w:p>
    <w:p w14:paraId="22FD057E">
      <w:pPr>
        <w:rPr>
          <w:rFonts w:hint="eastAsia"/>
          <w:color w:val="auto"/>
          <w:lang w:val="en-US" w:eastAsia="zh-CN"/>
        </w:rPr>
      </w:pPr>
      <w:r>
        <w:rPr>
          <w:rFonts w:hint="eastAsia"/>
          <w:color w:val="auto"/>
          <w:lang w:val="en-US" w:eastAsia="zh-CN"/>
        </w:rPr>
        <w:t>附件5 真实性确认函</w:t>
      </w:r>
    </w:p>
    <w:p w14:paraId="3C78F732">
      <w:pPr>
        <w:rPr>
          <w:rFonts w:hint="eastAsia"/>
          <w:color w:val="auto"/>
          <w:lang w:val="en-US" w:eastAsia="zh-CN"/>
        </w:rPr>
      </w:pPr>
      <w:r>
        <w:rPr>
          <w:rFonts w:hint="eastAsia"/>
          <w:color w:val="auto"/>
          <w:lang w:val="en-US" w:eastAsia="zh-CN"/>
        </w:rPr>
        <w:t>附件6项目用地文件</w:t>
      </w:r>
    </w:p>
    <w:p w14:paraId="673242AC">
      <w:pPr>
        <w:rPr>
          <w:rFonts w:hint="default"/>
          <w:color w:val="auto"/>
          <w:lang w:val="en-US" w:eastAsia="zh-CN"/>
        </w:rPr>
      </w:pPr>
      <w:r>
        <w:rPr>
          <w:rFonts w:hint="eastAsia"/>
          <w:color w:val="auto"/>
          <w:lang w:val="en-US" w:eastAsia="zh-CN"/>
        </w:rPr>
        <w:t>附件7项目建设工程规划许可证</w:t>
      </w:r>
    </w:p>
    <w:p w14:paraId="4B05C5E8">
      <w:pPr>
        <w:ind w:firstLine="480"/>
        <w:rPr>
          <w:color w:val="auto"/>
        </w:rPr>
      </w:pPr>
    </w:p>
    <w:p w14:paraId="37862B73">
      <w:pPr>
        <w:adjustRightInd w:val="0"/>
        <w:snapToGrid w:val="0"/>
        <w:ind w:firstLine="480"/>
        <w:jc w:val="center"/>
        <w:rPr>
          <w:rFonts w:eastAsia="楷体_GB2312"/>
          <w:color w:val="auto"/>
        </w:rPr>
      </w:pPr>
    </w:p>
    <w:p w14:paraId="2292C7F8">
      <w:pPr>
        <w:adjustRightInd w:val="0"/>
        <w:snapToGrid w:val="0"/>
        <w:spacing w:line="360" w:lineRule="auto"/>
        <w:ind w:firstLine="0" w:firstLineChars="0"/>
        <w:rPr>
          <w:b/>
          <w:bCs/>
          <w:color w:val="auto"/>
          <w:sz w:val="28"/>
          <w:szCs w:val="28"/>
        </w:rPr>
      </w:pPr>
      <w:r>
        <w:rPr>
          <w:b/>
          <w:bCs/>
          <w:color w:val="auto"/>
          <w:sz w:val="28"/>
          <w:szCs w:val="28"/>
        </w:rPr>
        <w:t>附图：</w:t>
      </w:r>
    </w:p>
    <w:p w14:paraId="46EDFEB1">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cs="Times New Roman"/>
          <w:color w:val="auto"/>
          <w:lang w:val="en-US" w:eastAsia="zh-CN"/>
        </w:rPr>
        <w:t xml:space="preserve">附图1 </w:t>
      </w:r>
      <w:r>
        <w:rPr>
          <w:rFonts w:hint="default" w:ascii="Times New Roman" w:hAnsi="Times New Roman" w:cs="Times New Roman"/>
          <w:color w:val="auto"/>
        </w:rPr>
        <w:t>建设项目地理位置图</w:t>
      </w:r>
    </w:p>
    <w:p w14:paraId="03AD044A">
      <w:pPr>
        <w:spacing w:line="360" w:lineRule="auto"/>
        <w:ind w:firstLine="480"/>
        <w:rPr>
          <w:rFonts w:hint="default" w:ascii="Times New Roman" w:hAnsi="Times New Roman" w:eastAsia="宋体" w:cs="Times New Roman"/>
          <w:color w:val="auto"/>
          <w:lang w:val="en-US" w:eastAsia="zh-CN"/>
        </w:rPr>
      </w:pPr>
      <w:r>
        <w:rPr>
          <w:rFonts w:hint="default" w:ascii="Times New Roman" w:hAnsi="Times New Roman" w:cs="Times New Roman"/>
          <w:color w:val="auto"/>
        </w:rPr>
        <w:t>附图</w:t>
      </w:r>
      <w:r>
        <w:rPr>
          <w:rFonts w:hint="default" w:ascii="Times New Roman" w:hAnsi="Times New Roman" w:cs="Times New Roman"/>
          <w:color w:val="auto"/>
          <w:lang w:val="en-US" w:eastAsia="zh-CN"/>
        </w:rPr>
        <w:t>2</w:t>
      </w:r>
      <w:r>
        <w:rPr>
          <w:rFonts w:hint="default" w:ascii="Times New Roman" w:hAnsi="Times New Roman" w:cs="Times New Roman"/>
          <w:color w:val="auto"/>
        </w:rPr>
        <w:t xml:space="preserve"> </w:t>
      </w:r>
      <w:r>
        <w:rPr>
          <w:rFonts w:hint="default" w:ascii="Times New Roman" w:hAnsi="Times New Roman" w:cs="Times New Roman"/>
          <w:color w:val="auto"/>
          <w:lang w:val="en-US" w:eastAsia="zh-CN"/>
        </w:rPr>
        <w:t>项目周边环境关系概况图</w:t>
      </w:r>
    </w:p>
    <w:p w14:paraId="67EBCF10">
      <w:pPr>
        <w:pStyle w:val="18"/>
        <w:spacing w:line="360" w:lineRule="auto"/>
        <w:ind w:firstLine="480"/>
        <w:rPr>
          <w:rFonts w:hint="default" w:ascii="Times New Roman" w:hAnsi="Times New Roman" w:cs="Times New Roman"/>
          <w:color w:val="auto"/>
          <w:lang w:val="en-US" w:eastAsia="zh-CN"/>
        </w:rPr>
      </w:pPr>
      <w:r>
        <w:rPr>
          <w:rFonts w:hint="default" w:ascii="Times New Roman" w:hAnsi="Times New Roman" w:cs="Times New Roman"/>
          <w:color w:val="auto"/>
        </w:rPr>
        <w:t>附图</w:t>
      </w:r>
      <w:r>
        <w:rPr>
          <w:rFonts w:hint="default" w:ascii="Times New Roman" w:hAnsi="Times New Roman" w:cs="Times New Roman"/>
          <w:color w:val="auto"/>
          <w:lang w:val="en-US" w:eastAsia="zh-CN"/>
        </w:rPr>
        <w:t>3</w:t>
      </w:r>
      <w:r>
        <w:rPr>
          <w:rFonts w:hint="default" w:ascii="Times New Roman" w:hAnsi="Times New Roman" w:cs="Times New Roman"/>
          <w:color w:val="auto"/>
        </w:rPr>
        <w:t xml:space="preserve"> </w:t>
      </w:r>
      <w:r>
        <w:rPr>
          <w:rFonts w:hint="default" w:ascii="Times New Roman" w:hAnsi="Times New Roman" w:cs="Times New Roman"/>
          <w:color w:val="auto"/>
          <w:lang w:val="en-US" w:eastAsia="zh-CN"/>
        </w:rPr>
        <w:t>项目平面布置图</w:t>
      </w:r>
    </w:p>
    <w:p w14:paraId="510D8E65">
      <w:pPr>
        <w:pStyle w:val="18"/>
        <w:spacing w:line="360" w:lineRule="auto"/>
        <w:ind w:firstLine="480"/>
        <w:rPr>
          <w:rFonts w:hint="default" w:ascii="Times New Roman" w:hAnsi="Times New Roman" w:cs="Times New Roman"/>
          <w:color w:val="auto"/>
        </w:rPr>
      </w:pPr>
      <w:r>
        <w:rPr>
          <w:rFonts w:hint="default" w:ascii="Times New Roman" w:hAnsi="Times New Roman" w:cs="Times New Roman"/>
          <w:color w:val="auto"/>
        </w:rPr>
        <w:t>附图</w:t>
      </w:r>
      <w:r>
        <w:rPr>
          <w:rFonts w:hint="default" w:ascii="Times New Roman" w:hAnsi="Times New Roman" w:cs="Times New Roman"/>
          <w:color w:val="auto"/>
          <w:lang w:val="en-US" w:eastAsia="zh-CN"/>
        </w:rPr>
        <w:t>4</w:t>
      </w:r>
      <w:r>
        <w:rPr>
          <w:rFonts w:hint="default" w:ascii="Times New Roman" w:hAnsi="Times New Roman" w:cs="Times New Roman"/>
          <w:color w:val="auto"/>
        </w:rPr>
        <w:t xml:space="preserve"> </w:t>
      </w:r>
      <w:r>
        <w:rPr>
          <w:rFonts w:hint="default" w:ascii="Times New Roman" w:hAnsi="Times New Roman" w:cs="Times New Roman"/>
          <w:color w:val="auto"/>
          <w:lang w:val="en-US" w:eastAsia="zh-CN"/>
        </w:rPr>
        <w:t>项目环境保护目标分布图</w:t>
      </w:r>
    </w:p>
    <w:p w14:paraId="3E21C7EF">
      <w:pPr>
        <w:spacing w:line="360" w:lineRule="auto"/>
        <w:ind w:firstLine="480"/>
        <w:rPr>
          <w:rFonts w:hint="default" w:ascii="Times New Roman" w:hAnsi="Times New Roman" w:cs="Times New Roman"/>
          <w:color w:val="auto"/>
        </w:rPr>
      </w:pPr>
      <w:bookmarkStart w:id="3" w:name="OLE_LINK6"/>
      <w:r>
        <w:rPr>
          <w:rFonts w:hint="default" w:ascii="Times New Roman" w:hAnsi="Times New Roman" w:cs="Times New Roman"/>
          <w:color w:val="auto"/>
        </w:rPr>
        <w:t>附</w:t>
      </w:r>
      <w:r>
        <w:rPr>
          <w:rFonts w:hint="eastAsia" w:ascii="Times New Roman" w:hAnsi="Times New Roman" w:cs="Times New Roman"/>
          <w:color w:val="auto"/>
          <w:lang w:val="en-US" w:eastAsia="zh-CN"/>
        </w:rPr>
        <w:t>图</w:t>
      </w:r>
      <w:r>
        <w:rPr>
          <w:rFonts w:hint="default" w:ascii="Times New Roman" w:hAnsi="Times New Roman" w:cs="Times New Roman"/>
          <w:color w:val="auto"/>
          <w:lang w:val="en-US" w:eastAsia="zh-CN"/>
        </w:rPr>
        <w:t>5</w:t>
      </w:r>
      <w:r>
        <w:rPr>
          <w:rFonts w:hint="default" w:ascii="Times New Roman" w:hAnsi="Times New Roman" w:cs="Times New Roman"/>
          <w:color w:val="auto"/>
        </w:rPr>
        <w:t xml:space="preserve"> </w:t>
      </w:r>
      <w:bookmarkEnd w:id="3"/>
      <w:r>
        <w:rPr>
          <w:rFonts w:hint="default" w:ascii="Times New Roman" w:hAnsi="Times New Roman" w:cs="Times New Roman"/>
          <w:color w:val="auto"/>
          <w:lang w:val="en-US" w:eastAsia="zh-CN"/>
        </w:rPr>
        <w:t>项目雨污水管网分布图</w:t>
      </w:r>
    </w:p>
    <w:p w14:paraId="6585DE73">
      <w:pPr>
        <w:pStyle w:val="18"/>
        <w:spacing w:line="360" w:lineRule="auto"/>
        <w:ind w:firstLine="480"/>
        <w:rPr>
          <w:rFonts w:hint="default" w:ascii="Times New Roman" w:hAnsi="Times New Roman" w:cs="Times New Roman"/>
          <w:color w:val="auto"/>
        </w:rPr>
      </w:pPr>
      <w:r>
        <w:rPr>
          <w:rFonts w:hint="default" w:ascii="Times New Roman" w:hAnsi="Times New Roman" w:cs="Times New Roman"/>
          <w:color w:val="auto"/>
        </w:rPr>
        <w:t>附图</w:t>
      </w:r>
      <w:r>
        <w:rPr>
          <w:rFonts w:hint="default" w:ascii="Times New Roman" w:hAnsi="Times New Roman" w:cs="Times New Roman"/>
          <w:color w:val="auto"/>
          <w:lang w:val="en-US" w:eastAsia="zh-CN"/>
        </w:rPr>
        <w:t>6</w:t>
      </w:r>
      <w:r>
        <w:rPr>
          <w:rFonts w:hint="default" w:ascii="Times New Roman" w:hAnsi="Times New Roman" w:cs="Times New Roman"/>
          <w:color w:val="auto"/>
        </w:rPr>
        <w:t xml:space="preserve"> </w:t>
      </w:r>
      <w:r>
        <w:rPr>
          <w:rFonts w:hint="default" w:ascii="Times New Roman" w:hAnsi="Times New Roman" w:cs="Times New Roman"/>
          <w:color w:val="auto"/>
          <w:lang w:val="en-US" w:eastAsia="zh-CN"/>
        </w:rPr>
        <w:t>项目与生态保护红线的关系图</w:t>
      </w:r>
    </w:p>
    <w:p w14:paraId="7E6BBAB2">
      <w:pPr>
        <w:pStyle w:val="11"/>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附图7 项目区域水系分布图</w:t>
      </w:r>
    </w:p>
    <w:p w14:paraId="6B0E72FF">
      <w:pPr>
        <w:spacing w:line="360" w:lineRule="auto"/>
        <w:ind w:firstLine="480"/>
        <w:rPr>
          <w:rFonts w:hint="default" w:ascii="Times New Roman" w:hAnsi="Times New Roman" w:cs="Times New Roman"/>
          <w:color w:val="auto"/>
        </w:rPr>
      </w:pPr>
      <w:r>
        <w:rPr>
          <w:rFonts w:hint="default" w:ascii="Times New Roman" w:hAnsi="Times New Roman" w:cs="Times New Roman"/>
          <w:color w:val="auto"/>
        </w:rPr>
        <w:t>附</w:t>
      </w:r>
      <w:r>
        <w:rPr>
          <w:rFonts w:hint="eastAsia" w:ascii="Times New Roman" w:hAnsi="Times New Roman" w:cs="Times New Roman"/>
          <w:color w:val="auto"/>
          <w:lang w:val="en-US" w:eastAsia="zh-CN"/>
        </w:rPr>
        <w:t>图</w:t>
      </w:r>
      <w:r>
        <w:rPr>
          <w:rFonts w:hint="default" w:ascii="Times New Roman" w:hAnsi="Times New Roman" w:cs="Times New Roman"/>
          <w:color w:val="auto"/>
          <w:lang w:val="en-US" w:eastAsia="zh-CN"/>
        </w:rPr>
        <w:t>8</w:t>
      </w:r>
      <w:r>
        <w:rPr>
          <w:rFonts w:hint="default" w:ascii="Times New Roman" w:hAnsi="Times New Roman" w:cs="Times New Roman"/>
          <w:color w:val="auto"/>
        </w:rPr>
        <w:t xml:space="preserve"> </w:t>
      </w:r>
      <w:r>
        <w:rPr>
          <w:rFonts w:hint="default" w:ascii="Times New Roman" w:hAnsi="Times New Roman" w:cs="Times New Roman"/>
          <w:color w:val="auto"/>
          <w:lang w:val="en-US" w:eastAsia="zh-CN"/>
        </w:rPr>
        <w:t>项目与池州市大气环境分区管控位置关系图</w:t>
      </w:r>
    </w:p>
    <w:p w14:paraId="04480F45">
      <w:pP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附图 9 项目与池州市水环境分区管控位置关系图</w:t>
      </w:r>
    </w:p>
    <w:p w14:paraId="5E5004BB">
      <w:pP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附图 10 项目与池州市土壤环境分区管控位置关系图</w:t>
      </w:r>
    </w:p>
    <w:p w14:paraId="6DD051CC">
      <w:pP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附图11 项目与东至县城市总体规划位置关系图</w:t>
      </w:r>
    </w:p>
    <w:p w14:paraId="24D81455">
      <w:pPr>
        <w:pStyle w:val="9"/>
        <w:rPr>
          <w:color w:val="auto"/>
        </w:rPr>
        <w:sectPr>
          <w:footerReference r:id="rId12" w:type="default"/>
          <w:pgSz w:w="11906" w:h="16838"/>
          <w:pgMar w:top="1701" w:right="1531" w:bottom="1701" w:left="1531" w:header="851" w:footer="1077" w:gutter="0"/>
          <w:pgBorders>
            <w:top w:val="none" w:sz="0" w:space="0"/>
            <w:left w:val="none" w:sz="0" w:space="0"/>
            <w:bottom w:val="none" w:sz="0" w:space="0"/>
            <w:right w:val="none" w:sz="0" w:space="0"/>
          </w:pgBorders>
          <w:pgNumType w:fmt="decimalFullWidth" w:start="1"/>
          <w:cols w:space="720" w:num="1"/>
          <w:docGrid w:linePitch="312" w:charSpace="0"/>
        </w:sectPr>
      </w:pPr>
    </w:p>
    <w:p w14:paraId="26A02A93">
      <w:pPr>
        <w:pStyle w:val="2"/>
        <w:spacing w:before="0" w:after="0" w:line="240" w:lineRule="auto"/>
        <w:rPr>
          <w:color w:val="auto"/>
        </w:rPr>
      </w:pPr>
      <w:bookmarkStart w:id="4" w:name="_Toc8813"/>
      <w:bookmarkStart w:id="5" w:name="_Toc29402"/>
      <w:r>
        <w:rPr>
          <w:color w:val="auto"/>
        </w:rPr>
        <w:t>一、建设项目基本情况</w:t>
      </w:r>
      <w:bookmarkEnd w:id="4"/>
    </w:p>
    <w:tbl>
      <w:tblPr>
        <w:tblStyle w:val="3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268"/>
        <w:gridCol w:w="2628"/>
        <w:gridCol w:w="1764"/>
        <w:gridCol w:w="3210"/>
      </w:tblGrid>
      <w:tr w14:paraId="59AF8A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53" w:hRule="atLeast"/>
          <w:jc w:val="center"/>
        </w:trPr>
        <w:tc>
          <w:tcPr>
            <w:tcW w:w="1268" w:type="dxa"/>
            <w:tcMar>
              <w:top w:w="16" w:type="dxa"/>
              <w:left w:w="16" w:type="dxa"/>
              <w:right w:w="16" w:type="dxa"/>
            </w:tcMar>
            <w:vAlign w:val="center"/>
          </w:tcPr>
          <w:p w14:paraId="698E0545">
            <w:pPr>
              <w:adjustRightInd w:val="0"/>
              <w:snapToGrid w:val="0"/>
              <w:spacing w:line="240" w:lineRule="auto"/>
              <w:ind w:firstLine="0" w:firstLineChars="0"/>
              <w:jc w:val="center"/>
              <w:rPr>
                <w:color w:val="auto"/>
              </w:rPr>
            </w:pPr>
            <w:r>
              <w:rPr>
                <w:color w:val="auto"/>
              </w:rPr>
              <w:t>建设项目名称</w:t>
            </w:r>
          </w:p>
        </w:tc>
        <w:tc>
          <w:tcPr>
            <w:tcW w:w="7602" w:type="dxa"/>
            <w:gridSpan w:val="3"/>
            <w:vAlign w:val="center"/>
          </w:tcPr>
          <w:p w14:paraId="086D06EE">
            <w:pPr>
              <w:adjustRightInd w:val="0"/>
              <w:snapToGrid w:val="0"/>
              <w:spacing w:line="240" w:lineRule="auto"/>
              <w:ind w:firstLine="0" w:firstLineChars="0"/>
              <w:jc w:val="center"/>
              <w:rPr>
                <w:rFonts w:hint="default" w:eastAsia="宋体"/>
                <w:color w:val="auto"/>
                <w:lang w:val="en-US" w:eastAsia="zh-CN"/>
              </w:rPr>
            </w:pPr>
            <w:r>
              <w:rPr>
                <w:rFonts w:hint="eastAsia"/>
                <w:color w:val="auto"/>
                <w:lang w:val="en-US" w:eastAsia="zh-CN"/>
              </w:rPr>
              <w:t>东至县建筑垃圾综合处置项目</w:t>
            </w:r>
          </w:p>
        </w:tc>
      </w:tr>
      <w:tr w14:paraId="0A2F92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1268" w:type="dxa"/>
            <w:tcMar>
              <w:top w:w="16" w:type="dxa"/>
              <w:left w:w="16" w:type="dxa"/>
              <w:right w:w="16" w:type="dxa"/>
            </w:tcMar>
            <w:vAlign w:val="center"/>
          </w:tcPr>
          <w:p w14:paraId="3E590AB4">
            <w:pPr>
              <w:adjustRightInd w:val="0"/>
              <w:snapToGrid w:val="0"/>
              <w:spacing w:line="240" w:lineRule="auto"/>
              <w:ind w:firstLine="0" w:firstLineChars="0"/>
              <w:jc w:val="center"/>
              <w:rPr>
                <w:color w:val="auto"/>
              </w:rPr>
            </w:pPr>
            <w:r>
              <w:rPr>
                <w:color w:val="auto"/>
              </w:rPr>
              <w:t>项目代码</w:t>
            </w:r>
          </w:p>
        </w:tc>
        <w:tc>
          <w:tcPr>
            <w:tcW w:w="7602" w:type="dxa"/>
            <w:gridSpan w:val="3"/>
            <w:vAlign w:val="center"/>
          </w:tcPr>
          <w:p w14:paraId="78FC82B7">
            <w:pPr>
              <w:adjustRightInd w:val="0"/>
              <w:snapToGrid w:val="0"/>
              <w:spacing w:line="240" w:lineRule="auto"/>
              <w:ind w:firstLine="0" w:firstLineChars="0"/>
              <w:jc w:val="center"/>
              <w:rPr>
                <w:rFonts w:hint="default" w:eastAsia="宋体"/>
                <w:color w:val="auto"/>
                <w:lang w:val="en-US" w:eastAsia="zh-CN"/>
              </w:rPr>
            </w:pPr>
            <w:r>
              <w:rPr>
                <w:rFonts w:hint="eastAsia"/>
                <w:color w:val="auto"/>
                <w:lang w:val="en-US" w:eastAsia="zh-CN"/>
              </w:rPr>
              <w:t>2508-341721-04-05-368407</w:t>
            </w:r>
          </w:p>
        </w:tc>
      </w:tr>
      <w:tr w14:paraId="1F3A35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268" w:type="dxa"/>
            <w:tcMar>
              <w:top w:w="16" w:type="dxa"/>
              <w:left w:w="16" w:type="dxa"/>
              <w:right w:w="16" w:type="dxa"/>
            </w:tcMar>
            <w:vAlign w:val="center"/>
          </w:tcPr>
          <w:p w14:paraId="5E209BAA">
            <w:pPr>
              <w:adjustRightInd w:val="0"/>
              <w:snapToGrid w:val="0"/>
              <w:spacing w:line="240" w:lineRule="auto"/>
              <w:ind w:firstLine="0" w:firstLineChars="0"/>
              <w:jc w:val="center"/>
              <w:rPr>
                <w:color w:val="auto"/>
              </w:rPr>
            </w:pPr>
            <w:r>
              <w:rPr>
                <w:color w:val="auto"/>
              </w:rPr>
              <w:t>建设单位联系人</w:t>
            </w:r>
          </w:p>
        </w:tc>
        <w:tc>
          <w:tcPr>
            <w:tcW w:w="2628" w:type="dxa"/>
            <w:vAlign w:val="center"/>
          </w:tcPr>
          <w:p w14:paraId="2400C1FE">
            <w:pPr>
              <w:adjustRightInd w:val="0"/>
              <w:snapToGrid w:val="0"/>
              <w:spacing w:line="240" w:lineRule="auto"/>
              <w:ind w:firstLine="0" w:firstLineChars="0"/>
              <w:jc w:val="center"/>
              <w:rPr>
                <w:rFonts w:hint="default" w:eastAsia="宋体"/>
                <w:color w:val="auto"/>
                <w:lang w:val="en-US" w:eastAsia="zh-CN"/>
              </w:rPr>
            </w:pPr>
            <w:r>
              <w:rPr>
                <w:rFonts w:hint="eastAsia"/>
                <w:color w:val="auto"/>
                <w:highlight w:val="none"/>
                <w:lang w:val="en-US" w:eastAsia="zh-CN"/>
              </w:rPr>
              <w:t>王军</w:t>
            </w:r>
          </w:p>
        </w:tc>
        <w:tc>
          <w:tcPr>
            <w:tcW w:w="1764" w:type="dxa"/>
            <w:vAlign w:val="center"/>
          </w:tcPr>
          <w:p w14:paraId="4C1F0311">
            <w:pPr>
              <w:adjustRightInd w:val="0"/>
              <w:snapToGrid w:val="0"/>
              <w:spacing w:line="240" w:lineRule="auto"/>
              <w:ind w:firstLine="0" w:firstLineChars="0"/>
              <w:jc w:val="center"/>
              <w:rPr>
                <w:color w:val="auto"/>
              </w:rPr>
            </w:pPr>
            <w:r>
              <w:rPr>
                <w:color w:val="auto"/>
              </w:rPr>
              <w:t>联系方式</w:t>
            </w:r>
          </w:p>
        </w:tc>
        <w:tc>
          <w:tcPr>
            <w:tcW w:w="3210" w:type="dxa"/>
            <w:vAlign w:val="center"/>
          </w:tcPr>
          <w:p w14:paraId="5CC57C30">
            <w:pPr>
              <w:adjustRightInd w:val="0"/>
              <w:snapToGrid w:val="0"/>
              <w:spacing w:line="240" w:lineRule="auto"/>
              <w:ind w:firstLine="0" w:firstLineChars="0"/>
              <w:jc w:val="center"/>
              <w:rPr>
                <w:rFonts w:hint="default" w:eastAsia="宋体"/>
                <w:color w:val="auto"/>
                <w:highlight w:val="yellow"/>
                <w:lang w:val="en-US" w:eastAsia="zh-CN"/>
              </w:rPr>
            </w:pPr>
            <w:r>
              <w:rPr>
                <w:rFonts w:hint="default" w:eastAsia="宋体"/>
                <w:color w:val="auto"/>
                <w:highlight w:val="none"/>
                <w:lang w:val="en-US" w:eastAsia="zh-CN"/>
              </w:rPr>
              <w:t>15656605021</w:t>
            </w:r>
          </w:p>
        </w:tc>
      </w:tr>
      <w:tr w14:paraId="0C72B9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6" w:hRule="atLeast"/>
          <w:jc w:val="center"/>
        </w:trPr>
        <w:tc>
          <w:tcPr>
            <w:tcW w:w="1268" w:type="dxa"/>
            <w:tcMar>
              <w:top w:w="16" w:type="dxa"/>
              <w:left w:w="16" w:type="dxa"/>
              <w:right w:w="16" w:type="dxa"/>
            </w:tcMar>
            <w:vAlign w:val="center"/>
          </w:tcPr>
          <w:p w14:paraId="17251C38">
            <w:pPr>
              <w:adjustRightInd w:val="0"/>
              <w:snapToGrid w:val="0"/>
              <w:spacing w:line="240" w:lineRule="auto"/>
              <w:ind w:firstLine="0" w:firstLineChars="0"/>
              <w:jc w:val="center"/>
              <w:rPr>
                <w:color w:val="auto"/>
              </w:rPr>
            </w:pPr>
            <w:r>
              <w:rPr>
                <w:color w:val="auto"/>
              </w:rPr>
              <w:t>建设地点</w:t>
            </w:r>
          </w:p>
        </w:tc>
        <w:tc>
          <w:tcPr>
            <w:tcW w:w="7602" w:type="dxa"/>
            <w:gridSpan w:val="3"/>
            <w:vAlign w:val="center"/>
          </w:tcPr>
          <w:p w14:paraId="05B85A74">
            <w:pPr>
              <w:adjustRightInd w:val="0"/>
              <w:snapToGrid w:val="0"/>
              <w:spacing w:line="240" w:lineRule="auto"/>
              <w:ind w:firstLine="0" w:firstLineChars="0"/>
              <w:jc w:val="center"/>
              <w:rPr>
                <w:rFonts w:hint="default" w:eastAsia="宋体"/>
                <w:color w:val="auto"/>
                <w:lang w:val="en-US" w:eastAsia="zh-CN"/>
              </w:rPr>
            </w:pPr>
            <w:r>
              <w:rPr>
                <w:rFonts w:hint="eastAsia"/>
                <w:color w:val="auto"/>
                <w:lang w:val="en-US" w:eastAsia="zh-CN"/>
              </w:rPr>
              <w:t>安徽省池州市东至县尧渡镇建东村</w:t>
            </w:r>
          </w:p>
        </w:tc>
      </w:tr>
      <w:tr w14:paraId="540B3C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88" w:hRule="atLeast"/>
          <w:jc w:val="center"/>
        </w:trPr>
        <w:tc>
          <w:tcPr>
            <w:tcW w:w="1268" w:type="dxa"/>
            <w:tcMar>
              <w:top w:w="16" w:type="dxa"/>
              <w:left w:w="16" w:type="dxa"/>
              <w:right w:w="16" w:type="dxa"/>
            </w:tcMar>
            <w:vAlign w:val="center"/>
          </w:tcPr>
          <w:p w14:paraId="2852C1BD">
            <w:pPr>
              <w:adjustRightInd w:val="0"/>
              <w:snapToGrid w:val="0"/>
              <w:spacing w:line="240" w:lineRule="auto"/>
              <w:ind w:firstLine="0" w:firstLineChars="0"/>
              <w:jc w:val="center"/>
              <w:rPr>
                <w:color w:val="auto"/>
              </w:rPr>
            </w:pPr>
            <w:r>
              <w:rPr>
                <w:color w:val="auto"/>
              </w:rPr>
              <w:t>地理坐标</w:t>
            </w:r>
          </w:p>
        </w:tc>
        <w:tc>
          <w:tcPr>
            <w:tcW w:w="7602" w:type="dxa"/>
            <w:gridSpan w:val="3"/>
            <w:vAlign w:val="center"/>
          </w:tcPr>
          <w:p w14:paraId="09DF3BF1">
            <w:pPr>
              <w:spacing w:line="240" w:lineRule="auto"/>
              <w:ind w:firstLine="0" w:firstLineChars="0"/>
              <w:jc w:val="center"/>
              <w:rPr>
                <w:color w:val="auto"/>
              </w:rPr>
            </w:pPr>
            <w:r>
              <w:rPr>
                <w:rFonts w:hint="eastAsia"/>
                <w:lang w:val="en-US" w:eastAsia="zh-CN"/>
              </w:rPr>
              <w:t>东经：</w:t>
            </w:r>
            <w:r>
              <w:rPr>
                <w:rFonts w:hint="eastAsia"/>
                <w:u w:val="single"/>
                <w:lang w:val="en-US" w:eastAsia="zh-CN"/>
              </w:rPr>
              <w:t>11</w:t>
            </w:r>
            <w:r>
              <w:rPr>
                <w:rFonts w:hint="eastAsia"/>
                <w:color w:val="auto"/>
                <w:u w:val="single"/>
              </w:rPr>
              <w:t>6</w:t>
            </w:r>
            <w:r>
              <w:rPr>
                <w:color w:val="auto"/>
              </w:rPr>
              <w:t>度</w:t>
            </w:r>
            <w:r>
              <w:rPr>
                <w:rFonts w:hint="eastAsia"/>
                <w:color w:val="auto"/>
                <w:u w:val="single"/>
                <w:lang w:val="en-US" w:eastAsia="zh-CN"/>
              </w:rPr>
              <w:t>59</w:t>
            </w:r>
            <w:r>
              <w:rPr>
                <w:color w:val="auto"/>
              </w:rPr>
              <w:t>分</w:t>
            </w:r>
            <w:r>
              <w:rPr>
                <w:rFonts w:hint="eastAsia"/>
                <w:color w:val="auto"/>
                <w:u w:val="single"/>
                <w:lang w:val="en-US" w:eastAsia="zh-CN"/>
              </w:rPr>
              <w:t>14.409</w:t>
            </w:r>
            <w:r>
              <w:rPr>
                <w:color w:val="auto"/>
              </w:rPr>
              <w:t>秒，</w:t>
            </w:r>
            <w:r>
              <w:rPr>
                <w:rFonts w:hint="eastAsia"/>
                <w:color w:val="auto"/>
                <w:lang w:val="en-US" w:eastAsia="zh-CN"/>
              </w:rPr>
              <w:t>北纬：</w:t>
            </w:r>
            <w:r>
              <w:rPr>
                <w:color w:val="auto"/>
                <w:u w:val="single"/>
              </w:rPr>
              <w:t>30</w:t>
            </w:r>
            <w:r>
              <w:rPr>
                <w:color w:val="auto"/>
              </w:rPr>
              <w:t>度</w:t>
            </w:r>
            <w:r>
              <w:rPr>
                <w:rFonts w:hint="eastAsia"/>
                <w:color w:val="auto"/>
                <w:u w:val="single"/>
                <w:lang w:val="en-US" w:eastAsia="zh-CN"/>
              </w:rPr>
              <w:t>8</w:t>
            </w:r>
            <w:r>
              <w:rPr>
                <w:color w:val="auto"/>
              </w:rPr>
              <w:t>分</w:t>
            </w:r>
            <w:r>
              <w:rPr>
                <w:rFonts w:hint="eastAsia"/>
                <w:color w:val="auto"/>
                <w:u w:val="single"/>
                <w:lang w:val="en-US" w:eastAsia="zh-CN"/>
              </w:rPr>
              <w:t>16.872</w:t>
            </w:r>
            <w:r>
              <w:rPr>
                <w:color w:val="auto"/>
              </w:rPr>
              <w:t>秒</w:t>
            </w:r>
          </w:p>
        </w:tc>
      </w:tr>
      <w:tr w14:paraId="3C0E25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15" w:hRule="atLeast"/>
          <w:jc w:val="center"/>
        </w:trPr>
        <w:tc>
          <w:tcPr>
            <w:tcW w:w="1268" w:type="dxa"/>
            <w:tcMar>
              <w:top w:w="16" w:type="dxa"/>
              <w:left w:w="16" w:type="dxa"/>
              <w:right w:w="16" w:type="dxa"/>
            </w:tcMar>
            <w:vAlign w:val="center"/>
          </w:tcPr>
          <w:p w14:paraId="4E1FE42A">
            <w:pPr>
              <w:adjustRightInd w:val="0"/>
              <w:snapToGrid w:val="0"/>
              <w:spacing w:line="240" w:lineRule="auto"/>
              <w:ind w:firstLine="0" w:firstLineChars="0"/>
              <w:jc w:val="center"/>
              <w:rPr>
                <w:color w:val="auto"/>
              </w:rPr>
            </w:pPr>
            <w:r>
              <w:rPr>
                <w:color w:val="auto"/>
              </w:rPr>
              <w:t>国民经济</w:t>
            </w:r>
          </w:p>
          <w:p w14:paraId="3880F666">
            <w:pPr>
              <w:adjustRightInd w:val="0"/>
              <w:snapToGrid w:val="0"/>
              <w:spacing w:line="240" w:lineRule="auto"/>
              <w:ind w:firstLine="0" w:firstLineChars="0"/>
              <w:jc w:val="center"/>
              <w:rPr>
                <w:color w:val="auto"/>
              </w:rPr>
            </w:pPr>
            <w:r>
              <w:rPr>
                <w:color w:val="auto"/>
              </w:rPr>
              <w:t>行业类别</w:t>
            </w:r>
          </w:p>
        </w:tc>
        <w:tc>
          <w:tcPr>
            <w:tcW w:w="2628" w:type="dxa"/>
            <w:vAlign w:val="center"/>
          </w:tcPr>
          <w:p w14:paraId="46798A69">
            <w:pPr>
              <w:adjustRightInd w:val="0"/>
              <w:snapToGrid w:val="0"/>
              <w:spacing w:line="240" w:lineRule="auto"/>
              <w:ind w:firstLine="0" w:firstLineChars="0"/>
              <w:jc w:val="center"/>
              <w:rPr>
                <w:color w:val="auto"/>
              </w:rPr>
            </w:pPr>
            <w:r>
              <w:rPr>
                <w:rFonts w:hint="eastAsia"/>
                <w:color w:val="auto"/>
              </w:rPr>
              <w:t>N7723固体废物治理</w:t>
            </w:r>
          </w:p>
          <w:p w14:paraId="6D8082E5">
            <w:pPr>
              <w:adjustRightInd w:val="0"/>
              <w:snapToGrid w:val="0"/>
              <w:spacing w:line="240" w:lineRule="auto"/>
              <w:ind w:firstLine="0" w:firstLineChars="0"/>
              <w:jc w:val="center"/>
              <w:rPr>
                <w:rFonts w:hint="eastAsia"/>
                <w:color w:val="auto"/>
              </w:rPr>
            </w:pPr>
            <w:r>
              <w:rPr>
                <w:rFonts w:hint="eastAsia"/>
                <w:color w:val="auto"/>
              </w:rPr>
              <w:t>C4220非金属废弃料和碎屑加工处理</w:t>
            </w:r>
          </w:p>
          <w:p w14:paraId="170BAB78">
            <w:pPr>
              <w:adjustRightInd w:val="0"/>
              <w:snapToGrid w:val="0"/>
              <w:spacing w:line="240" w:lineRule="auto"/>
              <w:ind w:firstLine="0" w:firstLineChars="0"/>
              <w:jc w:val="center"/>
              <w:rPr>
                <w:color w:val="auto"/>
              </w:rPr>
            </w:pPr>
            <w:r>
              <w:rPr>
                <w:rFonts w:hint="eastAsia" w:ascii="Times New Roman" w:hAnsi="Times New Roman"/>
                <w:color w:val="000000"/>
                <w:sz w:val="24"/>
                <w:szCs w:val="24"/>
              </w:rPr>
              <w:t>C2542生物质致密成型燃料加工</w:t>
            </w:r>
          </w:p>
          <w:p w14:paraId="3EDA71D3">
            <w:pPr>
              <w:adjustRightInd w:val="0"/>
              <w:snapToGrid w:val="0"/>
              <w:spacing w:line="240" w:lineRule="auto"/>
              <w:ind w:firstLine="0" w:firstLineChars="0"/>
              <w:jc w:val="center"/>
              <w:rPr>
                <w:color w:val="auto"/>
              </w:rPr>
            </w:pPr>
            <w:r>
              <w:rPr>
                <w:rFonts w:hint="eastAsia"/>
                <w:color w:val="auto"/>
              </w:rPr>
              <w:t>C3021水泥制品制造</w:t>
            </w:r>
          </w:p>
        </w:tc>
        <w:tc>
          <w:tcPr>
            <w:tcW w:w="1764" w:type="dxa"/>
            <w:vAlign w:val="center"/>
          </w:tcPr>
          <w:p w14:paraId="5D4D8484">
            <w:pPr>
              <w:adjustRightInd w:val="0"/>
              <w:snapToGrid w:val="0"/>
              <w:spacing w:line="240" w:lineRule="auto"/>
              <w:ind w:firstLine="0" w:firstLineChars="0"/>
              <w:jc w:val="center"/>
              <w:rPr>
                <w:color w:val="auto"/>
              </w:rPr>
            </w:pPr>
            <w:r>
              <w:rPr>
                <w:rFonts w:hint="eastAsia"/>
                <w:color w:val="auto"/>
              </w:rPr>
              <w:t>建设项目</w:t>
            </w:r>
          </w:p>
          <w:p w14:paraId="01E1A621">
            <w:pPr>
              <w:adjustRightInd w:val="0"/>
              <w:snapToGrid w:val="0"/>
              <w:spacing w:line="240" w:lineRule="auto"/>
              <w:ind w:firstLine="0" w:firstLineChars="0"/>
              <w:jc w:val="center"/>
              <w:rPr>
                <w:color w:val="auto"/>
              </w:rPr>
            </w:pPr>
            <w:r>
              <w:rPr>
                <w:rFonts w:hint="eastAsia"/>
                <w:color w:val="auto"/>
              </w:rPr>
              <w:t>行业类别</w:t>
            </w:r>
          </w:p>
        </w:tc>
        <w:tc>
          <w:tcPr>
            <w:tcW w:w="3210" w:type="dxa"/>
            <w:vAlign w:val="center"/>
          </w:tcPr>
          <w:p w14:paraId="48AF023A">
            <w:pPr>
              <w:adjustRightInd w:val="0"/>
              <w:snapToGrid w:val="0"/>
              <w:spacing w:line="240" w:lineRule="auto"/>
              <w:ind w:firstLine="0" w:firstLineChars="0"/>
              <w:jc w:val="center"/>
              <w:rPr>
                <w:color w:val="auto"/>
              </w:rPr>
            </w:pPr>
            <w:r>
              <w:rPr>
                <w:rFonts w:hint="eastAsia"/>
                <w:color w:val="auto"/>
              </w:rPr>
              <w:t>四十七、生态保护和环境治理业，103一般工业固体废物（含污水处理污泥）、建筑施工废弃物处置及综合利用；</w:t>
            </w:r>
          </w:p>
          <w:p w14:paraId="7CF5346D">
            <w:pPr>
              <w:adjustRightInd w:val="0"/>
              <w:snapToGrid w:val="0"/>
              <w:spacing w:line="240" w:lineRule="auto"/>
              <w:ind w:firstLine="0" w:firstLineChars="0"/>
              <w:jc w:val="center"/>
              <w:rPr>
                <w:rFonts w:hint="eastAsia" w:eastAsia="宋体"/>
                <w:color w:val="auto"/>
                <w:lang w:eastAsia="zh-CN"/>
              </w:rPr>
            </w:pPr>
            <w:r>
              <w:rPr>
                <w:rFonts w:hint="eastAsia"/>
                <w:color w:val="auto"/>
              </w:rPr>
              <w:t>三十九、废弃资源综合利用业 42非金属废料和碎屑加工处理422</w:t>
            </w:r>
            <w:r>
              <w:rPr>
                <w:rFonts w:hint="eastAsia"/>
                <w:color w:val="auto"/>
                <w:lang w:eastAsia="zh-CN"/>
              </w:rPr>
              <w:t>；</w:t>
            </w:r>
          </w:p>
          <w:p w14:paraId="65E923C5">
            <w:pPr>
              <w:adjustRightInd w:val="0"/>
              <w:snapToGrid w:val="0"/>
              <w:spacing w:line="240" w:lineRule="auto"/>
              <w:ind w:firstLine="0" w:firstLineChars="0"/>
              <w:jc w:val="center"/>
              <w:rPr>
                <w:rFonts w:hint="eastAsia"/>
                <w:color w:val="auto"/>
              </w:rPr>
            </w:pPr>
            <w:r>
              <w:rPr>
                <w:rFonts w:hint="eastAsia"/>
                <w:color w:val="auto"/>
              </w:rPr>
              <w:t>二十七、非金属矿物制品业30，55石膏、水泥制品及类似制品制造302；</w:t>
            </w:r>
          </w:p>
          <w:p w14:paraId="62C756D5">
            <w:pPr>
              <w:adjustRightInd w:val="0"/>
              <w:snapToGrid w:val="0"/>
              <w:spacing w:line="240" w:lineRule="auto"/>
              <w:ind w:firstLine="0" w:firstLineChars="0"/>
              <w:jc w:val="center"/>
              <w:rPr>
                <w:rFonts w:hint="eastAsia"/>
                <w:color w:val="auto"/>
              </w:rPr>
            </w:pPr>
            <w:r>
              <w:rPr>
                <w:rFonts w:ascii="Times New Roman" w:hAnsi="Times New Roman"/>
                <w:color w:val="000000"/>
                <w:sz w:val="24"/>
                <w:szCs w:val="24"/>
              </w:rPr>
              <w:t>二十二、石油、煤炭及其他燃料加工业</w:t>
            </w:r>
            <w:r>
              <w:rPr>
                <w:rFonts w:hint="eastAsia" w:ascii="Times New Roman" w:hAnsi="Times New Roman"/>
                <w:color w:val="000000"/>
                <w:sz w:val="24"/>
                <w:szCs w:val="24"/>
              </w:rPr>
              <w:t>、43</w:t>
            </w:r>
            <w:r>
              <w:rPr>
                <w:rFonts w:hint="eastAsia"/>
                <w:color w:val="000000"/>
                <w:sz w:val="24"/>
                <w:szCs w:val="24"/>
                <w:lang w:val="en-US" w:eastAsia="zh-CN"/>
              </w:rPr>
              <w:t>生物质</w:t>
            </w:r>
            <w:r>
              <w:rPr>
                <w:rFonts w:hint="eastAsia"/>
                <w:color w:val="000000"/>
                <w:sz w:val="24"/>
                <w:szCs w:val="24"/>
                <w:lang w:eastAsia="zh-CN"/>
              </w:rPr>
              <w:t>燃料</w:t>
            </w:r>
            <w:r>
              <w:rPr>
                <w:rFonts w:hint="eastAsia" w:ascii="Times New Roman" w:hAnsi="Times New Roman"/>
                <w:color w:val="000000"/>
                <w:sz w:val="24"/>
                <w:szCs w:val="24"/>
              </w:rPr>
              <w:t>加工 254；</w:t>
            </w:r>
          </w:p>
        </w:tc>
      </w:tr>
      <w:tr w14:paraId="49A278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268" w:type="dxa"/>
            <w:tcMar>
              <w:top w:w="16" w:type="dxa"/>
              <w:left w:w="16" w:type="dxa"/>
              <w:right w:w="16" w:type="dxa"/>
            </w:tcMar>
            <w:vAlign w:val="center"/>
          </w:tcPr>
          <w:p w14:paraId="05B78BDA">
            <w:pPr>
              <w:adjustRightInd w:val="0"/>
              <w:snapToGrid w:val="0"/>
              <w:spacing w:line="240" w:lineRule="auto"/>
              <w:ind w:firstLine="0" w:firstLineChars="0"/>
              <w:jc w:val="center"/>
              <w:rPr>
                <w:color w:val="auto"/>
              </w:rPr>
            </w:pPr>
            <w:r>
              <w:rPr>
                <w:rFonts w:hint="eastAsia"/>
                <w:color w:val="auto"/>
              </w:rPr>
              <w:t>建设性质</w:t>
            </w:r>
          </w:p>
        </w:tc>
        <w:tc>
          <w:tcPr>
            <w:tcW w:w="2628" w:type="dxa"/>
          </w:tcPr>
          <w:p w14:paraId="6D7CD2E1">
            <w:pPr>
              <w:spacing w:line="240" w:lineRule="auto"/>
              <w:ind w:firstLine="0" w:firstLineChars="0"/>
              <w:jc w:val="left"/>
              <w:rPr>
                <w:rFonts w:hint="eastAsia" w:ascii="宋体" w:hAnsi="宋体" w:cs="宋体"/>
                <w:color w:val="auto"/>
              </w:rPr>
            </w:pPr>
            <w:r>
              <w:rPr>
                <w:rFonts w:hint="eastAsia" w:ascii="宋体" w:hAnsi="宋体" w:cs="宋体"/>
                <w:color w:val="auto"/>
              </w:rPr>
              <w:t>☑新建（迁建）</w:t>
            </w:r>
          </w:p>
          <w:p w14:paraId="68B2F3C7">
            <w:pPr>
              <w:spacing w:line="240" w:lineRule="auto"/>
              <w:ind w:firstLine="0" w:firstLineChars="0"/>
              <w:jc w:val="left"/>
              <w:rPr>
                <w:rFonts w:hint="eastAsia" w:ascii="宋体" w:hAnsi="宋体" w:cs="宋体"/>
                <w:color w:val="auto"/>
              </w:rPr>
            </w:pPr>
            <w:r>
              <w:rPr>
                <w:rFonts w:hint="eastAsia" w:ascii="宋体" w:hAnsi="宋体" w:cs="宋体"/>
                <w:color w:val="auto"/>
              </w:rPr>
              <w:t>□改建</w:t>
            </w:r>
          </w:p>
          <w:p w14:paraId="343F04D1">
            <w:pPr>
              <w:spacing w:line="240" w:lineRule="auto"/>
              <w:ind w:firstLine="0" w:firstLineChars="0"/>
              <w:jc w:val="left"/>
              <w:rPr>
                <w:rFonts w:hint="eastAsia" w:ascii="宋体" w:hAnsi="宋体" w:cs="宋体"/>
                <w:color w:val="auto"/>
              </w:rPr>
            </w:pPr>
            <w:r>
              <w:rPr>
                <w:rFonts w:hint="eastAsia" w:ascii="宋体" w:hAnsi="宋体" w:cs="宋体"/>
                <w:color w:val="auto"/>
              </w:rPr>
              <w:sym w:font="Wingdings 2" w:char="00A3"/>
            </w:r>
            <w:r>
              <w:rPr>
                <w:rFonts w:hint="eastAsia" w:ascii="宋体" w:hAnsi="宋体" w:cs="宋体"/>
                <w:color w:val="auto"/>
              </w:rPr>
              <w:t>扩建</w:t>
            </w:r>
          </w:p>
          <w:p w14:paraId="70A89280">
            <w:pPr>
              <w:spacing w:line="240" w:lineRule="auto"/>
              <w:ind w:firstLine="0" w:firstLineChars="0"/>
              <w:jc w:val="left"/>
              <w:rPr>
                <w:rFonts w:hint="eastAsia" w:ascii="宋体" w:hAnsi="宋体" w:cs="宋体"/>
                <w:color w:val="auto"/>
              </w:rPr>
            </w:pPr>
            <w:r>
              <w:rPr>
                <w:rFonts w:hint="eastAsia" w:ascii="宋体" w:hAnsi="宋体" w:cs="宋体"/>
                <w:color w:val="auto"/>
              </w:rPr>
              <w:t>□技术改造</w:t>
            </w:r>
          </w:p>
        </w:tc>
        <w:tc>
          <w:tcPr>
            <w:tcW w:w="1764" w:type="dxa"/>
            <w:vAlign w:val="center"/>
          </w:tcPr>
          <w:p w14:paraId="0E092AC5">
            <w:pPr>
              <w:spacing w:line="240" w:lineRule="auto"/>
              <w:ind w:firstLine="0" w:firstLineChars="0"/>
              <w:jc w:val="center"/>
              <w:rPr>
                <w:rFonts w:hint="eastAsia" w:ascii="宋体" w:hAnsi="宋体" w:cs="宋体"/>
                <w:color w:val="auto"/>
              </w:rPr>
            </w:pPr>
            <w:r>
              <w:rPr>
                <w:rFonts w:hint="eastAsia" w:ascii="宋体" w:hAnsi="宋体" w:cs="宋体"/>
                <w:color w:val="auto"/>
              </w:rPr>
              <w:t>建设项目</w:t>
            </w:r>
          </w:p>
          <w:p w14:paraId="10BA7B32">
            <w:pPr>
              <w:spacing w:line="240" w:lineRule="auto"/>
              <w:ind w:firstLine="0" w:firstLineChars="0"/>
              <w:jc w:val="center"/>
              <w:rPr>
                <w:rFonts w:hint="eastAsia" w:ascii="宋体" w:hAnsi="宋体" w:cs="宋体"/>
                <w:color w:val="auto"/>
              </w:rPr>
            </w:pPr>
            <w:r>
              <w:rPr>
                <w:rFonts w:hint="eastAsia" w:ascii="宋体" w:hAnsi="宋体" w:cs="宋体"/>
                <w:color w:val="auto"/>
              </w:rPr>
              <w:t>申报情形</w:t>
            </w:r>
          </w:p>
        </w:tc>
        <w:tc>
          <w:tcPr>
            <w:tcW w:w="3210" w:type="dxa"/>
          </w:tcPr>
          <w:p w14:paraId="5D14E668">
            <w:pPr>
              <w:spacing w:line="240" w:lineRule="auto"/>
              <w:ind w:firstLine="0" w:firstLineChars="0"/>
              <w:jc w:val="left"/>
              <w:rPr>
                <w:rFonts w:hint="eastAsia" w:ascii="宋体" w:hAnsi="宋体" w:cs="宋体"/>
                <w:color w:val="auto"/>
              </w:rPr>
            </w:pPr>
            <w:r>
              <w:rPr>
                <w:rFonts w:hint="eastAsia" w:ascii="宋体" w:hAnsi="宋体" w:cs="宋体"/>
                <w:color w:val="auto"/>
              </w:rPr>
              <w:sym w:font="Wingdings 2" w:char="0052"/>
            </w:r>
            <w:r>
              <w:rPr>
                <w:rFonts w:hint="eastAsia" w:ascii="宋体" w:hAnsi="宋体" w:cs="宋体"/>
                <w:color w:val="auto"/>
              </w:rPr>
              <w:t>首次申报项目</w:t>
            </w:r>
          </w:p>
          <w:p w14:paraId="05D81B4C">
            <w:pPr>
              <w:spacing w:line="240" w:lineRule="auto"/>
              <w:ind w:firstLine="0" w:firstLineChars="0"/>
              <w:jc w:val="left"/>
              <w:rPr>
                <w:rFonts w:hint="eastAsia" w:ascii="宋体" w:hAnsi="宋体" w:cs="宋体"/>
                <w:color w:val="auto"/>
              </w:rPr>
            </w:pPr>
            <w:r>
              <w:rPr>
                <w:rFonts w:hint="eastAsia" w:ascii="宋体" w:hAnsi="宋体" w:cs="宋体"/>
                <w:color w:val="auto"/>
              </w:rPr>
              <w:t>□不予批准后再次申报项目</w:t>
            </w:r>
          </w:p>
          <w:p w14:paraId="4E9BDB38">
            <w:pPr>
              <w:spacing w:line="240" w:lineRule="auto"/>
              <w:ind w:firstLine="0" w:firstLineChars="0"/>
              <w:jc w:val="left"/>
              <w:rPr>
                <w:rFonts w:hint="eastAsia" w:ascii="宋体" w:hAnsi="宋体" w:cs="宋体"/>
                <w:color w:val="auto"/>
              </w:rPr>
            </w:pPr>
            <w:r>
              <w:rPr>
                <w:rFonts w:hint="eastAsia" w:ascii="宋体" w:hAnsi="宋体" w:cs="宋体"/>
                <w:color w:val="auto"/>
              </w:rPr>
              <w:t>□超五年重新审核项目</w:t>
            </w:r>
          </w:p>
          <w:p w14:paraId="4C35DE6A">
            <w:pPr>
              <w:spacing w:line="240" w:lineRule="auto"/>
              <w:ind w:firstLine="0" w:firstLineChars="0"/>
              <w:jc w:val="left"/>
              <w:rPr>
                <w:rFonts w:hint="eastAsia" w:ascii="宋体" w:hAnsi="宋体" w:cs="宋体"/>
                <w:color w:val="auto"/>
              </w:rPr>
            </w:pPr>
            <w:r>
              <w:rPr>
                <w:rFonts w:hint="eastAsia" w:ascii="宋体" w:hAnsi="宋体" w:cs="宋体"/>
                <w:color w:val="auto"/>
              </w:rPr>
              <w:t>□重大变动重新报批项目</w:t>
            </w:r>
          </w:p>
        </w:tc>
      </w:tr>
      <w:tr w14:paraId="49D97F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51" w:hRule="atLeast"/>
          <w:jc w:val="center"/>
        </w:trPr>
        <w:tc>
          <w:tcPr>
            <w:tcW w:w="1268" w:type="dxa"/>
            <w:tcMar>
              <w:top w:w="16" w:type="dxa"/>
              <w:left w:w="16" w:type="dxa"/>
              <w:right w:w="16" w:type="dxa"/>
            </w:tcMar>
            <w:vAlign w:val="center"/>
          </w:tcPr>
          <w:p w14:paraId="78E27CA0">
            <w:pPr>
              <w:adjustRightInd w:val="0"/>
              <w:snapToGrid w:val="0"/>
              <w:spacing w:line="240" w:lineRule="auto"/>
              <w:ind w:firstLine="0" w:firstLineChars="0"/>
              <w:jc w:val="center"/>
              <w:rPr>
                <w:color w:val="auto"/>
              </w:rPr>
            </w:pPr>
            <w:r>
              <w:rPr>
                <w:color w:val="auto"/>
              </w:rPr>
              <w:t>项目审批（核准/备案）部门</w:t>
            </w:r>
          </w:p>
        </w:tc>
        <w:tc>
          <w:tcPr>
            <w:tcW w:w="2628" w:type="dxa"/>
            <w:vAlign w:val="center"/>
          </w:tcPr>
          <w:p w14:paraId="23D40428">
            <w:pPr>
              <w:adjustRightInd w:val="0"/>
              <w:snapToGrid w:val="0"/>
              <w:spacing w:line="240" w:lineRule="auto"/>
              <w:ind w:firstLine="0" w:firstLineChars="0"/>
              <w:jc w:val="center"/>
              <w:rPr>
                <w:color w:val="auto"/>
              </w:rPr>
            </w:pPr>
            <w:r>
              <w:rPr>
                <w:rFonts w:hint="eastAsia"/>
                <w:color w:val="auto"/>
                <w:lang w:val="en-US" w:eastAsia="zh-CN"/>
              </w:rPr>
              <w:t>东至</w:t>
            </w:r>
            <w:r>
              <w:rPr>
                <w:rFonts w:hint="eastAsia"/>
                <w:color w:val="auto"/>
              </w:rPr>
              <w:t>县发展和改革委员会</w:t>
            </w:r>
          </w:p>
        </w:tc>
        <w:tc>
          <w:tcPr>
            <w:tcW w:w="1764" w:type="dxa"/>
            <w:vAlign w:val="center"/>
          </w:tcPr>
          <w:p w14:paraId="17B03A17">
            <w:pPr>
              <w:adjustRightInd w:val="0"/>
              <w:snapToGrid w:val="0"/>
              <w:spacing w:line="240" w:lineRule="auto"/>
              <w:ind w:firstLine="0" w:firstLineChars="0"/>
              <w:jc w:val="center"/>
              <w:rPr>
                <w:color w:val="auto"/>
              </w:rPr>
            </w:pPr>
            <w:r>
              <w:rPr>
                <w:color w:val="auto"/>
              </w:rPr>
              <w:t>项目审批（核准/</w:t>
            </w:r>
          </w:p>
          <w:p w14:paraId="5EB149BD">
            <w:pPr>
              <w:adjustRightInd w:val="0"/>
              <w:snapToGrid w:val="0"/>
              <w:spacing w:line="240" w:lineRule="auto"/>
              <w:ind w:firstLine="0" w:firstLineChars="0"/>
              <w:jc w:val="center"/>
              <w:rPr>
                <w:color w:val="auto"/>
              </w:rPr>
            </w:pPr>
            <w:r>
              <w:rPr>
                <w:color w:val="auto"/>
              </w:rPr>
              <w:t>备案）文号</w:t>
            </w:r>
          </w:p>
        </w:tc>
        <w:tc>
          <w:tcPr>
            <w:tcW w:w="3210" w:type="dxa"/>
            <w:vAlign w:val="center"/>
          </w:tcPr>
          <w:p w14:paraId="5266B924">
            <w:pPr>
              <w:adjustRightInd w:val="0"/>
              <w:snapToGrid w:val="0"/>
              <w:spacing w:line="240" w:lineRule="auto"/>
              <w:ind w:firstLine="0" w:firstLineChars="0"/>
              <w:jc w:val="center"/>
              <w:rPr>
                <w:rFonts w:hint="default" w:eastAsia="宋体"/>
                <w:color w:val="auto"/>
                <w:lang w:val="en-US" w:eastAsia="zh-CN"/>
              </w:rPr>
            </w:pPr>
            <w:r>
              <w:rPr>
                <w:rFonts w:hint="eastAsia"/>
                <w:lang w:val="en-US" w:eastAsia="zh-CN"/>
              </w:rPr>
              <w:t>[2025]122号</w:t>
            </w:r>
          </w:p>
        </w:tc>
      </w:tr>
      <w:tr w14:paraId="69D6ED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6" w:hRule="atLeast"/>
          <w:jc w:val="center"/>
        </w:trPr>
        <w:tc>
          <w:tcPr>
            <w:tcW w:w="1268" w:type="dxa"/>
            <w:tcMar>
              <w:top w:w="16" w:type="dxa"/>
              <w:left w:w="16" w:type="dxa"/>
              <w:right w:w="16" w:type="dxa"/>
            </w:tcMar>
            <w:vAlign w:val="center"/>
          </w:tcPr>
          <w:p w14:paraId="380F9B39">
            <w:pPr>
              <w:adjustRightInd w:val="0"/>
              <w:snapToGrid w:val="0"/>
              <w:spacing w:line="240" w:lineRule="auto"/>
              <w:ind w:firstLine="0" w:firstLineChars="0"/>
              <w:jc w:val="center"/>
              <w:rPr>
                <w:color w:val="auto"/>
              </w:rPr>
            </w:pPr>
            <w:r>
              <w:rPr>
                <w:color w:val="auto"/>
              </w:rPr>
              <w:t>总投资（万元）</w:t>
            </w:r>
          </w:p>
        </w:tc>
        <w:tc>
          <w:tcPr>
            <w:tcW w:w="2628" w:type="dxa"/>
            <w:vAlign w:val="center"/>
          </w:tcPr>
          <w:p w14:paraId="49C2A7C8">
            <w:pPr>
              <w:adjustRightInd w:val="0"/>
              <w:snapToGrid w:val="0"/>
              <w:spacing w:line="240" w:lineRule="auto"/>
              <w:ind w:firstLine="0" w:firstLineChars="0"/>
              <w:jc w:val="center"/>
              <w:rPr>
                <w:rFonts w:hint="default" w:eastAsia="宋体"/>
                <w:color w:val="auto"/>
                <w:highlight w:val="none"/>
                <w:lang w:val="en-US" w:eastAsia="zh-CN"/>
              </w:rPr>
            </w:pPr>
            <w:r>
              <w:rPr>
                <w:rFonts w:hint="eastAsia"/>
                <w:color w:val="auto"/>
                <w:highlight w:val="none"/>
                <w:lang w:val="en-US" w:eastAsia="zh-CN"/>
              </w:rPr>
              <w:t>11086.2</w:t>
            </w:r>
          </w:p>
        </w:tc>
        <w:tc>
          <w:tcPr>
            <w:tcW w:w="1764" w:type="dxa"/>
            <w:tcMar>
              <w:top w:w="16" w:type="dxa"/>
              <w:left w:w="16" w:type="dxa"/>
              <w:right w:w="16" w:type="dxa"/>
            </w:tcMar>
            <w:vAlign w:val="center"/>
          </w:tcPr>
          <w:p w14:paraId="4BAB87D6">
            <w:pPr>
              <w:adjustRightInd w:val="0"/>
              <w:snapToGrid w:val="0"/>
              <w:spacing w:line="240" w:lineRule="auto"/>
              <w:ind w:firstLine="0" w:firstLineChars="0"/>
              <w:jc w:val="center"/>
              <w:rPr>
                <w:color w:val="auto"/>
                <w:highlight w:val="none"/>
              </w:rPr>
            </w:pPr>
            <w:r>
              <w:rPr>
                <w:color w:val="auto"/>
                <w:highlight w:val="none"/>
              </w:rPr>
              <w:t>环保投资（万元）</w:t>
            </w:r>
          </w:p>
        </w:tc>
        <w:tc>
          <w:tcPr>
            <w:tcW w:w="3210" w:type="dxa"/>
            <w:vAlign w:val="center"/>
          </w:tcPr>
          <w:p w14:paraId="0E86F0F7">
            <w:pPr>
              <w:adjustRightInd w:val="0"/>
              <w:snapToGrid w:val="0"/>
              <w:spacing w:line="240" w:lineRule="auto"/>
              <w:ind w:firstLine="0" w:firstLineChars="0"/>
              <w:jc w:val="center"/>
              <w:rPr>
                <w:rFonts w:hint="default" w:eastAsia="宋体"/>
                <w:color w:val="auto"/>
                <w:highlight w:val="none"/>
                <w:lang w:val="en-US" w:eastAsia="zh-CN"/>
              </w:rPr>
            </w:pPr>
            <w:r>
              <w:rPr>
                <w:rFonts w:hint="eastAsia"/>
                <w:color w:val="auto"/>
                <w:highlight w:val="none"/>
                <w:lang w:val="en-US" w:eastAsia="zh-CN"/>
              </w:rPr>
              <w:t>155</w:t>
            </w:r>
          </w:p>
        </w:tc>
      </w:tr>
      <w:tr w14:paraId="75F54B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14" w:hRule="atLeast"/>
          <w:jc w:val="center"/>
        </w:trPr>
        <w:tc>
          <w:tcPr>
            <w:tcW w:w="1268" w:type="dxa"/>
            <w:tcMar>
              <w:top w:w="16" w:type="dxa"/>
              <w:left w:w="16" w:type="dxa"/>
              <w:right w:w="16" w:type="dxa"/>
            </w:tcMar>
            <w:vAlign w:val="center"/>
          </w:tcPr>
          <w:p w14:paraId="7562230F">
            <w:pPr>
              <w:adjustRightInd w:val="0"/>
              <w:snapToGrid w:val="0"/>
              <w:spacing w:line="240" w:lineRule="auto"/>
              <w:ind w:firstLine="0" w:firstLineChars="0"/>
              <w:jc w:val="center"/>
              <w:rPr>
                <w:color w:val="auto"/>
              </w:rPr>
            </w:pPr>
            <w:r>
              <w:rPr>
                <w:color w:val="auto"/>
              </w:rPr>
              <w:t>环保投资占比（%）</w:t>
            </w:r>
          </w:p>
        </w:tc>
        <w:tc>
          <w:tcPr>
            <w:tcW w:w="2628" w:type="dxa"/>
            <w:vAlign w:val="center"/>
          </w:tcPr>
          <w:p w14:paraId="50E7F54D">
            <w:pPr>
              <w:adjustRightInd w:val="0"/>
              <w:snapToGrid w:val="0"/>
              <w:spacing w:line="240" w:lineRule="auto"/>
              <w:ind w:firstLine="0" w:firstLineChars="0"/>
              <w:jc w:val="center"/>
              <w:rPr>
                <w:rFonts w:hint="default" w:eastAsia="宋体"/>
                <w:color w:val="auto"/>
                <w:highlight w:val="none"/>
                <w:lang w:val="en-US" w:eastAsia="zh-CN"/>
              </w:rPr>
            </w:pPr>
            <w:r>
              <w:rPr>
                <w:rFonts w:hint="eastAsia"/>
                <w:color w:val="auto"/>
                <w:highlight w:val="none"/>
                <w:lang w:val="en-US" w:eastAsia="zh-CN"/>
              </w:rPr>
              <w:t>1.40</w:t>
            </w:r>
          </w:p>
        </w:tc>
        <w:tc>
          <w:tcPr>
            <w:tcW w:w="1764" w:type="dxa"/>
            <w:tcMar>
              <w:top w:w="16" w:type="dxa"/>
              <w:left w:w="16" w:type="dxa"/>
              <w:right w:w="16" w:type="dxa"/>
            </w:tcMar>
            <w:vAlign w:val="center"/>
          </w:tcPr>
          <w:p w14:paraId="6DBA78BD">
            <w:pPr>
              <w:adjustRightInd w:val="0"/>
              <w:snapToGrid w:val="0"/>
              <w:spacing w:line="240" w:lineRule="auto"/>
              <w:ind w:firstLine="0" w:firstLineChars="0"/>
              <w:jc w:val="center"/>
              <w:rPr>
                <w:color w:val="auto"/>
                <w:highlight w:val="none"/>
              </w:rPr>
            </w:pPr>
            <w:r>
              <w:rPr>
                <w:color w:val="auto"/>
                <w:highlight w:val="none"/>
              </w:rPr>
              <w:t>施工工期</w:t>
            </w:r>
          </w:p>
        </w:tc>
        <w:tc>
          <w:tcPr>
            <w:tcW w:w="3210" w:type="dxa"/>
            <w:vAlign w:val="center"/>
          </w:tcPr>
          <w:p w14:paraId="25B6EED6">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3</w:t>
            </w:r>
            <w:r>
              <w:rPr>
                <w:color w:val="auto"/>
                <w:highlight w:val="none"/>
              </w:rPr>
              <w:t>个月</w:t>
            </w:r>
          </w:p>
        </w:tc>
      </w:tr>
      <w:tr w14:paraId="021C0A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90" w:hRule="atLeast"/>
          <w:jc w:val="center"/>
        </w:trPr>
        <w:tc>
          <w:tcPr>
            <w:tcW w:w="1268" w:type="dxa"/>
            <w:tcMar>
              <w:top w:w="16" w:type="dxa"/>
              <w:left w:w="16" w:type="dxa"/>
              <w:right w:w="16" w:type="dxa"/>
            </w:tcMar>
            <w:vAlign w:val="center"/>
          </w:tcPr>
          <w:p w14:paraId="5E4F0999">
            <w:pPr>
              <w:adjustRightInd w:val="0"/>
              <w:snapToGrid w:val="0"/>
              <w:spacing w:line="240" w:lineRule="auto"/>
              <w:ind w:firstLine="0" w:firstLineChars="0"/>
              <w:jc w:val="center"/>
              <w:rPr>
                <w:color w:val="auto"/>
              </w:rPr>
            </w:pPr>
            <w:r>
              <w:rPr>
                <w:color w:val="auto"/>
              </w:rPr>
              <w:t>是否开工建设</w:t>
            </w:r>
          </w:p>
        </w:tc>
        <w:tc>
          <w:tcPr>
            <w:tcW w:w="2628" w:type="dxa"/>
            <w:vAlign w:val="center"/>
          </w:tcPr>
          <w:p w14:paraId="193014D1">
            <w:pPr>
              <w:spacing w:line="240" w:lineRule="auto"/>
              <w:ind w:firstLine="0" w:firstLineChars="0"/>
              <w:jc w:val="left"/>
              <w:rPr>
                <w:rFonts w:hint="eastAsia" w:ascii="宋体" w:hAnsi="宋体" w:cs="宋体"/>
                <w:color w:val="auto"/>
              </w:rPr>
            </w:pPr>
            <w:r>
              <w:rPr>
                <w:rFonts w:hint="eastAsia" w:ascii="宋体" w:hAnsi="宋体" w:cs="宋体"/>
                <w:color w:val="auto"/>
              </w:rPr>
              <w:sym w:font="Wingdings 2" w:char="0052"/>
            </w:r>
            <w:r>
              <w:rPr>
                <w:rFonts w:hint="eastAsia" w:ascii="宋体" w:hAnsi="宋体" w:cs="宋体"/>
                <w:color w:val="auto"/>
              </w:rPr>
              <w:t>否</w:t>
            </w:r>
          </w:p>
          <w:p w14:paraId="649B4E6B">
            <w:pPr>
              <w:spacing w:line="240" w:lineRule="auto"/>
              <w:ind w:firstLine="0" w:firstLineChars="0"/>
              <w:jc w:val="left"/>
              <w:rPr>
                <w:color w:val="auto"/>
              </w:rPr>
            </w:pPr>
            <w:r>
              <w:rPr>
                <w:rFonts w:hint="eastAsia" w:ascii="宋体" w:hAnsi="宋体" w:cs="宋体"/>
                <w:color w:val="auto"/>
              </w:rPr>
              <w:sym w:font="Wingdings 2" w:char="00A3"/>
            </w:r>
            <w:r>
              <w:rPr>
                <w:rFonts w:hint="eastAsia" w:ascii="宋体" w:hAnsi="宋体" w:cs="宋体"/>
                <w:color w:val="auto"/>
              </w:rPr>
              <w:t>是：</w:t>
            </w:r>
          </w:p>
        </w:tc>
        <w:tc>
          <w:tcPr>
            <w:tcW w:w="1764" w:type="dxa"/>
            <w:tcMar>
              <w:top w:w="16" w:type="dxa"/>
              <w:left w:w="16" w:type="dxa"/>
              <w:right w:w="16" w:type="dxa"/>
            </w:tcMar>
            <w:vAlign w:val="center"/>
          </w:tcPr>
          <w:p w14:paraId="351C5D6D">
            <w:pPr>
              <w:adjustRightInd w:val="0"/>
              <w:snapToGrid w:val="0"/>
              <w:spacing w:line="240" w:lineRule="auto"/>
              <w:ind w:firstLine="0" w:firstLineChars="0"/>
              <w:jc w:val="center"/>
              <w:rPr>
                <w:color w:val="auto"/>
                <w:spacing w:val="-6"/>
              </w:rPr>
            </w:pPr>
            <w:r>
              <w:rPr>
                <w:color w:val="auto"/>
                <w:spacing w:val="-6"/>
              </w:rPr>
              <w:t>用地（用海）</w:t>
            </w:r>
          </w:p>
          <w:p w14:paraId="1C38F06C">
            <w:pPr>
              <w:adjustRightInd w:val="0"/>
              <w:snapToGrid w:val="0"/>
              <w:spacing w:line="240" w:lineRule="auto"/>
              <w:ind w:firstLine="0" w:firstLineChars="0"/>
              <w:jc w:val="center"/>
              <w:rPr>
                <w:color w:val="auto"/>
              </w:rPr>
            </w:pPr>
            <w:r>
              <w:rPr>
                <w:color w:val="auto"/>
                <w:spacing w:val="-6"/>
              </w:rPr>
              <w:t>面积（m</w:t>
            </w:r>
            <w:r>
              <w:rPr>
                <w:color w:val="auto"/>
                <w:spacing w:val="-6"/>
                <w:vertAlign w:val="superscript"/>
              </w:rPr>
              <w:t>2</w:t>
            </w:r>
            <w:r>
              <w:rPr>
                <w:color w:val="auto"/>
                <w:spacing w:val="-6"/>
              </w:rPr>
              <w:t>）</w:t>
            </w:r>
          </w:p>
        </w:tc>
        <w:tc>
          <w:tcPr>
            <w:tcW w:w="3210" w:type="dxa"/>
            <w:vAlign w:val="center"/>
          </w:tcPr>
          <w:p w14:paraId="4F6C2032">
            <w:pPr>
              <w:adjustRightInd w:val="0"/>
              <w:snapToGrid w:val="0"/>
              <w:spacing w:line="240" w:lineRule="auto"/>
              <w:ind w:firstLine="0" w:firstLineChars="0"/>
              <w:jc w:val="center"/>
              <w:rPr>
                <w:rFonts w:hint="default" w:eastAsia="宋体"/>
                <w:color w:val="auto"/>
                <w:lang w:val="en-US" w:eastAsia="zh-CN"/>
              </w:rPr>
            </w:pPr>
            <w:r>
              <w:rPr>
                <w:rFonts w:hint="eastAsia"/>
                <w:color w:val="auto"/>
                <w:highlight w:val="none"/>
                <w:lang w:val="en-US" w:eastAsia="zh-CN"/>
              </w:rPr>
              <w:t>26666.96</w:t>
            </w:r>
          </w:p>
        </w:tc>
      </w:tr>
      <w:tr w14:paraId="5DEE54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8" w:type="dxa"/>
            <w:vAlign w:val="center"/>
          </w:tcPr>
          <w:p w14:paraId="08CC1018">
            <w:pPr>
              <w:autoSpaceDE w:val="0"/>
              <w:autoSpaceDN w:val="0"/>
              <w:adjustRightInd w:val="0"/>
              <w:snapToGrid w:val="0"/>
              <w:spacing w:line="240" w:lineRule="auto"/>
              <w:ind w:firstLine="0" w:firstLineChars="0"/>
              <w:jc w:val="center"/>
              <w:rPr>
                <w:color w:val="auto"/>
                <w:kern w:val="0"/>
              </w:rPr>
            </w:pPr>
            <w:r>
              <w:rPr>
                <w:color w:val="auto"/>
                <w:kern w:val="0"/>
              </w:rPr>
              <w:t>专项评价设置情况</w:t>
            </w:r>
          </w:p>
        </w:tc>
        <w:tc>
          <w:tcPr>
            <w:tcW w:w="7602" w:type="dxa"/>
            <w:gridSpan w:val="3"/>
            <w:vAlign w:val="center"/>
          </w:tcPr>
          <w:p w14:paraId="17922DA8">
            <w:pPr>
              <w:autoSpaceDE w:val="0"/>
              <w:autoSpaceDN w:val="0"/>
              <w:adjustRightInd w:val="0"/>
              <w:snapToGrid w:val="0"/>
              <w:spacing w:line="240" w:lineRule="auto"/>
              <w:ind w:firstLine="0" w:firstLineChars="0"/>
              <w:jc w:val="center"/>
              <w:rPr>
                <w:color w:val="auto"/>
                <w:kern w:val="0"/>
              </w:rPr>
            </w:pPr>
            <w:r>
              <w:rPr>
                <w:color w:val="auto"/>
                <w:kern w:val="0"/>
              </w:rPr>
              <w:t>无</w:t>
            </w:r>
          </w:p>
        </w:tc>
      </w:tr>
      <w:tr w14:paraId="622030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8" w:type="dxa"/>
            <w:vAlign w:val="center"/>
          </w:tcPr>
          <w:p w14:paraId="1B3416FB">
            <w:pPr>
              <w:autoSpaceDE w:val="0"/>
              <w:autoSpaceDN w:val="0"/>
              <w:adjustRightInd w:val="0"/>
              <w:snapToGrid w:val="0"/>
              <w:spacing w:line="240" w:lineRule="auto"/>
              <w:ind w:firstLine="0" w:firstLineChars="0"/>
              <w:jc w:val="center"/>
              <w:rPr>
                <w:color w:val="auto"/>
                <w:kern w:val="0"/>
              </w:rPr>
            </w:pPr>
            <w:r>
              <w:rPr>
                <w:color w:val="auto"/>
                <w:kern w:val="0"/>
              </w:rPr>
              <w:t>规划情况</w:t>
            </w:r>
          </w:p>
        </w:tc>
        <w:tc>
          <w:tcPr>
            <w:tcW w:w="7602" w:type="dxa"/>
            <w:gridSpan w:val="3"/>
            <w:vAlign w:val="center"/>
          </w:tcPr>
          <w:p w14:paraId="4641B742">
            <w:pPr>
              <w:autoSpaceDE w:val="0"/>
              <w:autoSpaceDN w:val="0"/>
              <w:adjustRightInd w:val="0"/>
              <w:snapToGrid w:val="0"/>
              <w:spacing w:line="240" w:lineRule="auto"/>
              <w:ind w:firstLine="0" w:firstLineChars="0"/>
              <w:jc w:val="center"/>
              <w:rPr>
                <w:color w:val="auto"/>
              </w:rPr>
            </w:pPr>
            <w:r>
              <w:rPr>
                <w:rFonts w:hint="eastAsia"/>
                <w:color w:val="auto"/>
                <w:lang w:val="en-US" w:eastAsia="zh-CN"/>
              </w:rPr>
              <w:t>《东至县县城总体规划</w:t>
            </w:r>
            <w:r>
              <w:rPr>
                <w:rFonts w:hint="default"/>
                <w:color w:val="auto"/>
                <w:lang w:val="en-US" w:eastAsia="zh-CN"/>
              </w:rPr>
              <w:t>(2016-2030)</w:t>
            </w:r>
            <w:r>
              <w:rPr>
                <w:rFonts w:hint="eastAsia"/>
                <w:color w:val="auto"/>
                <w:lang w:val="en-US" w:eastAsia="zh-CN"/>
              </w:rPr>
              <w:t>》（池政秘（</w:t>
            </w:r>
            <w:r>
              <w:rPr>
                <w:rFonts w:hint="default"/>
                <w:color w:val="auto"/>
                <w:lang w:val="en-US" w:eastAsia="zh-CN"/>
              </w:rPr>
              <w:t>2018</w:t>
            </w:r>
            <w:r>
              <w:rPr>
                <w:rFonts w:hint="eastAsia"/>
                <w:color w:val="auto"/>
                <w:lang w:val="en-US" w:eastAsia="zh-CN"/>
              </w:rPr>
              <w:t>）</w:t>
            </w:r>
            <w:r>
              <w:rPr>
                <w:rFonts w:hint="default"/>
                <w:color w:val="auto"/>
                <w:lang w:val="en-US" w:eastAsia="zh-CN"/>
              </w:rPr>
              <w:t xml:space="preserve">374 </w:t>
            </w:r>
            <w:r>
              <w:rPr>
                <w:rFonts w:hint="eastAsia"/>
                <w:color w:val="auto"/>
                <w:lang w:val="en-US" w:eastAsia="zh-CN"/>
              </w:rPr>
              <w:t>号）</w:t>
            </w:r>
          </w:p>
        </w:tc>
      </w:tr>
      <w:tr w14:paraId="18C538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68" w:type="dxa"/>
            <w:vAlign w:val="center"/>
          </w:tcPr>
          <w:p w14:paraId="07EBAA37">
            <w:pPr>
              <w:autoSpaceDE w:val="0"/>
              <w:autoSpaceDN w:val="0"/>
              <w:adjustRightInd w:val="0"/>
              <w:snapToGrid w:val="0"/>
              <w:spacing w:line="240" w:lineRule="auto"/>
              <w:ind w:firstLine="0" w:firstLineChars="0"/>
              <w:jc w:val="center"/>
              <w:rPr>
                <w:color w:val="auto"/>
                <w:kern w:val="0"/>
              </w:rPr>
            </w:pPr>
            <w:r>
              <w:rPr>
                <w:color w:val="auto"/>
                <w:kern w:val="0"/>
              </w:rPr>
              <w:t>规划环境影响评价情况</w:t>
            </w:r>
          </w:p>
        </w:tc>
        <w:tc>
          <w:tcPr>
            <w:tcW w:w="7602" w:type="dxa"/>
            <w:gridSpan w:val="3"/>
            <w:vAlign w:val="center"/>
          </w:tcPr>
          <w:p w14:paraId="76EDB853">
            <w:pPr>
              <w:autoSpaceDE w:val="0"/>
              <w:autoSpaceDN w:val="0"/>
              <w:adjustRightInd w:val="0"/>
              <w:snapToGrid w:val="0"/>
              <w:ind w:firstLine="0" w:firstLineChars="0"/>
              <w:jc w:val="center"/>
              <w:rPr>
                <w:bCs/>
                <w:color w:val="auto"/>
                <w:kern w:val="0"/>
              </w:rPr>
            </w:pPr>
            <w:r>
              <w:rPr>
                <w:rFonts w:hint="eastAsia"/>
                <w:bCs/>
                <w:color w:val="auto"/>
                <w:kern w:val="0"/>
              </w:rPr>
              <w:t>无</w:t>
            </w:r>
          </w:p>
        </w:tc>
      </w:tr>
      <w:tr w14:paraId="460BA6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68" w:type="dxa"/>
            <w:vAlign w:val="center"/>
          </w:tcPr>
          <w:p w14:paraId="611FB7B4">
            <w:pPr>
              <w:adjustRightInd w:val="0"/>
              <w:snapToGrid w:val="0"/>
              <w:spacing w:line="240" w:lineRule="auto"/>
              <w:ind w:firstLine="0" w:firstLineChars="0"/>
              <w:jc w:val="center"/>
              <w:rPr>
                <w:color w:val="auto"/>
                <w:szCs w:val="21"/>
              </w:rPr>
            </w:pPr>
            <w:r>
              <w:rPr>
                <w:color w:val="auto"/>
                <w:kern w:val="0"/>
                <w:szCs w:val="21"/>
              </w:rPr>
              <w:t>规划及规划环境影响评价符合性分析</w:t>
            </w:r>
          </w:p>
        </w:tc>
        <w:tc>
          <w:tcPr>
            <w:tcW w:w="7602" w:type="dxa"/>
            <w:gridSpan w:val="3"/>
            <w:vAlign w:val="center"/>
          </w:tcPr>
          <w:p w14:paraId="75EE1638">
            <w:pPr>
              <w:keepNext w:val="0"/>
              <w:keepLines w:val="0"/>
              <w:widowControl/>
              <w:suppressLineNumbers w:val="0"/>
              <w:jc w:val="left"/>
              <w:rPr>
                <w:color w:val="auto"/>
              </w:rPr>
            </w:pPr>
            <w:r>
              <w:rPr>
                <w:rFonts w:hint="default" w:ascii="Times New Roman" w:hAnsi="Times New Roman" w:eastAsia="宋体" w:cs="Times New Roman"/>
                <w:b/>
                <w:bCs/>
                <w:color w:val="auto"/>
                <w:kern w:val="0"/>
                <w:sz w:val="24"/>
                <w:szCs w:val="24"/>
                <w:lang w:val="en-US" w:eastAsia="zh-CN" w:bidi="ar"/>
              </w:rPr>
              <w:t>1</w:t>
            </w:r>
            <w:r>
              <w:rPr>
                <w:rFonts w:hint="eastAsia" w:ascii="宋体" w:hAnsi="宋体" w:eastAsia="宋体" w:cs="宋体"/>
                <w:b/>
                <w:bCs/>
                <w:color w:val="auto"/>
                <w:kern w:val="0"/>
                <w:sz w:val="24"/>
                <w:szCs w:val="24"/>
                <w:lang w:val="en-US" w:eastAsia="zh-CN" w:bidi="ar"/>
              </w:rPr>
              <w:t>、与《东至县县城总体规划（</w:t>
            </w:r>
            <w:r>
              <w:rPr>
                <w:rFonts w:hint="default" w:ascii="Times New Roman" w:hAnsi="Times New Roman" w:eastAsia="宋体" w:cs="Times New Roman"/>
                <w:b/>
                <w:bCs/>
                <w:color w:val="auto"/>
                <w:kern w:val="0"/>
                <w:sz w:val="24"/>
                <w:szCs w:val="24"/>
                <w:lang w:val="en-US" w:eastAsia="zh-CN" w:bidi="ar"/>
              </w:rPr>
              <w:t>2016-2030</w:t>
            </w:r>
            <w:r>
              <w:rPr>
                <w:rFonts w:hint="eastAsia" w:ascii="宋体" w:hAnsi="宋体" w:eastAsia="宋体" w:cs="宋体"/>
                <w:b/>
                <w:bCs/>
                <w:color w:val="auto"/>
                <w:kern w:val="0"/>
                <w:sz w:val="24"/>
                <w:szCs w:val="24"/>
                <w:lang w:val="en-US" w:eastAsia="zh-CN" w:bidi="ar"/>
              </w:rPr>
              <w:t>）》的符合性</w:t>
            </w:r>
          </w:p>
          <w:p w14:paraId="242D5B8A">
            <w:pPr>
              <w:keepNext w:val="0"/>
              <w:keepLines w:val="0"/>
              <w:widowControl/>
              <w:suppressLineNumbers w:val="0"/>
              <w:jc w:val="left"/>
              <w:rPr>
                <w:rFonts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根据《东至县县城总体规划（</w:t>
            </w:r>
            <w:r>
              <w:rPr>
                <w:rFonts w:hint="default" w:ascii="Times New Roman" w:hAnsi="Times New Roman" w:eastAsia="宋体" w:cs="Times New Roman"/>
                <w:color w:val="auto"/>
                <w:kern w:val="2"/>
                <w:sz w:val="24"/>
                <w:szCs w:val="24"/>
                <w:lang w:val="en-US" w:eastAsia="zh-CN" w:bidi="ar-SA"/>
              </w:rPr>
              <w:t>2016-2030</w:t>
            </w:r>
            <w:r>
              <w:rPr>
                <w:rFonts w:hint="eastAsia" w:ascii="Times New Roman" w:hAnsi="Times New Roman" w:eastAsia="宋体" w:cs="Times New Roman"/>
                <w:color w:val="auto"/>
                <w:kern w:val="2"/>
                <w:sz w:val="24"/>
                <w:szCs w:val="24"/>
                <w:lang w:val="en-US" w:eastAsia="zh-CN" w:bidi="ar-SA"/>
              </w:rPr>
              <w:t>）》，规划确定东至城市发展战略定位是：皖江城市带承接产业转移示范区以内工业、旅游业、能源为主的重要二级城市。项目位于安徽省池州市东至县尧渡镇建东村，建设内容为：东至县建筑垃圾综合处置项目，项目是东至县循环经济可持续发展的重要 举措，有效促进东至县推动新能源、节能环保、新材料等新型产业升级，积极推动东至成为区域重要的战略性新兴产业基地，因此，本项目建设是城市性质的重要体现，符合东至城市总体规划的指导思想。</w:t>
            </w:r>
          </w:p>
          <w:p w14:paraId="2E1F0E36">
            <w:pPr>
              <w:keepNext w:val="0"/>
              <w:keepLines w:val="0"/>
              <w:widowControl/>
              <w:suppressLineNumbers w:val="0"/>
              <w:jc w:val="left"/>
              <w:rPr>
                <w:rFonts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根据《城市用地分类与规划建设用地标准》（</w:t>
            </w:r>
            <w:r>
              <w:rPr>
                <w:rFonts w:hint="default" w:ascii="Times New Roman" w:hAnsi="Times New Roman" w:eastAsia="宋体" w:cs="Times New Roman"/>
                <w:color w:val="auto"/>
                <w:kern w:val="2"/>
                <w:sz w:val="24"/>
                <w:szCs w:val="24"/>
                <w:lang w:val="en-US" w:eastAsia="zh-CN" w:bidi="ar-SA"/>
              </w:rPr>
              <w:t>GB50137-2011</w:t>
            </w:r>
            <w:r>
              <w:rPr>
                <w:rFonts w:hint="eastAsia" w:ascii="Times New Roman" w:hAnsi="Times New Roman" w:eastAsia="宋体" w:cs="Times New Roman"/>
                <w:color w:val="auto"/>
                <w:kern w:val="2"/>
                <w:sz w:val="24"/>
                <w:szCs w:val="24"/>
                <w:lang w:val="en-US" w:eastAsia="zh-CN" w:bidi="ar-SA"/>
              </w:rPr>
              <w:t>），项目选址位于安徽省池州市东至县尧渡镇建东村，该地块属于工业用地，符合东至县县城总体规划，经现场踏勘，对该地块适用性进行评价，工程建设条件较好。综上所述，本项目建设符合《东至县县城总</w:t>
            </w:r>
          </w:p>
          <w:p w14:paraId="4D8DFA40">
            <w:pPr>
              <w:keepNext w:val="0"/>
              <w:keepLines w:val="0"/>
              <w:widowControl/>
              <w:suppressLineNumbers w:val="0"/>
              <w:ind w:left="0" w:leftChars="0" w:firstLine="0" w:firstLineChars="0"/>
              <w:jc w:val="left"/>
              <w:rPr>
                <w:rFonts w:hint="eastAsia" w:ascii="宋体" w:hAnsi="宋体" w:eastAsia="宋体"/>
                <w:bCs/>
                <w:color w:val="auto"/>
                <w:lang w:val="en-US" w:eastAsia="zh-CN"/>
              </w:rPr>
            </w:pPr>
            <w:r>
              <w:rPr>
                <w:rFonts w:hint="eastAsia" w:ascii="Times New Roman" w:hAnsi="Times New Roman" w:eastAsia="宋体" w:cs="Times New Roman"/>
                <w:color w:val="auto"/>
                <w:kern w:val="2"/>
                <w:sz w:val="24"/>
                <w:szCs w:val="24"/>
                <w:lang w:val="en-US" w:eastAsia="zh-CN" w:bidi="ar-SA"/>
              </w:rPr>
              <w:t>体规划（</w:t>
            </w:r>
            <w:r>
              <w:rPr>
                <w:rFonts w:hint="default" w:ascii="Times New Roman" w:hAnsi="Times New Roman" w:eastAsia="宋体" w:cs="Times New Roman"/>
                <w:color w:val="auto"/>
                <w:kern w:val="2"/>
                <w:sz w:val="24"/>
                <w:szCs w:val="24"/>
                <w:lang w:val="en-US" w:eastAsia="zh-CN" w:bidi="ar-SA"/>
              </w:rPr>
              <w:t>2016-2030</w:t>
            </w:r>
            <w:r>
              <w:rPr>
                <w:rFonts w:hint="eastAsia" w:ascii="Times New Roman" w:hAnsi="Times New Roman" w:eastAsia="宋体" w:cs="Times New Roman"/>
                <w:color w:val="auto"/>
                <w:kern w:val="2"/>
                <w:sz w:val="24"/>
                <w:szCs w:val="24"/>
                <w:lang w:val="en-US" w:eastAsia="zh-CN" w:bidi="ar-SA"/>
              </w:rPr>
              <w:t>）》。</w:t>
            </w:r>
          </w:p>
        </w:tc>
      </w:tr>
      <w:tr w14:paraId="746162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35" w:hRule="atLeast"/>
          <w:jc w:val="center"/>
        </w:trPr>
        <w:tc>
          <w:tcPr>
            <w:tcW w:w="1268" w:type="dxa"/>
            <w:vAlign w:val="center"/>
          </w:tcPr>
          <w:p w14:paraId="4804FAE2">
            <w:pPr>
              <w:autoSpaceDE w:val="0"/>
              <w:autoSpaceDN w:val="0"/>
              <w:adjustRightInd w:val="0"/>
              <w:snapToGrid w:val="0"/>
              <w:spacing w:line="240" w:lineRule="auto"/>
              <w:ind w:firstLine="0" w:firstLineChars="0"/>
              <w:jc w:val="center"/>
              <w:rPr>
                <w:color w:val="auto"/>
                <w:kern w:val="0"/>
                <w:szCs w:val="21"/>
              </w:rPr>
            </w:pPr>
            <w:r>
              <w:rPr>
                <w:color w:val="auto"/>
              </w:rPr>
              <w:t>其他符合性分析</w:t>
            </w:r>
          </w:p>
        </w:tc>
        <w:tc>
          <w:tcPr>
            <w:tcW w:w="7602" w:type="dxa"/>
            <w:gridSpan w:val="3"/>
          </w:tcPr>
          <w:p w14:paraId="02197C02">
            <w:pPr>
              <w:keepNext/>
              <w:keepLines/>
              <w:ind w:firstLine="482"/>
              <w:jc w:val="left"/>
              <w:outlineLvl w:val="2"/>
              <w:rPr>
                <w:b/>
                <w:bCs/>
                <w:color w:val="auto"/>
                <w:szCs w:val="30"/>
              </w:rPr>
            </w:pPr>
            <w:r>
              <w:rPr>
                <w:rFonts w:hint="eastAsia"/>
                <w:b/>
                <w:bCs/>
                <w:color w:val="auto"/>
                <w:szCs w:val="30"/>
              </w:rPr>
              <w:t>1.</w:t>
            </w:r>
            <w:r>
              <w:rPr>
                <w:b/>
                <w:bCs/>
                <w:color w:val="auto"/>
                <w:szCs w:val="30"/>
              </w:rPr>
              <w:t>产业政策符合性分析</w:t>
            </w:r>
          </w:p>
          <w:p w14:paraId="26B70C47">
            <w:pPr>
              <w:pStyle w:val="10"/>
              <w:ind w:firstLine="480"/>
              <w:jc w:val="both"/>
              <w:rPr>
                <w:color w:val="auto"/>
              </w:rPr>
            </w:pPr>
            <w:r>
              <w:rPr>
                <w:color w:val="auto"/>
              </w:rPr>
              <w:t>本项目N7723固体废物治理</w:t>
            </w:r>
            <w:r>
              <w:rPr>
                <w:rFonts w:hint="eastAsia"/>
                <w:color w:val="auto"/>
              </w:rPr>
              <w:t>项目，因原料使用</w:t>
            </w:r>
            <w:r>
              <w:rPr>
                <w:rFonts w:hint="eastAsia"/>
                <w:color w:val="auto"/>
                <w:lang w:val="en-US" w:eastAsia="zh-CN"/>
              </w:rPr>
              <w:t>建筑垃圾为</w:t>
            </w:r>
            <w:r>
              <w:rPr>
                <w:rFonts w:hint="eastAsia"/>
                <w:color w:val="auto"/>
              </w:rPr>
              <w:t>一般固废，产品包含水稳料和</w:t>
            </w:r>
            <w:r>
              <w:rPr>
                <w:rFonts w:hint="eastAsia"/>
                <w:color w:val="auto"/>
                <w:lang w:val="en-US" w:eastAsia="zh-CN"/>
              </w:rPr>
              <w:t>RDF燃料</w:t>
            </w:r>
            <w:r>
              <w:rPr>
                <w:rFonts w:hint="eastAsia"/>
                <w:color w:val="auto"/>
              </w:rPr>
              <w:t>，该项目国民经济行业类别同时</w:t>
            </w:r>
            <w:r>
              <w:rPr>
                <w:color w:val="auto"/>
              </w:rPr>
              <w:t>涉及</w:t>
            </w:r>
            <w:r>
              <w:rPr>
                <w:rFonts w:hint="eastAsia"/>
                <w:color w:val="auto"/>
              </w:rPr>
              <w:t>C3021水泥制品制造、</w:t>
            </w:r>
            <w:r>
              <w:rPr>
                <w:color w:val="auto"/>
              </w:rPr>
              <w:t>C4220非金属废弃料和碎屑加工处理</w:t>
            </w:r>
            <w:r>
              <w:rPr>
                <w:rFonts w:hint="eastAsia"/>
                <w:color w:val="auto"/>
                <w:lang w:eastAsia="zh-CN"/>
              </w:rPr>
              <w:t>、</w:t>
            </w:r>
            <w:r>
              <w:rPr>
                <w:rFonts w:hint="eastAsia" w:ascii="Times New Roman" w:hAnsi="Times New Roman"/>
                <w:color w:val="000000"/>
                <w:sz w:val="24"/>
                <w:szCs w:val="24"/>
              </w:rPr>
              <w:t>C2542生物质致密成型燃料加工</w:t>
            </w:r>
            <w:r>
              <w:rPr>
                <w:rFonts w:hint="eastAsia"/>
                <w:color w:val="auto"/>
              </w:rPr>
              <w:t>，对照</w:t>
            </w:r>
            <w:r>
              <w:rPr>
                <w:color w:val="auto"/>
              </w:rPr>
              <w:t>《产业结构调整指导目录》（2024年本）</w:t>
            </w:r>
            <w:r>
              <w:rPr>
                <w:rFonts w:hint="eastAsia"/>
                <w:color w:val="auto"/>
              </w:rPr>
              <w:t>，与本项目有关的类别见表1-</w:t>
            </w:r>
            <w:r>
              <w:rPr>
                <w:rFonts w:hint="eastAsia"/>
                <w:color w:val="auto"/>
                <w:lang w:val="en-US" w:eastAsia="zh-CN"/>
              </w:rPr>
              <w:t>1</w:t>
            </w:r>
            <w:r>
              <w:rPr>
                <w:rFonts w:hint="eastAsia"/>
                <w:color w:val="auto"/>
              </w:rPr>
              <w:t>。</w:t>
            </w:r>
          </w:p>
          <w:p w14:paraId="575ED86F">
            <w:pPr>
              <w:pStyle w:val="10"/>
              <w:spacing w:line="240" w:lineRule="auto"/>
              <w:ind w:firstLine="0" w:firstLineChars="0"/>
              <w:jc w:val="center"/>
              <w:rPr>
                <w:b/>
                <w:bCs/>
                <w:color w:val="auto"/>
                <w:sz w:val="21"/>
                <w:szCs w:val="21"/>
              </w:rPr>
            </w:pPr>
            <w:r>
              <w:rPr>
                <w:rFonts w:hint="eastAsia"/>
                <w:b/>
                <w:bCs/>
                <w:color w:val="auto"/>
                <w:sz w:val="21"/>
                <w:szCs w:val="21"/>
              </w:rPr>
              <w:t>表1-</w:t>
            </w:r>
            <w:r>
              <w:rPr>
                <w:rFonts w:hint="eastAsia"/>
                <w:b/>
                <w:bCs/>
                <w:color w:val="auto"/>
                <w:sz w:val="21"/>
                <w:szCs w:val="21"/>
                <w:lang w:val="en-US" w:eastAsia="zh-CN"/>
              </w:rPr>
              <w:t>1</w:t>
            </w:r>
            <w:r>
              <w:rPr>
                <w:rFonts w:hint="eastAsia"/>
                <w:b/>
                <w:bCs/>
                <w:color w:val="auto"/>
                <w:sz w:val="21"/>
                <w:szCs w:val="21"/>
              </w:rPr>
              <w:t xml:space="preserve">  产业结构调整指导目录对照一览表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971"/>
              <w:gridCol w:w="4314"/>
              <w:gridCol w:w="1318"/>
            </w:tblGrid>
            <w:tr w14:paraId="6298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tcBorders>
                    <w:tl2br w:val="nil"/>
                    <w:tr2bl w:val="nil"/>
                  </w:tcBorders>
                  <w:vAlign w:val="center"/>
                </w:tcPr>
                <w:p w14:paraId="6CA20698">
                  <w:pPr>
                    <w:adjustRightInd w:val="0"/>
                    <w:snapToGrid w:val="0"/>
                    <w:spacing w:line="240" w:lineRule="auto"/>
                    <w:ind w:firstLine="0" w:firstLineChars="0"/>
                    <w:jc w:val="center"/>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类别</w:t>
                  </w:r>
                </w:p>
              </w:tc>
              <w:tc>
                <w:tcPr>
                  <w:tcW w:w="971" w:type="dxa"/>
                  <w:tcBorders>
                    <w:tl2br w:val="nil"/>
                    <w:tr2bl w:val="nil"/>
                  </w:tcBorders>
                  <w:vAlign w:val="center"/>
                </w:tcPr>
                <w:p w14:paraId="1EE3E11E">
                  <w:pPr>
                    <w:adjustRightInd w:val="0"/>
                    <w:snapToGrid w:val="0"/>
                    <w:spacing w:line="240" w:lineRule="auto"/>
                    <w:ind w:firstLine="0" w:firstLineChars="0"/>
                    <w:jc w:val="center"/>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行业类别</w:t>
                  </w:r>
                </w:p>
              </w:tc>
              <w:tc>
                <w:tcPr>
                  <w:tcW w:w="4314" w:type="dxa"/>
                  <w:tcBorders>
                    <w:tl2br w:val="nil"/>
                    <w:tr2bl w:val="nil"/>
                  </w:tcBorders>
                  <w:vAlign w:val="center"/>
                </w:tcPr>
                <w:p w14:paraId="274004F5">
                  <w:pPr>
                    <w:adjustRightInd w:val="0"/>
                    <w:snapToGrid w:val="0"/>
                    <w:spacing w:line="240" w:lineRule="auto"/>
                    <w:ind w:firstLine="0" w:firstLineChars="0"/>
                    <w:jc w:val="center"/>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目录</w:t>
                  </w:r>
                </w:p>
              </w:tc>
              <w:tc>
                <w:tcPr>
                  <w:tcW w:w="1318" w:type="dxa"/>
                  <w:tcBorders>
                    <w:tl2br w:val="nil"/>
                    <w:tr2bl w:val="nil"/>
                  </w:tcBorders>
                  <w:vAlign w:val="center"/>
                </w:tcPr>
                <w:p w14:paraId="5E0AE24D">
                  <w:pPr>
                    <w:adjustRightInd w:val="0"/>
                    <w:snapToGrid w:val="0"/>
                    <w:spacing w:line="240" w:lineRule="auto"/>
                    <w:ind w:firstLine="0" w:firstLineChars="0"/>
                    <w:jc w:val="center"/>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本项目情况</w:t>
                  </w:r>
                </w:p>
              </w:tc>
            </w:tr>
            <w:tr w14:paraId="4EB5B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Merge w:val="restart"/>
                  <w:tcBorders>
                    <w:tl2br w:val="nil"/>
                    <w:tr2bl w:val="nil"/>
                  </w:tcBorders>
                  <w:vAlign w:val="center"/>
                </w:tcPr>
                <w:p w14:paraId="0F6A22E0">
                  <w:pPr>
                    <w:adjustRightInd w:val="0"/>
                    <w:snapToGrid w:val="0"/>
                    <w:spacing w:line="240" w:lineRule="auto"/>
                    <w:ind w:firstLine="0" w:firstLine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鼓励类</w:t>
                  </w:r>
                </w:p>
              </w:tc>
              <w:tc>
                <w:tcPr>
                  <w:tcW w:w="971" w:type="dxa"/>
                  <w:tcBorders>
                    <w:tl2br w:val="nil"/>
                    <w:tr2bl w:val="nil"/>
                  </w:tcBorders>
                  <w:vAlign w:val="center"/>
                </w:tcPr>
                <w:p w14:paraId="75C8A657">
                  <w:pPr>
                    <w:adjustRightInd w:val="0"/>
                    <w:snapToGrid w:val="0"/>
                    <w:spacing w:line="240" w:lineRule="auto"/>
                    <w:ind w:firstLine="0" w:firstLine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十二：建材</w:t>
                  </w:r>
                </w:p>
              </w:tc>
              <w:tc>
                <w:tcPr>
                  <w:tcW w:w="4314" w:type="dxa"/>
                  <w:tcBorders>
                    <w:tl2br w:val="nil"/>
                    <w:tr2bl w:val="nil"/>
                  </w:tcBorders>
                  <w:vAlign w:val="center"/>
                </w:tcPr>
                <w:p w14:paraId="2DA255F0">
                  <w:pPr>
                    <w:adjustRightInd w:val="0"/>
                    <w:snapToGrid w:val="0"/>
                    <w:spacing w:line="240" w:lineRule="auto"/>
                    <w:ind w:firstLine="0" w:firstLine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建材：不低于20万块/日（含）新型烧结砖瓦生产线协同处置大宗废弃物工艺技术及产品的研发与应用；工业副</w:t>
                  </w:r>
                  <w:r>
                    <w:rPr>
                      <w:rFonts w:hint="eastAsia" w:asciiTheme="minorEastAsia" w:hAnsiTheme="minorEastAsia" w:eastAsiaTheme="minorEastAsia" w:cstheme="minorEastAsia"/>
                      <w:color w:val="auto"/>
                      <w:sz w:val="21"/>
                      <w:szCs w:val="21"/>
                      <w:lang w:eastAsia="zh-CN"/>
                    </w:rPr>
                    <w:t>产品</w:t>
                  </w:r>
                  <w:r>
                    <w:rPr>
                      <w:rFonts w:hint="eastAsia" w:asciiTheme="minorEastAsia" w:hAnsiTheme="minorEastAsia" w:eastAsiaTheme="minorEastAsia" w:cstheme="minorEastAsia"/>
                      <w:color w:val="auto"/>
                      <w:sz w:val="21"/>
                      <w:szCs w:val="21"/>
                    </w:rPr>
                    <w:t>磷石膏高效净化提质及高值化综合利用技术；利用矿山尾矿、建筑废弃物、工业废弃物、城市污泥、江河湖（渠）海淤泥等大宗废弃物无害化生产制备砂石骨料、结构混凝土用高强陶粒、功能陶粒、墙体材料等建材及其工艺技术装备开发</w:t>
                  </w:r>
                </w:p>
              </w:tc>
              <w:tc>
                <w:tcPr>
                  <w:tcW w:w="1318" w:type="dxa"/>
                  <w:tcBorders>
                    <w:tl2br w:val="nil"/>
                    <w:tr2bl w:val="nil"/>
                  </w:tcBorders>
                  <w:vAlign w:val="center"/>
                </w:tcPr>
                <w:p w14:paraId="47C79541">
                  <w:pPr>
                    <w:adjustRightInd w:val="0"/>
                    <w:snapToGrid w:val="0"/>
                    <w:spacing w:line="240" w:lineRule="auto"/>
                    <w:ind w:firstLine="0" w:firstLine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w:t>
                  </w:r>
                  <w:r>
                    <w:rPr>
                      <w:rFonts w:hint="eastAsia" w:asciiTheme="minorEastAsia" w:hAnsiTheme="minorEastAsia" w:eastAsiaTheme="minorEastAsia" w:cstheme="minorEastAsia"/>
                      <w:color w:val="auto"/>
                      <w:sz w:val="21"/>
                      <w:szCs w:val="21"/>
                      <w:lang w:val="en-US" w:eastAsia="zh-CN"/>
                    </w:rPr>
                    <w:t>利用建筑垃圾生产骨料，再生产水稳料，</w:t>
                  </w:r>
                  <w:r>
                    <w:rPr>
                      <w:rFonts w:hint="eastAsia" w:asciiTheme="minorEastAsia" w:hAnsiTheme="minorEastAsia" w:eastAsiaTheme="minorEastAsia" w:cstheme="minorEastAsia"/>
                      <w:color w:val="auto"/>
                      <w:sz w:val="21"/>
                      <w:szCs w:val="21"/>
                    </w:rPr>
                    <w:t>为鼓励类</w:t>
                  </w:r>
                </w:p>
              </w:tc>
            </w:tr>
            <w:tr w14:paraId="617BD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3" w:hRule="atLeast"/>
              </w:trPr>
              <w:tc>
                <w:tcPr>
                  <w:tcW w:w="771" w:type="dxa"/>
                  <w:vMerge w:val="continue"/>
                  <w:tcBorders>
                    <w:tl2br w:val="nil"/>
                    <w:tr2bl w:val="nil"/>
                  </w:tcBorders>
                  <w:vAlign w:val="center"/>
                </w:tcPr>
                <w:p w14:paraId="2CA8A95B">
                  <w:pPr>
                    <w:adjustRightInd w:val="0"/>
                    <w:snapToGrid w:val="0"/>
                    <w:spacing w:line="240" w:lineRule="auto"/>
                    <w:ind w:firstLine="0" w:firstLineChars="0"/>
                    <w:jc w:val="center"/>
                    <w:rPr>
                      <w:rFonts w:hint="eastAsia" w:asciiTheme="minorEastAsia" w:hAnsiTheme="minorEastAsia" w:eastAsiaTheme="minorEastAsia" w:cstheme="minorEastAsia"/>
                      <w:color w:val="auto"/>
                      <w:sz w:val="21"/>
                      <w:szCs w:val="21"/>
                    </w:rPr>
                  </w:pPr>
                </w:p>
              </w:tc>
              <w:tc>
                <w:tcPr>
                  <w:tcW w:w="971" w:type="dxa"/>
                  <w:tcBorders>
                    <w:tl2br w:val="nil"/>
                    <w:tr2bl w:val="nil"/>
                  </w:tcBorders>
                  <w:vAlign w:val="center"/>
                </w:tcPr>
                <w:p w14:paraId="5D75DFE0">
                  <w:pPr>
                    <w:adjustRightInd w:val="0"/>
                    <w:snapToGrid w:val="0"/>
                    <w:spacing w:line="240" w:lineRule="auto"/>
                    <w:ind w:firstLine="0" w:firstLine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四十二、环境保护与资源节约综合利用</w:t>
                  </w:r>
                </w:p>
              </w:tc>
              <w:tc>
                <w:tcPr>
                  <w:tcW w:w="4314" w:type="dxa"/>
                  <w:tcBorders>
                    <w:tl2br w:val="nil"/>
                    <w:tr2bl w:val="nil"/>
                  </w:tcBorders>
                  <w:vAlign w:val="center"/>
                </w:tcPr>
                <w:p w14:paraId="2A69746B">
                  <w:pPr>
                    <w:adjustRightInd w:val="0"/>
                    <w:snapToGrid w:val="0"/>
                    <w:spacing w:line="240" w:lineRule="auto"/>
                    <w:ind w:firstLine="0" w:firstLineChars="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废弃物循环利用：废钢铁、废有色金属、废纸、废橡胶、废玻璃、废塑料、废旧木材以及报废汽车、废弃电器电子产品、废旧船舶、废旧电池、废轮胎、废弃木质材料、废旧农具、废旧纺织品及纺织废料和边角料、废旧光伏组件、废旧风机叶片、废弃油脂等城市典型废弃物循环利用、技术设备开发及应用，废旧动力电池自动化拆解、自动化快速分选成组、电池剩余寿命及一致性评估、有价组分综合回收、梯次利用、再生利用技术装备开发及应用，低值可回收物回收利用，“城市矿产”基地和资源循环利用基地建设，煤矸石、粉煤灰、尾矿（共伴生矿）、冶炼渣、工业副产石膏、赤泥、建筑垃圾等工业废弃物循环利用，农作物秸秆、畜禽粪污、农药包装等农林废弃物循环利用，生物质能技术装备（发电、供热、制油、沼气）</w:t>
                  </w:r>
                </w:p>
              </w:tc>
              <w:tc>
                <w:tcPr>
                  <w:tcW w:w="1318" w:type="dxa"/>
                  <w:tcBorders>
                    <w:tl2br w:val="nil"/>
                    <w:tr2bl w:val="nil"/>
                  </w:tcBorders>
                  <w:vAlign w:val="center"/>
                </w:tcPr>
                <w:p w14:paraId="7C4D6838">
                  <w:pPr>
                    <w:adjustRightInd w:val="0"/>
                    <w:snapToGrid w:val="0"/>
                    <w:spacing w:line="240" w:lineRule="auto"/>
                    <w:ind w:firstLine="0" w:firstLineChars="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w:t>
                  </w:r>
                  <w:r>
                    <w:rPr>
                      <w:rFonts w:hint="eastAsia" w:asciiTheme="minorEastAsia" w:hAnsiTheme="minorEastAsia" w:eastAsiaTheme="minorEastAsia" w:cstheme="minorEastAsia"/>
                      <w:color w:val="auto"/>
                      <w:sz w:val="21"/>
                      <w:szCs w:val="21"/>
                      <w:lang w:val="en-US" w:eastAsia="zh-CN"/>
                    </w:rPr>
                    <w:t>为</w:t>
                  </w:r>
                  <w:r>
                    <w:rPr>
                      <w:rFonts w:hint="eastAsia" w:asciiTheme="minorEastAsia" w:hAnsiTheme="minorEastAsia" w:eastAsiaTheme="minorEastAsia" w:cstheme="minorEastAsia"/>
                      <w:color w:val="auto"/>
                      <w:sz w:val="21"/>
                      <w:szCs w:val="21"/>
                    </w:rPr>
                    <w:t>建筑垃圾资源化利用，为鼓励类</w:t>
                  </w:r>
                </w:p>
              </w:tc>
            </w:tr>
          </w:tbl>
          <w:p w14:paraId="21011D14">
            <w:pPr>
              <w:adjustRightInd w:val="0"/>
              <w:snapToGrid w:val="0"/>
              <w:ind w:firstLine="480"/>
              <w:rPr>
                <w:color w:val="auto"/>
              </w:rPr>
            </w:pPr>
            <w:r>
              <w:rPr>
                <w:rFonts w:hint="eastAsia"/>
                <w:color w:val="auto"/>
              </w:rPr>
              <w:t>通过上表可知，本项目为《产业结构调整指导目录》（2024年版）中鼓励类项目，不涉及落后淘汰工艺，且</w:t>
            </w:r>
            <w:r>
              <w:rPr>
                <w:color w:val="auto"/>
              </w:rPr>
              <w:t>项目于</w:t>
            </w:r>
            <w:r>
              <w:rPr>
                <w:rFonts w:eastAsia="TimesNewRomanPSMT"/>
                <w:color w:val="auto"/>
              </w:rPr>
              <w:t>202</w:t>
            </w:r>
            <w:r>
              <w:rPr>
                <w:rFonts w:hint="eastAsia" w:eastAsia="TimesNewRomanPSMT"/>
                <w:color w:val="auto"/>
                <w:lang w:val="en-US" w:eastAsia="zh-CN"/>
              </w:rPr>
              <w:t>5</w:t>
            </w:r>
            <w:r>
              <w:rPr>
                <w:color w:val="auto"/>
              </w:rPr>
              <w:t>年</w:t>
            </w:r>
            <w:r>
              <w:rPr>
                <w:rFonts w:hint="eastAsia"/>
                <w:color w:val="auto"/>
                <w:lang w:val="en-US" w:eastAsia="zh-CN"/>
              </w:rPr>
              <w:t>8</w:t>
            </w:r>
            <w:r>
              <w:rPr>
                <w:color w:val="auto"/>
              </w:rPr>
              <w:t>月</w:t>
            </w:r>
            <w:r>
              <w:rPr>
                <w:rFonts w:hint="eastAsia" w:eastAsia="TimesNewRomanPSMT"/>
                <w:color w:val="auto"/>
                <w:lang w:val="en-US" w:eastAsia="zh-CN"/>
              </w:rPr>
              <w:t>18</w:t>
            </w:r>
            <w:r>
              <w:rPr>
                <w:color w:val="auto"/>
              </w:rPr>
              <w:t>日在</w:t>
            </w:r>
            <w:r>
              <w:rPr>
                <w:rFonts w:hint="eastAsia"/>
                <w:color w:val="auto"/>
                <w:lang w:val="en-US" w:eastAsia="zh-CN"/>
              </w:rPr>
              <w:t>东至县</w:t>
            </w:r>
            <w:r>
              <w:rPr>
                <w:rFonts w:hint="eastAsia"/>
                <w:color w:val="auto"/>
              </w:rPr>
              <w:t>发展和改革委员会</w:t>
            </w:r>
            <w:r>
              <w:rPr>
                <w:color w:val="auto"/>
              </w:rPr>
              <w:t>备案（项目代码：</w:t>
            </w:r>
            <w:r>
              <w:rPr>
                <w:rFonts w:hint="eastAsia"/>
                <w:bCs/>
                <w:color w:val="auto"/>
                <w:spacing w:val="-10"/>
                <w:lang w:val="en-US" w:eastAsia="zh-CN"/>
              </w:rPr>
              <w:t>2508-341721-04-05-368407</w:t>
            </w:r>
            <w:r>
              <w:rPr>
                <w:color w:val="auto"/>
              </w:rPr>
              <w:t>）。</w:t>
            </w:r>
          </w:p>
          <w:p w14:paraId="42C54362">
            <w:pPr>
              <w:adjustRightInd w:val="0"/>
              <w:snapToGrid w:val="0"/>
              <w:ind w:firstLine="480"/>
              <w:rPr>
                <w:b/>
                <w:bCs/>
                <w:color w:val="auto"/>
                <w:szCs w:val="30"/>
              </w:rPr>
            </w:pPr>
            <w:r>
              <w:rPr>
                <w:color w:val="auto"/>
              </w:rPr>
              <w:t>因此，</w:t>
            </w:r>
            <w:r>
              <w:rPr>
                <w:rFonts w:hint="eastAsia"/>
                <w:color w:val="auto"/>
                <w:szCs w:val="22"/>
              </w:rPr>
              <w:t>本项目符合国家</w:t>
            </w:r>
            <w:r>
              <w:rPr>
                <w:rFonts w:hint="eastAsia"/>
                <w:lang w:val="en-US" w:eastAsia="zh-CN"/>
              </w:rPr>
              <w:t>和地方</w:t>
            </w:r>
            <w:r>
              <w:rPr>
                <w:rFonts w:hint="eastAsia"/>
                <w:color w:val="auto"/>
                <w:szCs w:val="22"/>
              </w:rPr>
              <w:t>产业政策</w:t>
            </w:r>
            <w:r>
              <w:rPr>
                <w:rFonts w:hint="eastAsia"/>
                <w:color w:val="auto"/>
                <w:szCs w:val="22"/>
                <w:lang w:val="en-US" w:eastAsia="zh-CN"/>
              </w:rPr>
              <w:t>要求</w:t>
            </w:r>
            <w:r>
              <w:rPr>
                <w:color w:val="auto"/>
              </w:rPr>
              <w:t>。</w:t>
            </w:r>
          </w:p>
          <w:p w14:paraId="24B6EC82">
            <w:pPr>
              <w:keepNext/>
              <w:keepLines/>
              <w:ind w:firstLine="482"/>
              <w:jc w:val="left"/>
              <w:outlineLvl w:val="2"/>
              <w:rPr>
                <w:b/>
                <w:bCs/>
                <w:color w:val="auto"/>
                <w:szCs w:val="30"/>
              </w:rPr>
            </w:pPr>
            <w:r>
              <w:rPr>
                <w:rFonts w:hint="eastAsia"/>
                <w:b/>
                <w:bCs/>
                <w:color w:val="auto"/>
                <w:szCs w:val="30"/>
              </w:rPr>
              <w:t>2.</w:t>
            </w:r>
            <w:r>
              <w:rPr>
                <w:b/>
                <w:bCs/>
                <w:color w:val="auto"/>
                <w:szCs w:val="30"/>
              </w:rPr>
              <w:t>“三线一单”符合性分析</w:t>
            </w:r>
          </w:p>
          <w:p w14:paraId="189BEBE7">
            <w:pPr>
              <w:keepNext/>
              <w:keepLines/>
              <w:ind w:firstLine="482"/>
              <w:jc w:val="left"/>
              <w:outlineLvl w:val="2"/>
              <w:rPr>
                <w:b/>
                <w:bCs/>
                <w:color w:val="auto"/>
                <w:szCs w:val="30"/>
              </w:rPr>
            </w:pPr>
            <w:r>
              <w:rPr>
                <w:rFonts w:hint="eastAsia"/>
                <w:b/>
                <w:bCs/>
                <w:color w:val="auto"/>
                <w:szCs w:val="30"/>
              </w:rPr>
              <w:t>（1）生态保护红线</w:t>
            </w:r>
          </w:p>
          <w:p w14:paraId="37DD6444">
            <w:pPr>
              <w:ind w:firstLine="480"/>
              <w:rPr>
                <w:color w:val="auto"/>
                <w:szCs w:val="30"/>
              </w:rPr>
            </w:pPr>
            <w:r>
              <w:rPr>
                <w:color w:val="auto"/>
                <w:sz w:val="24"/>
              </w:rPr>
              <w:t>本项目选址位于</w:t>
            </w:r>
            <w:r>
              <w:rPr>
                <w:rFonts w:hint="eastAsia"/>
                <w:color w:val="auto"/>
                <w:sz w:val="24"/>
              </w:rPr>
              <w:t>东至县尧渡镇</w:t>
            </w:r>
            <w:r>
              <w:rPr>
                <w:rFonts w:hint="eastAsia"/>
                <w:color w:val="auto"/>
                <w:sz w:val="24"/>
                <w:lang w:val="en-US" w:eastAsia="zh-CN"/>
              </w:rPr>
              <w:t>滨河新区</w:t>
            </w:r>
            <w:r>
              <w:rPr>
                <w:color w:val="auto"/>
                <w:sz w:val="24"/>
              </w:rPr>
              <w:t>。根据《安徽省主体功能区规划》可知，项目不在重点生态功能区内</w:t>
            </w:r>
            <w:r>
              <w:rPr>
                <w:rFonts w:hint="eastAsia"/>
                <w:color w:val="auto"/>
                <w:sz w:val="24"/>
              </w:rPr>
              <w:t>；经核实，本项目</w:t>
            </w:r>
            <w:r>
              <w:rPr>
                <w:color w:val="auto"/>
                <w:sz w:val="24"/>
              </w:rPr>
              <w:t>不在当地饮用水源、风景区、自然保护区等生态保护区内，</w:t>
            </w:r>
            <w:r>
              <w:rPr>
                <w:rFonts w:hint="eastAsia"/>
                <w:color w:val="auto"/>
                <w:sz w:val="24"/>
              </w:rPr>
              <w:t>不涉及生态红线区域，</w:t>
            </w:r>
            <w:r>
              <w:rPr>
                <w:color w:val="auto"/>
                <w:sz w:val="24"/>
              </w:rPr>
              <w:t>满足生态保护红线要求</w:t>
            </w:r>
            <w:r>
              <w:rPr>
                <w:rFonts w:hint="eastAsia"/>
                <w:color w:val="auto"/>
                <w:sz w:val="24"/>
              </w:rPr>
              <w:t>（具体见</w:t>
            </w:r>
            <w:r>
              <w:rPr>
                <w:rFonts w:hint="eastAsia"/>
                <w:color w:val="auto"/>
                <w:sz w:val="24"/>
                <w:highlight w:val="none"/>
              </w:rPr>
              <w:t>附图</w:t>
            </w:r>
            <w:r>
              <w:rPr>
                <w:rFonts w:hint="eastAsia"/>
                <w:color w:val="auto"/>
                <w:sz w:val="24"/>
                <w:highlight w:val="none"/>
                <w:lang w:val="en-US" w:eastAsia="zh-CN"/>
              </w:rPr>
              <w:t>6</w:t>
            </w:r>
            <w:r>
              <w:rPr>
                <w:rFonts w:hint="eastAsia"/>
                <w:color w:val="auto"/>
                <w:sz w:val="24"/>
              </w:rPr>
              <w:t>）</w:t>
            </w:r>
            <w:r>
              <w:rPr>
                <w:rFonts w:hint="eastAsia"/>
                <w:color w:val="auto"/>
                <w:sz w:val="24"/>
                <w:lang w:eastAsia="zh-CN"/>
              </w:rPr>
              <w:t>。</w:t>
            </w:r>
          </w:p>
          <w:p w14:paraId="49395674">
            <w:pPr>
              <w:keepNext/>
              <w:keepLines/>
              <w:ind w:firstLine="482"/>
              <w:rPr>
                <w:b/>
                <w:bCs/>
                <w:color w:val="auto"/>
                <w:szCs w:val="30"/>
              </w:rPr>
            </w:pPr>
            <w:r>
              <w:rPr>
                <w:rFonts w:hint="eastAsia"/>
                <w:b/>
                <w:bCs/>
                <w:color w:val="auto"/>
                <w:szCs w:val="30"/>
              </w:rPr>
              <w:t>（2）环境质量底线</w:t>
            </w:r>
          </w:p>
          <w:p w14:paraId="20AC88F0">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根据现状调查，项目区域环境空气可达到《环境空气质量标准》（GB3095-2012）二级标准</w:t>
            </w:r>
            <w:r>
              <w:rPr>
                <w:rFonts w:hint="default" w:ascii="Times New Roman" w:hAnsi="Times New Roman" w:eastAsia="宋体" w:cs="Times New Roman"/>
                <w:bCs/>
                <w:color w:val="auto"/>
              </w:rPr>
              <w:t>；</w:t>
            </w:r>
            <w:r>
              <w:rPr>
                <w:rFonts w:hint="default" w:ascii="Times New Roman" w:hAnsi="Times New Roman" w:eastAsia="宋体" w:cs="Times New Roman"/>
                <w:color w:val="auto"/>
              </w:rPr>
              <w:t>声环境质量可达到《声环境质量标准》</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GB3096-2008</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中</w:t>
            </w:r>
            <w:r>
              <w:rPr>
                <w:rFonts w:hint="eastAsia" w:ascii="Times New Roman" w:hAnsi="Times New Roman" w:eastAsia="宋体" w:cs="Times New Roman"/>
                <w:color w:val="auto"/>
                <w:lang w:val="en-US" w:eastAsia="zh-CN"/>
              </w:rPr>
              <w:t>2</w:t>
            </w:r>
            <w:r>
              <w:rPr>
                <w:rFonts w:hint="default" w:ascii="Times New Roman" w:hAnsi="Times New Roman" w:eastAsia="宋体" w:cs="Times New Roman"/>
                <w:color w:val="auto"/>
              </w:rPr>
              <w:t>类标准要求；区域地表水体可达到《地表水环境质量标准》（GB3838-2002）Ⅲ类标准要求</w:t>
            </w:r>
            <w:r>
              <w:rPr>
                <w:rFonts w:hint="default" w:ascii="Times New Roman" w:hAnsi="Times New Roman" w:eastAsia="宋体" w:cs="Times New Roman"/>
                <w:color w:val="auto"/>
                <w:kern w:val="0"/>
                <w:lang w:bidi="ar"/>
              </w:rPr>
              <w:t>。</w:t>
            </w:r>
          </w:p>
          <w:p w14:paraId="785D8CF2">
            <w:pPr>
              <w:ind w:firstLine="480" w:firstLineChars="200"/>
              <w:jc w:val="left"/>
              <w:rPr>
                <w:rFonts w:hint="default" w:ascii="Times New Roman" w:hAnsi="Times New Roman" w:eastAsia="宋体" w:cs="Times New Roman"/>
                <w:color w:val="auto"/>
              </w:rPr>
            </w:pPr>
            <w:r>
              <w:rPr>
                <w:rFonts w:hint="default" w:ascii="Times New Roman" w:hAnsi="Times New Roman" w:eastAsia="宋体" w:cs="Times New Roman"/>
                <w:color w:val="auto"/>
              </w:rPr>
              <w:t>经过分析，本项目在生产过程中排放的各类污染物对评价区域空气环境、地表水环境、声环境质量产生的影响均在环境承载力范围内，不会降低现有环境功能。</w:t>
            </w:r>
          </w:p>
          <w:p w14:paraId="3D10702D">
            <w:pPr>
              <w:keepNext/>
              <w:keepLines/>
              <w:adjustRightInd w:val="0"/>
              <w:snapToGrid w:val="0"/>
              <w:ind w:firstLine="482"/>
              <w:outlineLvl w:val="2"/>
              <w:rPr>
                <w:b/>
                <w:bCs/>
                <w:color w:val="auto"/>
                <w:szCs w:val="30"/>
              </w:rPr>
            </w:pPr>
            <w:r>
              <w:rPr>
                <w:rFonts w:hint="eastAsia"/>
                <w:b/>
                <w:bCs/>
                <w:color w:val="auto"/>
                <w:szCs w:val="30"/>
              </w:rPr>
              <w:t>（3）资源利用上线</w:t>
            </w:r>
          </w:p>
          <w:p w14:paraId="3AAC3694">
            <w:pPr>
              <w:keepNext/>
              <w:keepLines/>
              <w:adjustRightInd w:val="0"/>
              <w:snapToGrid w:val="0"/>
              <w:ind w:firstLine="480"/>
              <w:outlineLvl w:val="2"/>
              <w:rPr>
                <w:color w:val="auto"/>
                <w:szCs w:val="30"/>
              </w:rPr>
            </w:pPr>
            <w:r>
              <w:rPr>
                <w:color w:val="auto"/>
                <w:szCs w:val="30"/>
              </w:rPr>
              <w:t>拟建项目实施后，营运过程水资源消耗增加量较少，不会突破资源上线；选址位于</w:t>
            </w:r>
            <w:r>
              <w:rPr>
                <w:rFonts w:hint="eastAsia"/>
                <w:color w:val="auto"/>
                <w:szCs w:val="30"/>
                <w:lang w:val="en-US" w:eastAsia="zh-CN"/>
              </w:rPr>
              <w:t>池州市东至县尧渡镇建东村</w:t>
            </w:r>
            <w:r>
              <w:rPr>
                <w:rFonts w:hint="eastAsia"/>
                <w:color w:val="auto"/>
                <w:szCs w:val="30"/>
              </w:rPr>
              <w:t>，</w:t>
            </w:r>
            <w:r>
              <w:rPr>
                <w:color w:val="auto"/>
                <w:szCs w:val="30"/>
              </w:rPr>
              <w:t>用地类型为</w:t>
            </w:r>
            <w:r>
              <w:rPr>
                <w:rFonts w:hint="eastAsia"/>
                <w:color w:val="auto"/>
                <w:szCs w:val="30"/>
                <w:lang w:val="en-US" w:eastAsia="zh-CN"/>
              </w:rPr>
              <w:t>工业</w:t>
            </w:r>
            <w:r>
              <w:rPr>
                <w:rFonts w:hint="eastAsia"/>
                <w:color w:val="auto"/>
                <w:szCs w:val="30"/>
              </w:rPr>
              <w:t>用地</w:t>
            </w:r>
            <w:r>
              <w:rPr>
                <w:color w:val="auto"/>
                <w:szCs w:val="30"/>
              </w:rPr>
              <w:t>，</w:t>
            </w:r>
            <w:r>
              <w:rPr>
                <w:rFonts w:hint="eastAsia"/>
                <w:color w:val="auto"/>
                <w:szCs w:val="30"/>
              </w:rPr>
              <w:t>且已取得规划许可证，</w:t>
            </w:r>
            <w:r>
              <w:rPr>
                <w:color w:val="auto"/>
                <w:szCs w:val="30"/>
              </w:rPr>
              <w:t>项目占地不会触及区域土地资源利用上线，故项目运行后从用地性质、用地面积等方面均符合区域土地资源利用上线相关要求。综上，拟建项目的建设符合资源利用上线的要求。</w:t>
            </w:r>
          </w:p>
          <w:p w14:paraId="7BB6A97F">
            <w:pPr>
              <w:keepNext/>
              <w:keepLines/>
              <w:adjustRightInd w:val="0"/>
              <w:snapToGrid w:val="0"/>
              <w:ind w:firstLine="482"/>
              <w:outlineLvl w:val="2"/>
              <w:rPr>
                <w:b/>
                <w:bCs/>
                <w:color w:val="auto"/>
                <w:szCs w:val="30"/>
              </w:rPr>
            </w:pPr>
            <w:r>
              <w:rPr>
                <w:rFonts w:hint="eastAsia"/>
                <w:b/>
                <w:bCs/>
                <w:color w:val="auto"/>
                <w:szCs w:val="30"/>
              </w:rPr>
              <w:t>（4）生态环境准入清单</w:t>
            </w:r>
          </w:p>
          <w:p w14:paraId="29917642">
            <w:pPr>
              <w:pStyle w:val="193"/>
              <w:ind w:firstLine="480"/>
              <w:rPr>
                <w:rFonts w:hint="default" w:ascii="Times New Roman" w:hAnsi="Times New Roman" w:cs="Times New Roman"/>
                <w:color w:val="auto"/>
              </w:rPr>
            </w:pPr>
            <w:r>
              <w:rPr>
                <w:rFonts w:hint="default" w:ascii="Times New Roman" w:hAnsi="Times New Roman" w:cs="Times New Roman"/>
                <w:color w:val="auto"/>
              </w:rPr>
              <w:t>项目符合《产业结构调整指导目录》（2024年版）要求，同时该项目不属于《市场准入负面清单》（202</w:t>
            </w:r>
            <w:r>
              <w:rPr>
                <w:rFonts w:hint="default" w:ascii="Times New Roman" w:hAnsi="Times New Roman" w:cs="Times New Roman"/>
                <w:color w:val="auto"/>
                <w:lang w:val="en-US" w:eastAsia="zh-CN"/>
              </w:rPr>
              <w:t>5</w:t>
            </w:r>
            <w:r>
              <w:rPr>
                <w:rFonts w:hint="default" w:ascii="Times New Roman" w:hAnsi="Times New Roman" w:cs="Times New Roman"/>
                <w:color w:val="auto"/>
              </w:rPr>
              <w:t>年版）、《长江经济带发展负面清单指南(试行，2022版)》中禁止和限制类项目，项目符合生态环境准入清单要求。</w:t>
            </w:r>
          </w:p>
          <w:p w14:paraId="437AC2B4">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b/>
                <w:bCs/>
                <w:color w:val="auto"/>
                <w:sz w:val="24"/>
                <w:szCs w:val="24"/>
                <w:lang w:val="en-US" w:eastAsia="zh-CN" w:bidi="ar-SA"/>
              </w:rPr>
              <w:t>3</w:t>
            </w:r>
            <w:r>
              <w:rPr>
                <w:rFonts w:hint="default" w:ascii="Times New Roman" w:hAnsi="Times New Roman" w:eastAsia="宋体" w:cs="Times New Roman"/>
                <w:b/>
                <w:bCs/>
                <w:color w:val="auto"/>
                <w:sz w:val="24"/>
                <w:szCs w:val="24"/>
                <w:lang w:val="en-US" w:eastAsia="zh-CN" w:bidi="ar-SA"/>
              </w:rPr>
              <w:t>. “三区三线”</w:t>
            </w:r>
            <w:r>
              <w:rPr>
                <w:rFonts w:hint="default" w:ascii="Times New Roman" w:hAnsi="Times New Roman" w:eastAsia="宋体" w:cs="Times New Roman"/>
                <w:b/>
                <w:bCs/>
                <w:color w:val="auto"/>
                <w:sz w:val="24"/>
                <w:szCs w:val="24"/>
                <w:lang w:val="en-US" w:eastAsia="zh-CN"/>
              </w:rPr>
              <w:t>符合性判定</w:t>
            </w:r>
          </w:p>
          <w:p w14:paraId="77B660FE">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lang w:val="en-US" w:eastAsia="zh-CN" w:bidi="ar-SA"/>
              </w:rPr>
              <w:t>本项目位于</w:t>
            </w:r>
            <w:r>
              <w:rPr>
                <w:rFonts w:hint="eastAsia" w:ascii="Times New Roman" w:hAnsi="Times New Roman" w:eastAsia="宋体" w:cs="Times New Roman"/>
                <w:color w:val="auto"/>
                <w:lang w:eastAsia="zh-CN"/>
              </w:rPr>
              <w:t>池州市东至县尧渡镇</w:t>
            </w:r>
            <w:r>
              <w:rPr>
                <w:rFonts w:hint="eastAsia" w:cs="Times New Roman"/>
                <w:color w:val="auto"/>
                <w:lang w:val="en-US" w:eastAsia="zh-CN"/>
              </w:rPr>
              <w:t>建东村</w:t>
            </w:r>
            <w:r>
              <w:rPr>
                <w:rFonts w:hint="default" w:ascii="Times New Roman" w:hAnsi="Times New Roman" w:eastAsia="宋体" w:cs="Times New Roman"/>
                <w:color w:val="auto"/>
                <w:sz w:val="24"/>
                <w:szCs w:val="24"/>
                <w:lang w:val="en-US" w:eastAsia="zh-CN" w:bidi="ar-SA"/>
              </w:rPr>
              <w:t>，依据《自然资源部办公厅关于依据“三区三线”划定成果报批建设项目用地用海有关事宜的函》（自然函办〔2022〕2072号），该项目经对比池州</w:t>
            </w:r>
            <w:r>
              <w:rPr>
                <w:rFonts w:hint="eastAsia" w:ascii="宋体" w:hAnsi="宋体" w:eastAsia="宋体" w:cs="宋体"/>
                <w:color w:val="auto"/>
                <w:sz w:val="24"/>
                <w:szCs w:val="24"/>
                <w:lang w:val="en-US" w:eastAsia="zh-CN" w:bidi="ar-SA"/>
              </w:rPr>
              <w:t>市“三区三线”划</w:t>
            </w:r>
            <w:r>
              <w:rPr>
                <w:rFonts w:hint="default" w:ascii="Times New Roman" w:hAnsi="Times New Roman" w:eastAsia="宋体" w:cs="Times New Roman"/>
                <w:color w:val="auto"/>
                <w:sz w:val="24"/>
                <w:szCs w:val="24"/>
                <w:lang w:val="en-US" w:eastAsia="zh-CN" w:bidi="ar-SA"/>
              </w:rPr>
              <w:t>定成果，项目不占用永久基本农田，不涉及生态保护红线，符</w:t>
            </w:r>
            <w:r>
              <w:rPr>
                <w:rFonts w:hint="default" w:ascii="Times New Roman" w:hAnsi="Times New Roman" w:eastAsia="宋体" w:cs="Times New Roman"/>
                <w:color w:val="auto"/>
                <w:sz w:val="24"/>
                <w:szCs w:val="24"/>
                <w:highlight w:val="none"/>
                <w:lang w:val="en-US" w:eastAsia="zh-CN" w:bidi="ar-SA"/>
              </w:rPr>
              <w:t>合</w:t>
            </w:r>
            <w:r>
              <w:rPr>
                <w:rFonts w:hint="eastAsia" w:ascii="宋体" w:hAnsi="宋体" w:eastAsia="宋体" w:cs="宋体"/>
                <w:color w:val="auto"/>
                <w:sz w:val="24"/>
                <w:szCs w:val="24"/>
                <w:highlight w:val="none"/>
                <w:lang w:val="en-US" w:eastAsia="zh-CN" w:bidi="ar-SA"/>
              </w:rPr>
              <w:t>“三区三线”</w:t>
            </w:r>
            <w:r>
              <w:rPr>
                <w:rFonts w:hint="default" w:ascii="Times New Roman" w:hAnsi="Times New Roman" w:eastAsia="宋体" w:cs="Times New Roman"/>
                <w:color w:val="auto"/>
                <w:sz w:val="24"/>
                <w:szCs w:val="24"/>
                <w:highlight w:val="none"/>
                <w:lang w:val="en-US" w:eastAsia="zh-CN" w:bidi="ar-SA"/>
              </w:rPr>
              <w:t>要求。</w:t>
            </w:r>
          </w:p>
          <w:p w14:paraId="74E288A1">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p>
          <w:p w14:paraId="02FE721C">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p>
          <w:p w14:paraId="3683F2D1">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p>
          <w:p w14:paraId="3C8D2652">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p>
          <w:p w14:paraId="25F6F04F">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p>
          <w:p w14:paraId="6EA36B95">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p>
          <w:p w14:paraId="0555D982">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p>
          <w:p w14:paraId="387E73BA">
            <w:pPr>
              <w:pStyle w:val="203"/>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sz w:val="24"/>
                <w:szCs w:val="24"/>
                <w:highlight w:val="none"/>
                <w:lang w:val="en-US" w:eastAsia="zh-CN" w:bidi="ar-SA"/>
              </w:rPr>
            </w:pPr>
          </w:p>
          <w:p w14:paraId="2D090C0F">
            <w:pPr>
              <w:pStyle w:val="9"/>
              <w:rPr>
                <w:color w:val="auto"/>
              </w:rPr>
            </w:pPr>
          </w:p>
        </w:tc>
      </w:tr>
    </w:tbl>
    <w:p w14:paraId="57016A43">
      <w:pPr>
        <w:ind w:firstLine="480"/>
        <w:rPr>
          <w:color w:val="auto"/>
        </w:rPr>
        <w:sectPr>
          <w:footerReference r:id="rId13" w:type="default"/>
          <w:pgSz w:w="11906" w:h="16838"/>
          <w:pgMar w:top="1587" w:right="1417" w:bottom="1587" w:left="1417" w:header="851" w:footer="1077" w:gutter="0"/>
          <w:pgBorders>
            <w:top w:val="none" w:sz="0" w:space="0"/>
            <w:left w:val="none" w:sz="0" w:space="0"/>
            <w:bottom w:val="none" w:sz="0" w:space="0"/>
            <w:right w:val="none" w:sz="0" w:space="0"/>
          </w:pgBorders>
          <w:pgNumType w:start="1"/>
          <w:cols w:space="720" w:num="1"/>
          <w:docGrid w:linePitch="312" w:charSpace="0"/>
        </w:sectPr>
      </w:pP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47"/>
      </w:tblGrid>
      <w:tr w14:paraId="38D25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6C567277">
            <w:pPr>
              <w:ind w:firstLine="482"/>
              <w:jc w:val="left"/>
              <w:rPr>
                <w:b/>
                <w:bCs/>
                <w:color w:val="auto"/>
                <w:szCs w:val="30"/>
              </w:rPr>
            </w:pPr>
            <w:r>
              <w:rPr>
                <w:rFonts w:hint="eastAsia"/>
                <w:b/>
                <w:bCs/>
                <w:color w:val="auto"/>
                <w:szCs w:val="30"/>
                <w:lang w:val="en-US" w:eastAsia="zh-CN"/>
              </w:rPr>
              <w:t>4</w:t>
            </w:r>
            <w:r>
              <w:rPr>
                <w:rFonts w:hint="eastAsia"/>
                <w:b/>
                <w:bCs/>
                <w:color w:val="auto"/>
                <w:szCs w:val="30"/>
              </w:rPr>
              <w:t>.</w:t>
            </w:r>
            <w:r>
              <w:rPr>
                <w:b/>
                <w:bCs/>
                <w:color w:val="auto"/>
                <w:szCs w:val="30"/>
              </w:rPr>
              <w:t>与安徽省“三线一单”管控要求符合性分析</w:t>
            </w:r>
          </w:p>
          <w:p w14:paraId="4B722F2C">
            <w:pPr>
              <w:pStyle w:val="69"/>
              <w:ind w:firstLine="480"/>
              <w:rPr>
                <w:color w:val="auto"/>
              </w:rPr>
            </w:pPr>
            <w:r>
              <w:rPr>
                <w:color w:val="auto"/>
              </w:rPr>
              <w:t>根据（http://39.145.8.156:1509/ah/public/#/home）安徽省“三线一单"公众服务平台中查询与“三线一单”成果数据分析，项目与一个环境管控单元存在交叠，其中优先保护类0个，重点管控类1个，一般管控类0个。环境管控单元编码为：ZH34172120005，重点管控单元5，具体管控要求及交叠情况详见表</w:t>
            </w:r>
            <w:r>
              <w:rPr>
                <w:rFonts w:hint="eastAsia"/>
                <w:color w:val="auto"/>
              </w:rPr>
              <w:t>1-</w:t>
            </w:r>
            <w:r>
              <w:rPr>
                <w:rFonts w:hint="eastAsia"/>
                <w:color w:val="auto"/>
                <w:lang w:val="en-US" w:eastAsia="zh-CN"/>
              </w:rPr>
              <w:t>2</w:t>
            </w:r>
            <w:r>
              <w:rPr>
                <w:color w:val="auto"/>
              </w:rPr>
              <w:t>。</w:t>
            </w:r>
          </w:p>
          <w:p w14:paraId="76889335">
            <w:pPr>
              <w:adjustRightInd w:val="0"/>
              <w:spacing w:line="240" w:lineRule="auto"/>
              <w:ind w:firstLine="0" w:firstLineChars="0"/>
              <w:jc w:val="center"/>
              <w:rPr>
                <w:b/>
                <w:bCs/>
                <w:color w:val="auto"/>
                <w:sz w:val="21"/>
                <w:szCs w:val="21"/>
              </w:rPr>
            </w:pPr>
            <w:r>
              <w:rPr>
                <w:b/>
                <w:bCs/>
                <w:color w:val="auto"/>
                <w:sz w:val="21"/>
                <w:szCs w:val="21"/>
              </w:rPr>
              <w:t>表</w:t>
            </w:r>
            <w:r>
              <w:rPr>
                <w:rFonts w:hint="eastAsia"/>
                <w:b/>
                <w:bCs/>
                <w:color w:val="auto"/>
                <w:sz w:val="21"/>
                <w:szCs w:val="21"/>
              </w:rPr>
              <w:t>1-</w:t>
            </w:r>
            <w:r>
              <w:rPr>
                <w:rFonts w:hint="eastAsia"/>
                <w:b/>
                <w:bCs/>
                <w:color w:val="auto"/>
                <w:sz w:val="21"/>
                <w:szCs w:val="21"/>
                <w:lang w:val="en-US" w:eastAsia="zh-CN"/>
              </w:rPr>
              <w:t>2</w:t>
            </w:r>
            <w:r>
              <w:rPr>
                <w:b/>
                <w:bCs/>
                <w:color w:val="auto"/>
                <w:sz w:val="21"/>
                <w:szCs w:val="21"/>
              </w:rPr>
              <w:t xml:space="preserve"> </w:t>
            </w:r>
            <w:r>
              <w:rPr>
                <w:rFonts w:hint="eastAsia"/>
                <w:b/>
                <w:bCs/>
                <w:color w:val="auto"/>
                <w:sz w:val="21"/>
                <w:szCs w:val="21"/>
              </w:rPr>
              <w:t xml:space="preserve"> 环境分区</w:t>
            </w:r>
            <w:r>
              <w:rPr>
                <w:b/>
                <w:bCs/>
                <w:color w:val="auto"/>
                <w:sz w:val="21"/>
                <w:szCs w:val="21"/>
              </w:rPr>
              <w:t>管控要求</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866"/>
              <w:gridCol w:w="669"/>
              <w:gridCol w:w="990"/>
              <w:gridCol w:w="7044"/>
              <w:gridCol w:w="2949"/>
            </w:tblGrid>
            <w:tr w14:paraId="4BD2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335" w:type="pct"/>
                  <w:tcBorders>
                    <w:tl2br w:val="nil"/>
                    <w:tr2bl w:val="nil"/>
                  </w:tcBorders>
                  <w:vAlign w:val="center"/>
                </w:tcPr>
                <w:p w14:paraId="70844B7E">
                  <w:pPr>
                    <w:widowControl/>
                    <w:spacing w:line="240" w:lineRule="auto"/>
                    <w:ind w:firstLine="0" w:firstLineChars="0"/>
                    <w:jc w:val="center"/>
                    <w:rPr>
                      <w:b/>
                      <w:bCs/>
                      <w:color w:val="auto"/>
                      <w:kern w:val="0"/>
                      <w:sz w:val="21"/>
                      <w:szCs w:val="21"/>
                    </w:rPr>
                  </w:pPr>
                  <w:r>
                    <w:rPr>
                      <w:b/>
                      <w:bCs/>
                      <w:color w:val="auto"/>
                      <w:kern w:val="0"/>
                      <w:sz w:val="21"/>
                      <w:szCs w:val="21"/>
                    </w:rPr>
                    <w:t>环境管控单元编码</w:t>
                  </w:r>
                </w:p>
              </w:tc>
              <w:tc>
                <w:tcPr>
                  <w:tcW w:w="323" w:type="pct"/>
                  <w:tcBorders>
                    <w:tl2br w:val="nil"/>
                    <w:tr2bl w:val="nil"/>
                  </w:tcBorders>
                  <w:vAlign w:val="center"/>
                </w:tcPr>
                <w:p w14:paraId="1E5108B4">
                  <w:pPr>
                    <w:widowControl/>
                    <w:spacing w:line="240" w:lineRule="auto"/>
                    <w:ind w:firstLine="0" w:firstLineChars="0"/>
                    <w:jc w:val="center"/>
                    <w:rPr>
                      <w:b/>
                      <w:bCs/>
                      <w:color w:val="auto"/>
                      <w:kern w:val="0"/>
                      <w:sz w:val="21"/>
                      <w:szCs w:val="21"/>
                    </w:rPr>
                  </w:pPr>
                  <w:r>
                    <w:rPr>
                      <w:b/>
                      <w:bCs/>
                      <w:color w:val="auto"/>
                      <w:kern w:val="0"/>
                      <w:sz w:val="21"/>
                      <w:szCs w:val="21"/>
                    </w:rPr>
                    <w:t>环境管控单元分类</w:t>
                  </w:r>
                </w:p>
              </w:tc>
              <w:tc>
                <w:tcPr>
                  <w:tcW w:w="249" w:type="pct"/>
                  <w:tcBorders>
                    <w:tl2br w:val="nil"/>
                    <w:tr2bl w:val="nil"/>
                  </w:tcBorders>
                  <w:vAlign w:val="center"/>
                </w:tcPr>
                <w:p w14:paraId="25C79278">
                  <w:pPr>
                    <w:widowControl/>
                    <w:spacing w:line="240" w:lineRule="auto"/>
                    <w:ind w:firstLine="0" w:firstLineChars="0"/>
                    <w:jc w:val="center"/>
                    <w:rPr>
                      <w:b/>
                      <w:bCs/>
                      <w:color w:val="auto"/>
                      <w:kern w:val="0"/>
                      <w:sz w:val="21"/>
                      <w:szCs w:val="21"/>
                    </w:rPr>
                  </w:pPr>
                  <w:r>
                    <w:rPr>
                      <w:b/>
                      <w:bCs/>
                      <w:color w:val="auto"/>
                      <w:kern w:val="0"/>
                      <w:sz w:val="21"/>
                      <w:szCs w:val="21"/>
                    </w:rPr>
                    <w:t>区管控要求</w:t>
                  </w:r>
                </w:p>
              </w:tc>
              <w:tc>
                <w:tcPr>
                  <w:tcW w:w="369" w:type="pct"/>
                  <w:tcBorders>
                    <w:tl2br w:val="nil"/>
                    <w:tr2bl w:val="nil"/>
                  </w:tcBorders>
                  <w:vAlign w:val="center"/>
                </w:tcPr>
                <w:p w14:paraId="744ADE75">
                  <w:pPr>
                    <w:widowControl/>
                    <w:spacing w:line="240" w:lineRule="auto"/>
                    <w:ind w:firstLine="0" w:firstLineChars="0"/>
                    <w:jc w:val="center"/>
                    <w:rPr>
                      <w:b/>
                      <w:bCs/>
                      <w:color w:val="auto"/>
                      <w:kern w:val="0"/>
                      <w:sz w:val="21"/>
                      <w:szCs w:val="21"/>
                    </w:rPr>
                  </w:pPr>
                  <w:r>
                    <w:rPr>
                      <w:b/>
                      <w:bCs/>
                      <w:color w:val="auto"/>
                      <w:kern w:val="0"/>
                      <w:sz w:val="21"/>
                      <w:szCs w:val="21"/>
                    </w:rPr>
                    <w:t>管控类别</w:t>
                  </w:r>
                </w:p>
              </w:tc>
              <w:tc>
                <w:tcPr>
                  <w:tcW w:w="2623" w:type="pct"/>
                  <w:tcBorders>
                    <w:tl2br w:val="nil"/>
                    <w:tr2bl w:val="nil"/>
                  </w:tcBorders>
                  <w:vAlign w:val="center"/>
                </w:tcPr>
                <w:p w14:paraId="774518AD">
                  <w:pPr>
                    <w:widowControl/>
                    <w:spacing w:line="240" w:lineRule="auto"/>
                    <w:ind w:firstLine="0" w:firstLineChars="0"/>
                    <w:jc w:val="center"/>
                    <w:rPr>
                      <w:b/>
                      <w:bCs/>
                      <w:color w:val="auto"/>
                      <w:kern w:val="0"/>
                      <w:sz w:val="21"/>
                      <w:szCs w:val="21"/>
                    </w:rPr>
                  </w:pPr>
                  <w:r>
                    <w:rPr>
                      <w:b/>
                      <w:bCs/>
                      <w:color w:val="auto"/>
                      <w:kern w:val="0"/>
                      <w:sz w:val="21"/>
                      <w:szCs w:val="21"/>
                    </w:rPr>
                    <w:t>主要内容</w:t>
                  </w:r>
                </w:p>
              </w:tc>
              <w:tc>
                <w:tcPr>
                  <w:tcW w:w="1098" w:type="pct"/>
                  <w:tcBorders>
                    <w:tl2br w:val="nil"/>
                    <w:tr2bl w:val="nil"/>
                  </w:tcBorders>
                  <w:vAlign w:val="center"/>
                </w:tcPr>
                <w:p w14:paraId="30D08D86">
                  <w:pPr>
                    <w:widowControl/>
                    <w:spacing w:line="240" w:lineRule="auto"/>
                    <w:ind w:firstLine="0" w:firstLineChars="0"/>
                    <w:jc w:val="center"/>
                    <w:rPr>
                      <w:b/>
                      <w:bCs/>
                      <w:color w:val="auto"/>
                      <w:kern w:val="0"/>
                      <w:sz w:val="21"/>
                      <w:szCs w:val="21"/>
                    </w:rPr>
                  </w:pPr>
                  <w:r>
                    <w:rPr>
                      <w:b/>
                      <w:bCs/>
                      <w:color w:val="auto"/>
                      <w:kern w:val="0"/>
                      <w:sz w:val="21"/>
                      <w:szCs w:val="21"/>
                    </w:rPr>
                    <w:t>本项目情况</w:t>
                  </w:r>
                </w:p>
              </w:tc>
            </w:tr>
            <w:tr w14:paraId="1549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335" w:type="pct"/>
                  <w:vMerge w:val="restart"/>
                  <w:tcBorders>
                    <w:tl2br w:val="nil"/>
                    <w:tr2bl w:val="nil"/>
                  </w:tcBorders>
                  <w:vAlign w:val="center"/>
                </w:tcPr>
                <w:p w14:paraId="56D8BB48">
                  <w:pPr>
                    <w:widowControl/>
                    <w:spacing w:line="240" w:lineRule="auto"/>
                    <w:ind w:firstLine="0" w:firstLineChars="0"/>
                    <w:jc w:val="center"/>
                    <w:rPr>
                      <w:rFonts w:hint="eastAsia" w:eastAsia="宋体"/>
                      <w:color w:val="auto"/>
                      <w:kern w:val="0"/>
                      <w:sz w:val="21"/>
                      <w:szCs w:val="21"/>
                      <w:lang w:eastAsia="zh-CN"/>
                    </w:rPr>
                  </w:pPr>
                  <w:r>
                    <w:rPr>
                      <w:color w:val="auto"/>
                      <w:kern w:val="0"/>
                      <w:sz w:val="21"/>
                      <w:szCs w:val="21"/>
                    </w:rPr>
                    <w:t>ZH34082</w:t>
                  </w:r>
                  <w:r>
                    <w:rPr>
                      <w:rFonts w:hint="eastAsia"/>
                      <w:color w:val="auto"/>
                      <w:kern w:val="0"/>
                      <w:sz w:val="21"/>
                      <w:szCs w:val="21"/>
                      <w:lang w:val="en-US" w:eastAsia="zh-CN"/>
                    </w:rPr>
                    <w:t>6</w:t>
                  </w:r>
                  <w:r>
                    <w:rPr>
                      <w:color w:val="auto"/>
                      <w:kern w:val="0"/>
                      <w:sz w:val="21"/>
                      <w:szCs w:val="21"/>
                    </w:rPr>
                    <w:t>20</w:t>
                  </w:r>
                  <w:r>
                    <w:rPr>
                      <w:rFonts w:hint="eastAsia"/>
                      <w:color w:val="auto"/>
                      <w:kern w:val="0"/>
                      <w:sz w:val="21"/>
                      <w:szCs w:val="21"/>
                    </w:rPr>
                    <w:t>01</w:t>
                  </w:r>
                  <w:r>
                    <w:rPr>
                      <w:rFonts w:hint="eastAsia"/>
                      <w:color w:val="auto"/>
                      <w:kern w:val="0"/>
                      <w:sz w:val="21"/>
                      <w:szCs w:val="21"/>
                      <w:lang w:val="en-US" w:eastAsia="zh-CN"/>
                    </w:rPr>
                    <w:t>2</w:t>
                  </w:r>
                </w:p>
              </w:tc>
              <w:tc>
                <w:tcPr>
                  <w:tcW w:w="323" w:type="pct"/>
                  <w:vMerge w:val="restart"/>
                  <w:tcBorders>
                    <w:tl2br w:val="nil"/>
                    <w:tr2bl w:val="nil"/>
                  </w:tcBorders>
                  <w:vAlign w:val="center"/>
                </w:tcPr>
                <w:p w14:paraId="5395A713">
                  <w:pPr>
                    <w:widowControl/>
                    <w:spacing w:line="240" w:lineRule="auto"/>
                    <w:ind w:firstLine="0" w:firstLineChars="0"/>
                    <w:jc w:val="center"/>
                    <w:rPr>
                      <w:color w:val="auto"/>
                      <w:kern w:val="0"/>
                      <w:sz w:val="21"/>
                      <w:szCs w:val="21"/>
                    </w:rPr>
                  </w:pPr>
                  <w:r>
                    <w:rPr>
                      <w:color w:val="auto"/>
                      <w:kern w:val="0"/>
                      <w:sz w:val="21"/>
                      <w:szCs w:val="21"/>
                    </w:rPr>
                    <w:t>重点管控单元</w:t>
                  </w:r>
                </w:p>
              </w:tc>
              <w:tc>
                <w:tcPr>
                  <w:tcW w:w="249" w:type="pct"/>
                  <w:vMerge w:val="restart"/>
                  <w:tcBorders>
                    <w:tl2br w:val="nil"/>
                    <w:tr2bl w:val="nil"/>
                  </w:tcBorders>
                  <w:vAlign w:val="center"/>
                </w:tcPr>
                <w:p w14:paraId="2F376FA7">
                  <w:pPr>
                    <w:widowControl/>
                    <w:spacing w:line="240" w:lineRule="auto"/>
                    <w:ind w:firstLine="0" w:firstLineChars="0"/>
                    <w:jc w:val="center"/>
                    <w:rPr>
                      <w:color w:val="auto"/>
                      <w:kern w:val="0"/>
                      <w:sz w:val="21"/>
                      <w:szCs w:val="21"/>
                    </w:rPr>
                  </w:pPr>
                  <w:r>
                    <w:rPr>
                      <w:rFonts w:hint="eastAsia"/>
                      <w:color w:val="auto"/>
                      <w:kern w:val="0"/>
                      <w:sz w:val="21"/>
                      <w:szCs w:val="21"/>
                    </w:rPr>
                    <w:t>无</w:t>
                  </w:r>
                </w:p>
              </w:tc>
              <w:tc>
                <w:tcPr>
                  <w:tcW w:w="369" w:type="pct"/>
                  <w:tcBorders>
                    <w:tl2br w:val="nil"/>
                    <w:tr2bl w:val="nil"/>
                  </w:tcBorders>
                  <w:vAlign w:val="center"/>
                </w:tcPr>
                <w:p w14:paraId="7CC314C8">
                  <w:pPr>
                    <w:widowControl/>
                    <w:spacing w:line="240" w:lineRule="auto"/>
                    <w:ind w:firstLine="0" w:firstLineChars="0"/>
                    <w:jc w:val="center"/>
                    <w:rPr>
                      <w:color w:val="auto"/>
                      <w:kern w:val="0"/>
                      <w:sz w:val="21"/>
                      <w:szCs w:val="21"/>
                    </w:rPr>
                  </w:pPr>
                  <w:r>
                    <w:rPr>
                      <w:color w:val="auto"/>
                      <w:kern w:val="0"/>
                      <w:sz w:val="21"/>
                      <w:szCs w:val="21"/>
                    </w:rPr>
                    <w:t>空间布局约束</w:t>
                  </w:r>
                </w:p>
              </w:tc>
              <w:tc>
                <w:tcPr>
                  <w:tcW w:w="2623" w:type="pct"/>
                  <w:tcBorders>
                    <w:tl2br w:val="nil"/>
                    <w:tr2bl w:val="nil"/>
                  </w:tcBorders>
                  <w:vAlign w:val="center"/>
                </w:tcPr>
                <w:p w14:paraId="0FDE188C">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both"/>
                    <w:textAlignment w:val="auto"/>
                    <w:rPr>
                      <w:rFonts w:ascii="宋体" w:hAnsi="宋体" w:eastAsia="宋体" w:cs="宋体"/>
                      <w:color w:val="auto"/>
                      <w:sz w:val="21"/>
                      <w:szCs w:val="21"/>
                    </w:rPr>
                  </w:pPr>
                  <w:r>
                    <w:rPr>
                      <w:rFonts w:ascii="宋体" w:hAnsi="宋体" w:eastAsia="宋体" w:cs="宋体"/>
                      <w:color w:val="auto"/>
                      <w:sz w:val="21"/>
                      <w:szCs w:val="21"/>
                    </w:rPr>
                    <w:t>1</w:t>
                  </w:r>
                  <w:r>
                    <w:rPr>
                      <w:rFonts w:hint="eastAsia" w:ascii="宋体" w:hAnsi="宋体" w:eastAsia="宋体" w:cs="宋体"/>
                      <w:color w:val="auto"/>
                      <w:sz w:val="21"/>
                      <w:szCs w:val="21"/>
                      <w:lang w:eastAsia="zh-CN"/>
                    </w:rPr>
                    <w:t>、</w:t>
                  </w:r>
                  <w:r>
                    <w:rPr>
                      <w:rFonts w:ascii="宋体" w:hAnsi="宋体" w:eastAsia="宋体" w:cs="宋体"/>
                      <w:color w:val="auto"/>
                      <w:sz w:val="21"/>
                      <w:szCs w:val="21"/>
                    </w:rPr>
                    <w:t>国家禁止新建不符合国家产业政策的小型造纸、制革、印染、染料、炼 焦、炼硫、炼砷、炼汞、炼油、电镀、农药、石棉、水泥、玻璃、钢铁、 火电以及其他严重污染水环境的生产项目。在城市城区及其近郊禁止新建、扩建钢铁、有色、石化、水泥、化工等 重污染企业。</w:t>
                  </w:r>
                </w:p>
                <w:p w14:paraId="356A6AC8">
                  <w:pPr>
                    <w:pStyle w:val="185"/>
                    <w:keepNext w:val="0"/>
                    <w:keepLines w:val="0"/>
                    <w:pageBreakBefore w:val="0"/>
                    <w:kinsoku/>
                    <w:wordWrap/>
                    <w:overflowPunct/>
                    <w:topLinePunct w:val="0"/>
                    <w:autoSpaceDE/>
                    <w:autoSpaceDN/>
                    <w:bidi w:val="0"/>
                    <w:adjustRightInd w:val="0"/>
                    <w:snapToGrid w:val="0"/>
                    <w:spacing w:line="240" w:lineRule="auto"/>
                    <w:ind w:left="0" w:right="0" w:firstLine="0" w:firstLineChars="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ascii="宋体" w:hAnsi="宋体" w:eastAsia="宋体" w:cs="宋体"/>
                      <w:color w:val="auto"/>
                      <w:sz w:val="21"/>
                      <w:szCs w:val="21"/>
                    </w:rPr>
                    <w:t>严格控制新增“两高”项目审批，认真分析评估拟建项目必要性、可行 性和对产业高质量发展、能耗双控、碳排放和环境质量的影响，严格审查 项目是否符合产业政策、产业规划、“三线一单”、规划环评要求，是否 依法依规落实产能置换、能耗置换、煤炭消费减量替代、污染物排放区域 削减等要求。对已建成投产的存量“两高”项目，有节能减排潜力的加快 改造升级，属于落后产能的加快淘汰。</w:t>
                  </w:r>
                </w:p>
                <w:p w14:paraId="35568838">
                  <w:pPr>
                    <w:pStyle w:val="185"/>
                    <w:keepNext w:val="0"/>
                    <w:keepLines w:val="0"/>
                    <w:pageBreakBefore w:val="0"/>
                    <w:kinsoku/>
                    <w:wordWrap/>
                    <w:overflowPunct/>
                    <w:topLinePunct w:val="0"/>
                    <w:autoSpaceDE/>
                    <w:autoSpaceDN/>
                    <w:bidi w:val="0"/>
                    <w:adjustRightInd w:val="0"/>
                    <w:snapToGrid w:val="0"/>
                    <w:spacing w:line="240" w:lineRule="auto"/>
                    <w:ind w:left="0" w:right="0" w:firstLine="0" w:firstLineChars="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ascii="宋体" w:hAnsi="宋体" w:eastAsia="宋体" w:cs="宋体"/>
                      <w:color w:val="auto"/>
                      <w:sz w:val="21"/>
                      <w:szCs w:val="21"/>
                    </w:rPr>
                    <w:t>新建项目一律不得违规占用水域，严禁占用水源保护区。</w:t>
                  </w:r>
                </w:p>
                <w:p w14:paraId="0025782A">
                  <w:pPr>
                    <w:pStyle w:val="185"/>
                    <w:keepNext w:val="0"/>
                    <w:keepLines w:val="0"/>
                    <w:pageBreakBefore w:val="0"/>
                    <w:kinsoku/>
                    <w:wordWrap/>
                    <w:overflowPunct/>
                    <w:topLinePunct w:val="0"/>
                    <w:autoSpaceDE/>
                    <w:autoSpaceDN/>
                    <w:bidi w:val="0"/>
                    <w:adjustRightInd w:val="0"/>
                    <w:snapToGrid w:val="0"/>
                    <w:spacing w:line="240" w:lineRule="auto"/>
                    <w:ind w:left="0" w:right="0" w:firstLine="0" w:firstLineChars="0"/>
                    <w:jc w:val="both"/>
                    <w:textAlignment w:val="auto"/>
                    <w:rPr>
                      <w:rFonts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ascii="宋体" w:hAnsi="宋体" w:eastAsia="宋体" w:cs="宋体"/>
                      <w:color w:val="auto"/>
                      <w:sz w:val="21"/>
                      <w:szCs w:val="21"/>
                    </w:rPr>
                    <w:t>崩塌、滑坡危 险区和泥石流易发区以及水土流失严重、生态脆弱的地区限制或禁止措施</w:t>
                  </w:r>
                  <w:r>
                    <w:rPr>
                      <w:rFonts w:hint="eastAsia" w:ascii="宋体" w:hAnsi="宋体" w:eastAsia="宋体" w:cs="宋体"/>
                      <w:color w:val="auto"/>
                      <w:sz w:val="21"/>
                      <w:szCs w:val="21"/>
                      <w:lang w:eastAsia="zh-CN"/>
                    </w:rPr>
                    <w:t>，</w:t>
                  </w:r>
                  <w:r>
                    <w:rPr>
                      <w:rFonts w:ascii="宋体" w:hAnsi="宋体" w:eastAsia="宋体" w:cs="宋体"/>
                      <w:color w:val="auto"/>
                      <w:sz w:val="21"/>
                      <w:szCs w:val="21"/>
                    </w:rPr>
                    <w:t>重点预防区生产建设活动限制或禁止以及提高水土流失防治标准等措施</w:t>
                  </w:r>
                  <w:r>
                    <w:rPr>
                      <w:rFonts w:hint="eastAsia" w:ascii="宋体" w:hAnsi="宋体" w:eastAsia="宋体" w:cs="宋体"/>
                      <w:color w:val="auto"/>
                      <w:sz w:val="21"/>
                      <w:szCs w:val="21"/>
                      <w:lang w:eastAsia="zh-CN"/>
                    </w:rPr>
                    <w:t>，</w:t>
                  </w:r>
                  <w:r>
                    <w:rPr>
                      <w:rFonts w:ascii="宋体" w:hAnsi="宋体" w:eastAsia="宋体" w:cs="宋体"/>
                      <w:color w:val="auto"/>
                      <w:sz w:val="21"/>
                      <w:szCs w:val="21"/>
                    </w:rPr>
                    <w:t xml:space="preserve">25°以上陡坡地和供水水库库岸至首道山脊线内荒坡地禁止垦造耕地 </w:t>
                  </w:r>
                  <w:r>
                    <w:rPr>
                      <w:rFonts w:hint="eastAsia" w:ascii="宋体" w:hAnsi="宋体" w:eastAsia="宋体" w:cs="宋体"/>
                      <w:color w:val="auto"/>
                      <w:sz w:val="21"/>
                      <w:szCs w:val="21"/>
                      <w:lang w:eastAsia="zh-CN"/>
                    </w:rPr>
                    <w:t>，</w:t>
                  </w:r>
                  <w:r>
                    <w:rPr>
                      <w:rFonts w:ascii="宋体" w:hAnsi="宋体" w:eastAsia="宋体" w:cs="宋体"/>
                      <w:color w:val="auto"/>
                      <w:sz w:val="21"/>
                      <w:szCs w:val="21"/>
                    </w:rPr>
                    <w:t>利用低丘缓坡垦造耕地的禁止顺坡耕种等措施。</w:t>
                  </w:r>
                </w:p>
                <w:p w14:paraId="5D8A9938">
                  <w:pPr>
                    <w:pStyle w:val="185"/>
                    <w:keepNext w:val="0"/>
                    <w:keepLines w:val="0"/>
                    <w:pageBreakBefore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ascii="宋体" w:hAnsi="宋体" w:eastAsia="宋体" w:cs="宋体"/>
                      <w:color w:val="auto"/>
                      <w:sz w:val="21"/>
                      <w:szCs w:val="21"/>
                    </w:rPr>
                    <w:t>开发利用的地块，必须符合相应规划用地土壤环境质量要求，暂不开发利用或现阶段不具备治 理修复条件的污染地块，由县区政府组织划定管控区域，设立标识，发布 公告，开展监测，发现污染扩散的，责令相关责任方清理残留污染，有关 责任主体要制定环境风险管控方案，封闭污染区域，采取污染物隔离、阻 断等工程和管理措施，防止污染进一步扩散。</w:t>
                  </w:r>
                </w:p>
              </w:tc>
              <w:tc>
                <w:tcPr>
                  <w:tcW w:w="1098" w:type="pct"/>
                  <w:tcBorders>
                    <w:tl2br w:val="nil"/>
                    <w:tr2bl w:val="nil"/>
                  </w:tcBorders>
                  <w:vAlign w:val="center"/>
                </w:tcPr>
                <w:p w14:paraId="32D50F10">
                  <w:pPr>
                    <w:widowControl/>
                    <w:spacing w:line="240" w:lineRule="auto"/>
                    <w:ind w:firstLine="0" w:firstLineChars="0"/>
                    <w:jc w:val="left"/>
                    <w:rPr>
                      <w:color w:val="auto"/>
                      <w:kern w:val="0"/>
                      <w:sz w:val="21"/>
                      <w:szCs w:val="21"/>
                    </w:rPr>
                  </w:pPr>
                  <w:r>
                    <w:rPr>
                      <w:color w:val="auto"/>
                      <w:kern w:val="0"/>
                      <w:sz w:val="21"/>
                      <w:szCs w:val="21"/>
                    </w:rPr>
                    <w:t>符合相关要求。</w:t>
                  </w:r>
                </w:p>
                <w:p w14:paraId="32AF973B">
                  <w:pPr>
                    <w:widowControl/>
                    <w:spacing w:line="240" w:lineRule="auto"/>
                    <w:ind w:firstLine="0" w:firstLineChars="0"/>
                    <w:jc w:val="left"/>
                    <w:rPr>
                      <w:rFonts w:hint="default" w:eastAsia="宋体"/>
                      <w:color w:val="auto"/>
                      <w:kern w:val="0"/>
                      <w:sz w:val="21"/>
                      <w:szCs w:val="21"/>
                      <w:lang w:val="en-US" w:eastAsia="zh-CN"/>
                    </w:rPr>
                  </w:pPr>
                  <w:r>
                    <w:rPr>
                      <w:color w:val="auto"/>
                      <w:kern w:val="0"/>
                      <w:sz w:val="21"/>
                      <w:szCs w:val="21"/>
                    </w:rPr>
                    <w:t>本项目位于</w:t>
                  </w:r>
                  <w:r>
                    <w:rPr>
                      <w:rFonts w:hint="eastAsia"/>
                      <w:color w:val="auto"/>
                      <w:sz w:val="21"/>
                      <w:szCs w:val="21"/>
                      <w:lang w:val="en-US" w:eastAsia="zh-CN"/>
                    </w:rPr>
                    <w:t>池州市东至县尧渡镇</w:t>
                  </w:r>
                  <w:r>
                    <w:rPr>
                      <w:color w:val="auto"/>
                      <w:kern w:val="0"/>
                      <w:sz w:val="21"/>
                      <w:szCs w:val="21"/>
                    </w:rPr>
                    <w:t>，</w:t>
                  </w:r>
                  <w:r>
                    <w:rPr>
                      <w:rFonts w:hint="eastAsia"/>
                      <w:color w:val="auto"/>
                      <w:kern w:val="0"/>
                      <w:sz w:val="21"/>
                      <w:szCs w:val="21"/>
                      <w:highlight w:val="none"/>
                    </w:rPr>
                    <w:t>该项目已取得建设用地规划许可证</w:t>
                  </w:r>
                  <w:r>
                    <w:rPr>
                      <w:rFonts w:hint="eastAsia"/>
                      <w:color w:val="auto"/>
                      <w:kern w:val="0"/>
                      <w:sz w:val="21"/>
                      <w:szCs w:val="21"/>
                      <w:lang w:eastAsia="zh-CN"/>
                    </w:rPr>
                    <w:t>，</w:t>
                  </w:r>
                  <w:r>
                    <w:rPr>
                      <w:rFonts w:hint="eastAsia"/>
                      <w:color w:val="auto"/>
                      <w:kern w:val="0"/>
                      <w:sz w:val="21"/>
                      <w:szCs w:val="21"/>
                      <w:lang w:val="en-US" w:eastAsia="zh-CN"/>
                    </w:rPr>
                    <w:t>项目用地为工业用地</w:t>
                  </w:r>
                  <w:r>
                    <w:rPr>
                      <w:rFonts w:hint="eastAsia"/>
                      <w:color w:val="auto"/>
                      <w:kern w:val="0"/>
                      <w:sz w:val="21"/>
                      <w:szCs w:val="21"/>
                    </w:rPr>
                    <w:t>，</w:t>
                  </w:r>
                  <w:r>
                    <w:rPr>
                      <w:rFonts w:hint="eastAsia"/>
                      <w:color w:val="auto"/>
                      <w:kern w:val="0"/>
                      <w:sz w:val="21"/>
                      <w:szCs w:val="21"/>
                      <w:lang w:val="en-US" w:eastAsia="zh-CN"/>
                    </w:rPr>
                    <w:t>本项目为建筑垃圾资源化利用项目，不属于两高项目，项目不在城市建成区范围内</w:t>
                  </w:r>
                  <w:r>
                    <w:rPr>
                      <w:color w:val="auto"/>
                      <w:kern w:val="0"/>
                      <w:sz w:val="21"/>
                      <w:szCs w:val="21"/>
                    </w:rPr>
                    <w:t>。本项目</w:t>
                  </w:r>
                  <w:r>
                    <w:rPr>
                      <w:rFonts w:hint="eastAsia"/>
                      <w:color w:val="auto"/>
                      <w:kern w:val="0"/>
                      <w:sz w:val="21"/>
                      <w:szCs w:val="21"/>
                    </w:rPr>
                    <w:t>无生产废水排放，生活污水经化粪池处理</w:t>
                  </w:r>
                  <w:r>
                    <w:rPr>
                      <w:rFonts w:hint="eastAsia"/>
                      <w:color w:val="auto"/>
                      <w:kern w:val="0"/>
                      <w:sz w:val="21"/>
                      <w:szCs w:val="21"/>
                      <w:lang w:val="en-US" w:eastAsia="zh-CN"/>
                    </w:rPr>
                    <w:t>后</w:t>
                  </w:r>
                  <w:r>
                    <w:rPr>
                      <w:rFonts w:hint="eastAsia"/>
                      <w:color w:val="auto"/>
                      <w:kern w:val="0"/>
                      <w:sz w:val="21"/>
                      <w:szCs w:val="21"/>
                      <w:lang w:val="zh-CN"/>
                    </w:rPr>
                    <w:t>排 入 收集池存放，采用槽罐车定期送至东至县国祯污水处理厂处置</w:t>
                  </w:r>
                  <w:r>
                    <w:rPr>
                      <w:rFonts w:hint="eastAsia"/>
                      <w:color w:val="auto"/>
                      <w:kern w:val="0"/>
                      <w:sz w:val="21"/>
                      <w:szCs w:val="21"/>
                    </w:rPr>
                    <w:t>，不属于高耗水、高污染企业</w:t>
                  </w:r>
                  <w:r>
                    <w:rPr>
                      <w:rFonts w:hint="eastAsia"/>
                      <w:color w:val="auto"/>
                      <w:kern w:val="0"/>
                      <w:sz w:val="21"/>
                      <w:szCs w:val="21"/>
                      <w:lang w:eastAsia="zh-CN"/>
                    </w:rPr>
                    <w:t>，</w:t>
                  </w:r>
                  <w:r>
                    <w:rPr>
                      <w:rFonts w:hint="eastAsia"/>
                      <w:color w:val="auto"/>
                      <w:kern w:val="0"/>
                      <w:sz w:val="21"/>
                      <w:szCs w:val="21"/>
                      <w:lang w:val="en-US" w:eastAsia="zh-CN"/>
                    </w:rPr>
                    <w:t>本项目产生污染物主要为颗粒物，无土壤污染物产生。</w:t>
                  </w:r>
                </w:p>
              </w:tc>
            </w:tr>
            <w:tr w14:paraId="10D1C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335" w:type="pct"/>
                  <w:vMerge w:val="continue"/>
                  <w:tcBorders>
                    <w:tl2br w:val="nil"/>
                    <w:tr2bl w:val="nil"/>
                  </w:tcBorders>
                  <w:vAlign w:val="center"/>
                </w:tcPr>
                <w:p w14:paraId="3D9AB903">
                  <w:pPr>
                    <w:widowControl/>
                    <w:spacing w:line="240" w:lineRule="auto"/>
                    <w:ind w:firstLine="0" w:firstLineChars="0"/>
                    <w:jc w:val="center"/>
                    <w:rPr>
                      <w:color w:val="auto"/>
                      <w:kern w:val="0"/>
                      <w:sz w:val="21"/>
                      <w:szCs w:val="21"/>
                    </w:rPr>
                  </w:pPr>
                </w:p>
              </w:tc>
              <w:tc>
                <w:tcPr>
                  <w:tcW w:w="323" w:type="pct"/>
                  <w:vMerge w:val="continue"/>
                  <w:tcBorders>
                    <w:tl2br w:val="nil"/>
                    <w:tr2bl w:val="nil"/>
                  </w:tcBorders>
                  <w:vAlign w:val="center"/>
                </w:tcPr>
                <w:p w14:paraId="73B886A6">
                  <w:pPr>
                    <w:widowControl/>
                    <w:spacing w:line="240" w:lineRule="auto"/>
                    <w:ind w:firstLine="0" w:firstLineChars="0"/>
                    <w:jc w:val="center"/>
                    <w:rPr>
                      <w:color w:val="auto"/>
                      <w:kern w:val="0"/>
                      <w:sz w:val="21"/>
                      <w:szCs w:val="21"/>
                    </w:rPr>
                  </w:pPr>
                </w:p>
              </w:tc>
              <w:tc>
                <w:tcPr>
                  <w:tcW w:w="249" w:type="pct"/>
                  <w:vMerge w:val="continue"/>
                  <w:tcBorders>
                    <w:tl2br w:val="nil"/>
                    <w:tr2bl w:val="nil"/>
                  </w:tcBorders>
                  <w:vAlign w:val="center"/>
                </w:tcPr>
                <w:p w14:paraId="091270FD">
                  <w:pPr>
                    <w:widowControl/>
                    <w:spacing w:line="240" w:lineRule="auto"/>
                    <w:ind w:firstLine="0" w:firstLineChars="0"/>
                    <w:jc w:val="center"/>
                    <w:rPr>
                      <w:color w:val="auto"/>
                      <w:kern w:val="0"/>
                      <w:sz w:val="21"/>
                      <w:szCs w:val="21"/>
                    </w:rPr>
                  </w:pPr>
                </w:p>
              </w:tc>
              <w:tc>
                <w:tcPr>
                  <w:tcW w:w="369" w:type="pct"/>
                  <w:tcBorders>
                    <w:tl2br w:val="nil"/>
                    <w:tr2bl w:val="nil"/>
                  </w:tcBorders>
                  <w:vAlign w:val="center"/>
                </w:tcPr>
                <w:p w14:paraId="238555EE">
                  <w:pPr>
                    <w:widowControl/>
                    <w:spacing w:line="240" w:lineRule="auto"/>
                    <w:ind w:firstLine="0" w:firstLineChars="0"/>
                    <w:jc w:val="center"/>
                    <w:rPr>
                      <w:color w:val="auto"/>
                      <w:kern w:val="0"/>
                      <w:sz w:val="21"/>
                      <w:szCs w:val="21"/>
                    </w:rPr>
                  </w:pPr>
                  <w:r>
                    <w:rPr>
                      <w:color w:val="auto"/>
                      <w:kern w:val="0"/>
                      <w:sz w:val="21"/>
                      <w:szCs w:val="21"/>
                    </w:rPr>
                    <w:t>污染物排放管控</w:t>
                  </w:r>
                </w:p>
              </w:tc>
              <w:tc>
                <w:tcPr>
                  <w:tcW w:w="2623" w:type="pct"/>
                  <w:tcBorders>
                    <w:tl2br w:val="nil"/>
                    <w:tr2bl w:val="nil"/>
                  </w:tcBorders>
                  <w:vAlign w:val="center"/>
                </w:tcPr>
                <w:p w14:paraId="35C8C974">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“十四五”池州市生态环境有关指标计划：氮氧化物重点工程减排量（吨 ）： 2949；挥发性有机物重点工程减排量（吨）：1609；氨氮重点工程减 排量（吨）：40；化学需氧量重点工程减排量（吨）：7731.造纸、氮肥 、有色金属、印染、农副食品加工、原料药制造、农药等重点行业，开展 清洁化改造，上述行业新建、改建、扩建项目实施主要污染物排放等量或 减量置换。</w:t>
                  </w:r>
                </w:p>
                <w:p w14:paraId="4D3E51E5">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对取用水总量已达到或超过控制指标的县区，暂停审批其建设项目新增取水许可。鼓励优先选择氮磷资源化与尾水利用技术，尾水利用应满足国家或地方相应的标准或要求。其中，用于农田、林地、草地等施肥的，应符合施肥的相关标准和要求，不得造成环境污染。用于农田灌溉的，相关控制指标应满足《农田灌溉水质标准（GB5084-2005）》的要求，用于渔业的，相关控制指标应满足《渔业水质标准（GB11607-89）》 的要求。尾水资源化利用，要充分考虑当地的经济条件、基础设施等技术 ，合理采用尾水处理技术，多途径利用污水处理厂尾水。 池州市“十四五”重点行业重点重金属污染物减排目标：5%。</w:t>
                  </w:r>
                </w:p>
              </w:tc>
              <w:tc>
                <w:tcPr>
                  <w:tcW w:w="1098" w:type="pct"/>
                  <w:tcBorders>
                    <w:tl2br w:val="nil"/>
                    <w:tr2bl w:val="nil"/>
                  </w:tcBorders>
                  <w:vAlign w:val="center"/>
                </w:tcPr>
                <w:p w14:paraId="6AD88E23">
                  <w:pPr>
                    <w:widowControl/>
                    <w:spacing w:line="240" w:lineRule="auto"/>
                    <w:ind w:firstLine="0" w:firstLineChars="0"/>
                    <w:jc w:val="left"/>
                    <w:rPr>
                      <w:color w:val="auto"/>
                      <w:kern w:val="0"/>
                      <w:sz w:val="21"/>
                      <w:szCs w:val="21"/>
                    </w:rPr>
                  </w:pPr>
                  <w:r>
                    <w:rPr>
                      <w:color w:val="auto"/>
                      <w:kern w:val="0"/>
                      <w:sz w:val="21"/>
                      <w:szCs w:val="21"/>
                    </w:rPr>
                    <w:t>符合相关要求。</w:t>
                  </w:r>
                  <w:r>
                    <w:rPr>
                      <w:rFonts w:hint="eastAsia"/>
                      <w:color w:val="auto"/>
                      <w:kern w:val="0"/>
                      <w:sz w:val="21"/>
                      <w:szCs w:val="21"/>
                    </w:rPr>
                    <w:t>项目无</w:t>
                  </w:r>
                  <w:r>
                    <w:rPr>
                      <w:rFonts w:hint="eastAsia"/>
                      <w:color w:val="auto"/>
                      <w:kern w:val="0"/>
                      <w:sz w:val="21"/>
                      <w:szCs w:val="21"/>
                      <w:lang w:val="en-US" w:eastAsia="zh-CN"/>
                    </w:rPr>
                    <w:t>生产</w:t>
                  </w:r>
                  <w:r>
                    <w:rPr>
                      <w:rFonts w:hint="eastAsia"/>
                      <w:color w:val="auto"/>
                      <w:kern w:val="0"/>
                      <w:sz w:val="21"/>
                      <w:szCs w:val="21"/>
                    </w:rPr>
                    <w:t>废水排放，项目不涉及VOCs和NOx排放</w:t>
                  </w:r>
                  <w:r>
                    <w:rPr>
                      <w:color w:val="auto"/>
                      <w:kern w:val="0"/>
                      <w:sz w:val="21"/>
                      <w:szCs w:val="21"/>
                    </w:rPr>
                    <w:t>。</w:t>
                  </w:r>
                </w:p>
              </w:tc>
            </w:tr>
            <w:tr w14:paraId="4599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335" w:type="pct"/>
                  <w:vMerge w:val="continue"/>
                  <w:tcBorders>
                    <w:tl2br w:val="nil"/>
                    <w:tr2bl w:val="nil"/>
                  </w:tcBorders>
                  <w:vAlign w:val="center"/>
                </w:tcPr>
                <w:p w14:paraId="5BCB39BC">
                  <w:pPr>
                    <w:widowControl/>
                    <w:spacing w:line="240" w:lineRule="auto"/>
                    <w:ind w:firstLine="0" w:firstLineChars="0"/>
                    <w:jc w:val="center"/>
                    <w:rPr>
                      <w:color w:val="auto"/>
                      <w:kern w:val="0"/>
                      <w:sz w:val="21"/>
                      <w:szCs w:val="21"/>
                    </w:rPr>
                  </w:pPr>
                </w:p>
              </w:tc>
              <w:tc>
                <w:tcPr>
                  <w:tcW w:w="323" w:type="pct"/>
                  <w:vMerge w:val="continue"/>
                  <w:tcBorders>
                    <w:tl2br w:val="nil"/>
                    <w:tr2bl w:val="nil"/>
                  </w:tcBorders>
                  <w:vAlign w:val="center"/>
                </w:tcPr>
                <w:p w14:paraId="1E72D8BC">
                  <w:pPr>
                    <w:widowControl/>
                    <w:spacing w:line="240" w:lineRule="auto"/>
                    <w:ind w:firstLine="0" w:firstLineChars="0"/>
                    <w:jc w:val="center"/>
                    <w:rPr>
                      <w:color w:val="auto"/>
                      <w:kern w:val="0"/>
                      <w:sz w:val="21"/>
                      <w:szCs w:val="21"/>
                    </w:rPr>
                  </w:pPr>
                </w:p>
              </w:tc>
              <w:tc>
                <w:tcPr>
                  <w:tcW w:w="249" w:type="pct"/>
                  <w:vMerge w:val="continue"/>
                  <w:tcBorders>
                    <w:tl2br w:val="nil"/>
                    <w:tr2bl w:val="nil"/>
                  </w:tcBorders>
                  <w:vAlign w:val="center"/>
                </w:tcPr>
                <w:p w14:paraId="36F16C4E">
                  <w:pPr>
                    <w:widowControl/>
                    <w:spacing w:line="240" w:lineRule="auto"/>
                    <w:ind w:firstLine="0" w:firstLineChars="0"/>
                    <w:jc w:val="center"/>
                    <w:rPr>
                      <w:color w:val="auto"/>
                      <w:kern w:val="0"/>
                      <w:sz w:val="21"/>
                      <w:szCs w:val="21"/>
                    </w:rPr>
                  </w:pPr>
                </w:p>
              </w:tc>
              <w:tc>
                <w:tcPr>
                  <w:tcW w:w="369" w:type="pct"/>
                  <w:tcBorders>
                    <w:tl2br w:val="nil"/>
                    <w:tr2bl w:val="nil"/>
                  </w:tcBorders>
                  <w:vAlign w:val="center"/>
                </w:tcPr>
                <w:p w14:paraId="66D4B52A">
                  <w:pPr>
                    <w:widowControl/>
                    <w:spacing w:line="240" w:lineRule="auto"/>
                    <w:ind w:firstLine="0" w:firstLineChars="0"/>
                    <w:jc w:val="center"/>
                    <w:rPr>
                      <w:color w:val="auto"/>
                      <w:kern w:val="0"/>
                      <w:sz w:val="21"/>
                      <w:szCs w:val="21"/>
                    </w:rPr>
                  </w:pPr>
                  <w:r>
                    <w:rPr>
                      <w:color w:val="auto"/>
                      <w:kern w:val="0"/>
                      <w:sz w:val="21"/>
                      <w:szCs w:val="21"/>
                    </w:rPr>
                    <w:t>资源开发效率要求</w:t>
                  </w:r>
                </w:p>
              </w:tc>
              <w:tc>
                <w:tcPr>
                  <w:tcW w:w="2623" w:type="pct"/>
                  <w:tcBorders>
                    <w:tl2br w:val="nil"/>
                    <w:tr2bl w:val="nil"/>
                  </w:tcBorders>
                  <w:vAlign w:val="center"/>
                </w:tcPr>
                <w:p w14:paraId="4314274A">
                  <w:pPr>
                    <w:keepNext w:val="0"/>
                    <w:keepLines w:val="0"/>
                    <w:pageBreakBefore w:val="0"/>
                    <w:widowControl/>
                    <w:numPr>
                      <w:ilvl w:val="0"/>
                      <w:numId w:val="2"/>
                    </w:numPr>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宋体" w:hAnsi="宋体" w:eastAsia="宋体" w:cs="宋体"/>
                      <w:color w:val="auto"/>
                      <w:sz w:val="21"/>
                      <w:szCs w:val="21"/>
                      <w:lang w:val="en-US" w:eastAsia="zh-CN"/>
                    </w:rPr>
                  </w:pPr>
                  <w:r>
                    <w:rPr>
                      <w:rFonts w:ascii="宋体" w:hAnsi="宋体" w:eastAsia="宋体" w:cs="宋体"/>
                      <w:color w:val="auto"/>
                      <w:sz w:val="21"/>
                      <w:szCs w:val="21"/>
                    </w:rPr>
                    <w:t xml:space="preserve">推动煤电行业实施节能降耗改造、供热改造和灵活性改造“三改联动 ”。加快供热管网建设，淘汰管网覆盖范围内的燃煤锅炉和散煤。到 2025年，火电平均供电煤耗降至295克标煤/千瓦时，散煤基本清零。 </w:t>
                  </w:r>
                </w:p>
                <w:p w14:paraId="59D98237">
                  <w:pPr>
                    <w:keepNext w:val="0"/>
                    <w:keepLines w:val="0"/>
                    <w:pageBreakBefore w:val="0"/>
                    <w:widowControl/>
                    <w:numPr>
                      <w:ilvl w:val="0"/>
                      <w:numId w:val="2"/>
                    </w:numPr>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宋体" w:hAnsi="宋体" w:eastAsia="宋体" w:cs="宋体"/>
                      <w:color w:val="auto"/>
                      <w:kern w:val="0"/>
                      <w:sz w:val="21"/>
                      <w:szCs w:val="21"/>
                    </w:rPr>
                  </w:pPr>
                  <w:r>
                    <w:rPr>
                      <w:rFonts w:ascii="宋体" w:hAnsi="宋体" w:eastAsia="宋体" w:cs="宋体"/>
                      <w:color w:val="auto"/>
                      <w:sz w:val="21"/>
                      <w:szCs w:val="21"/>
                    </w:rPr>
                    <w:t>实施“煤改气”和“以电代煤”。在陶瓷、玻璃、铸造等行业积极推进 天然气替代煤气化工程，有序实施燃煤设施煤改气。结合区域和行业用能 特点，积极推进工业生产、建筑供暖供冷、交通运输、农业生产、居民生 活五大领域实施“以电代煤”，着力提高电能占终端能源消费比重。</w:t>
                  </w:r>
                </w:p>
                <w:p w14:paraId="664F9984">
                  <w:pPr>
                    <w:keepNext w:val="0"/>
                    <w:keepLines w:val="0"/>
                    <w:pageBreakBefore w:val="0"/>
                    <w:widowControl/>
                    <w:numPr>
                      <w:ilvl w:val="0"/>
                      <w:numId w:val="2"/>
                    </w:numPr>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宋体" w:hAnsi="宋体" w:eastAsia="宋体" w:cs="宋体"/>
                      <w:color w:val="auto"/>
                      <w:kern w:val="0"/>
                      <w:sz w:val="21"/>
                      <w:szCs w:val="21"/>
                    </w:rPr>
                  </w:pPr>
                  <w:r>
                    <w:rPr>
                      <w:rFonts w:ascii="宋体" w:hAnsi="宋体" w:eastAsia="宋体" w:cs="宋体"/>
                      <w:color w:val="auto"/>
                      <w:sz w:val="21"/>
                      <w:szCs w:val="21"/>
                    </w:rPr>
                    <w:t xml:space="preserve"> 推动光伏发电规模化发展，充分利用荒山荒坡、采煤沉陷区等未利用空 间，建设集中式光伏电站。加快工业园区、公共建筑、居民住宅等屋顶光 伏建设，有序推动国家整县（市、区）屋顶分布式光伏开发试点，因地制 宜推进“光伏+”项目。 </w:t>
                  </w:r>
                </w:p>
                <w:p w14:paraId="7907B443">
                  <w:pPr>
                    <w:keepNext w:val="0"/>
                    <w:keepLines w:val="0"/>
                    <w:pageBreakBefore w:val="0"/>
                    <w:widowControl/>
                    <w:numPr>
                      <w:ilvl w:val="0"/>
                      <w:numId w:val="2"/>
                    </w:numPr>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宋体" w:hAnsi="宋体" w:eastAsia="宋体" w:cs="宋体"/>
                      <w:color w:val="auto"/>
                      <w:kern w:val="0"/>
                      <w:sz w:val="21"/>
                      <w:szCs w:val="21"/>
                    </w:rPr>
                  </w:pPr>
                  <w:r>
                    <w:rPr>
                      <w:rFonts w:ascii="宋体" w:hAnsi="宋体" w:eastAsia="宋体" w:cs="宋体"/>
                      <w:color w:val="auto"/>
                      <w:sz w:val="21"/>
                      <w:szCs w:val="21"/>
                    </w:rPr>
                    <w:t>积极开发风电资源，在皖北平原、皖西南地区建设集中连片风电，持续 推进就近接入、就地消纳的分散式风电建设。</w:t>
                  </w:r>
                </w:p>
              </w:tc>
              <w:tc>
                <w:tcPr>
                  <w:tcW w:w="1098" w:type="pct"/>
                  <w:tcBorders>
                    <w:tl2br w:val="nil"/>
                    <w:tr2bl w:val="nil"/>
                  </w:tcBorders>
                  <w:vAlign w:val="center"/>
                </w:tcPr>
                <w:p w14:paraId="63473BAC">
                  <w:pPr>
                    <w:widowControl/>
                    <w:spacing w:line="240" w:lineRule="auto"/>
                    <w:ind w:firstLine="0" w:firstLineChars="0"/>
                    <w:jc w:val="left"/>
                    <w:rPr>
                      <w:color w:val="auto"/>
                      <w:kern w:val="0"/>
                      <w:sz w:val="21"/>
                      <w:szCs w:val="21"/>
                    </w:rPr>
                  </w:pPr>
                  <w:r>
                    <w:rPr>
                      <w:color w:val="auto"/>
                      <w:kern w:val="0"/>
                      <w:sz w:val="21"/>
                      <w:szCs w:val="21"/>
                    </w:rPr>
                    <w:t>符合相关要求。</w:t>
                  </w:r>
                </w:p>
                <w:p w14:paraId="3EC924E7">
                  <w:pPr>
                    <w:widowControl/>
                    <w:spacing w:line="240" w:lineRule="auto"/>
                    <w:ind w:firstLine="0" w:firstLineChars="0"/>
                    <w:jc w:val="left"/>
                    <w:rPr>
                      <w:color w:val="auto"/>
                      <w:kern w:val="0"/>
                      <w:sz w:val="21"/>
                      <w:szCs w:val="21"/>
                    </w:rPr>
                  </w:pPr>
                  <w:r>
                    <w:rPr>
                      <w:color w:val="auto"/>
                      <w:kern w:val="0"/>
                      <w:sz w:val="21"/>
                      <w:szCs w:val="21"/>
                    </w:rPr>
                    <w:t>本项目不使用煤炭</w:t>
                  </w:r>
                  <w:r>
                    <w:rPr>
                      <w:rFonts w:hint="eastAsia"/>
                      <w:color w:val="auto"/>
                      <w:kern w:val="0"/>
                      <w:sz w:val="21"/>
                      <w:szCs w:val="21"/>
                    </w:rPr>
                    <w:t>，使用的能源为电</w:t>
                  </w:r>
                  <w:r>
                    <w:rPr>
                      <w:color w:val="auto"/>
                      <w:kern w:val="0"/>
                      <w:sz w:val="21"/>
                      <w:szCs w:val="21"/>
                    </w:rPr>
                    <w:t>。</w:t>
                  </w:r>
                </w:p>
              </w:tc>
            </w:tr>
          </w:tbl>
          <w:p w14:paraId="2F25FC8E">
            <w:pPr>
              <w:ind w:firstLine="480"/>
              <w:rPr>
                <w:color w:val="auto"/>
              </w:rPr>
            </w:pPr>
          </w:p>
          <w:p w14:paraId="5F569A9E">
            <w:pPr>
              <w:pStyle w:val="9"/>
              <w:rPr>
                <w:color w:val="auto"/>
              </w:rPr>
            </w:pPr>
          </w:p>
          <w:p w14:paraId="70952382">
            <w:pPr>
              <w:ind w:firstLine="480"/>
              <w:rPr>
                <w:color w:val="auto"/>
              </w:rPr>
            </w:pPr>
          </w:p>
          <w:p w14:paraId="03A01639">
            <w:pPr>
              <w:ind w:firstLine="480"/>
              <w:rPr>
                <w:color w:val="auto"/>
              </w:rPr>
            </w:pPr>
          </w:p>
          <w:p w14:paraId="187680BC">
            <w:pPr>
              <w:ind w:firstLine="480"/>
              <w:rPr>
                <w:color w:val="auto"/>
              </w:rPr>
            </w:pPr>
            <w:r>
              <w:rPr>
                <w:color w:val="auto"/>
              </w:rPr>
              <w:drawing>
                <wp:inline distT="0" distB="0" distL="114300" distR="114300">
                  <wp:extent cx="7881620" cy="4046855"/>
                  <wp:effectExtent l="9525" t="9525" r="14605" b="2032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6"/>
                          <a:stretch>
                            <a:fillRect/>
                          </a:stretch>
                        </pic:blipFill>
                        <pic:spPr>
                          <a:xfrm>
                            <a:off x="0" y="0"/>
                            <a:ext cx="7881620" cy="4046855"/>
                          </a:xfrm>
                          <a:prstGeom prst="rect">
                            <a:avLst/>
                          </a:prstGeom>
                          <a:noFill/>
                          <a:ln>
                            <a:solidFill>
                              <a:schemeClr val="tx1"/>
                            </a:solidFill>
                          </a:ln>
                        </pic:spPr>
                      </pic:pic>
                    </a:graphicData>
                  </a:graphic>
                </wp:inline>
              </w:drawing>
            </w:r>
          </w:p>
          <w:p w14:paraId="634AEA14">
            <w:pPr>
              <w:spacing w:line="360" w:lineRule="auto"/>
              <w:ind w:firstLine="482" w:firstLineChars="200"/>
              <w:jc w:val="center"/>
              <w:rPr>
                <w:rFonts w:hint="default" w:ascii="Times New Roman" w:hAnsi="Times New Roman" w:cs="Times New Roman"/>
                <w:color w:val="auto"/>
                <w:sz w:val="24"/>
                <w:szCs w:val="24"/>
              </w:rPr>
            </w:pPr>
            <w:r>
              <w:rPr>
                <w:rFonts w:hint="default" w:ascii="Times New Roman" w:hAnsi="Times New Roman" w:eastAsia="宋体" w:cs="Times New Roman"/>
                <w:b/>
                <w:bCs/>
                <w:color w:val="auto"/>
                <w:sz w:val="24"/>
                <w:szCs w:val="24"/>
                <w:lang w:eastAsia="zh-CN"/>
              </w:rPr>
              <w:t>图1-</w:t>
            </w:r>
            <w:r>
              <w:rPr>
                <w:rFonts w:hint="default" w:ascii="Times New Roman" w:hAnsi="Times New Roman" w:eastAsia="宋体" w:cs="Times New Roman"/>
                <w:b/>
                <w:bCs/>
                <w:color w:val="auto"/>
                <w:sz w:val="24"/>
                <w:szCs w:val="24"/>
                <w:lang w:val="en-US" w:eastAsia="zh-CN"/>
              </w:rPr>
              <w:t>1</w:t>
            </w:r>
            <w:r>
              <w:rPr>
                <w:rFonts w:hint="eastAsia" w:cs="Times New Roman"/>
                <w:b/>
                <w:bCs/>
                <w:color w:val="auto"/>
                <w:sz w:val="24"/>
                <w:szCs w:val="24"/>
                <w:lang w:val="en-US" w:eastAsia="zh-CN"/>
              </w:rPr>
              <w:t>项目</w:t>
            </w:r>
            <w:r>
              <w:rPr>
                <w:rFonts w:hint="eastAsia"/>
                <w:b/>
                <w:bCs/>
                <w:color w:val="auto"/>
                <w:sz w:val="24"/>
                <w:szCs w:val="24"/>
                <w:lang w:val="en-US" w:eastAsia="zh-CN"/>
              </w:rPr>
              <w:t>安徽省“三线一单”</w:t>
            </w:r>
            <w:r>
              <w:rPr>
                <w:rFonts w:hint="default" w:ascii="Times New Roman" w:hAnsi="Times New Roman" w:eastAsia="宋体" w:cs="Times New Roman"/>
                <w:b/>
                <w:bCs/>
                <w:color w:val="auto"/>
                <w:sz w:val="24"/>
                <w:szCs w:val="24"/>
                <w:lang w:eastAsia="zh-CN"/>
              </w:rPr>
              <w:t>位</w:t>
            </w:r>
            <w:r>
              <w:rPr>
                <w:rFonts w:hint="default" w:ascii="Times New Roman" w:hAnsi="Times New Roman" w:eastAsia="宋体" w:cs="Times New Roman"/>
                <w:b/>
                <w:color w:val="auto"/>
                <w:sz w:val="24"/>
                <w:szCs w:val="24"/>
                <w:lang w:eastAsia="zh-CN"/>
              </w:rPr>
              <w:t>置</w:t>
            </w:r>
            <w:r>
              <w:rPr>
                <w:rFonts w:hint="default" w:ascii="Times New Roman" w:hAnsi="Times New Roman" w:eastAsia="宋体" w:cs="Times New Roman"/>
                <w:b/>
                <w:color w:val="auto"/>
                <w:sz w:val="24"/>
                <w:szCs w:val="24"/>
                <w:lang w:val="en-US" w:eastAsia="zh-CN"/>
              </w:rPr>
              <w:t>关系</w:t>
            </w:r>
            <w:r>
              <w:rPr>
                <w:rFonts w:hint="default" w:ascii="Times New Roman" w:hAnsi="Times New Roman" w:eastAsia="宋体" w:cs="Times New Roman"/>
                <w:b/>
                <w:color w:val="auto"/>
                <w:sz w:val="24"/>
                <w:szCs w:val="24"/>
                <w:lang w:eastAsia="zh-CN"/>
              </w:rPr>
              <w:t>图</w:t>
            </w:r>
          </w:p>
          <w:p w14:paraId="6AC02525">
            <w:pPr>
              <w:ind w:firstLine="480"/>
              <w:rPr>
                <w:color w:val="auto"/>
              </w:rPr>
            </w:pPr>
          </w:p>
          <w:p w14:paraId="724B9611">
            <w:pPr>
              <w:pStyle w:val="9"/>
              <w:rPr>
                <w:color w:val="auto"/>
              </w:rPr>
            </w:pPr>
          </w:p>
          <w:p w14:paraId="307B2133">
            <w:pPr>
              <w:pStyle w:val="9"/>
              <w:rPr>
                <w:color w:val="auto"/>
              </w:rPr>
            </w:pPr>
          </w:p>
          <w:p w14:paraId="57A38FD9">
            <w:pPr>
              <w:pStyle w:val="9"/>
              <w:rPr>
                <w:color w:val="auto"/>
              </w:rPr>
            </w:pPr>
          </w:p>
        </w:tc>
      </w:tr>
    </w:tbl>
    <w:p w14:paraId="78435D44">
      <w:pPr>
        <w:ind w:firstLine="480"/>
        <w:rPr>
          <w:color w:val="auto"/>
        </w:rPr>
        <w:sectPr>
          <w:pgSz w:w="16838" w:h="11906" w:orient="landscape"/>
          <w:pgMar w:top="1531" w:right="1701" w:bottom="1531" w:left="1701" w:header="851" w:footer="1077" w:gutter="0"/>
          <w:pgBorders>
            <w:top w:val="none" w:sz="0" w:space="0"/>
            <w:left w:val="none" w:sz="0" w:space="0"/>
            <w:bottom w:val="none" w:sz="0" w:space="0"/>
            <w:right w:val="none" w:sz="0" w:space="0"/>
          </w:pgBorders>
          <w:cols w:space="720" w:num="1"/>
          <w:docGrid w:linePitch="312" w:charSpace="0"/>
        </w:sectPr>
      </w:pPr>
    </w:p>
    <w:bookmarkEnd w:id="5"/>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9133"/>
      </w:tblGrid>
      <w:tr w14:paraId="61B4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 w:type="dxa"/>
            <w:vAlign w:val="center"/>
          </w:tcPr>
          <w:p w14:paraId="4B5DE440">
            <w:pPr>
              <w:pStyle w:val="2"/>
              <w:rPr>
                <w:rFonts w:hint="default" w:ascii="Times New Roman" w:hAnsi="Times New Roman" w:eastAsia="宋体" w:cs="Times New Roman"/>
                <w:color w:val="auto"/>
              </w:rPr>
            </w:pPr>
            <w:bookmarkStart w:id="6" w:name="_Toc17962"/>
            <w:r>
              <w:rPr>
                <w:rFonts w:hint="default" w:ascii="Times New Roman" w:hAnsi="Times New Roman" w:eastAsia="宋体" w:cs="Times New Roman"/>
                <w:color w:val="auto"/>
                <w:sz w:val="24"/>
                <w:szCs w:val="24"/>
              </w:rPr>
              <w:t>其他符合性分析</w:t>
            </w:r>
          </w:p>
        </w:tc>
        <w:tc>
          <w:tcPr>
            <w:tcW w:w="9133" w:type="dxa"/>
          </w:tcPr>
          <w:p w14:paraId="6C0A507A">
            <w:pPr>
              <w:keepNext/>
              <w:keepLines/>
              <w:ind w:firstLine="482"/>
              <w:jc w:val="left"/>
              <w:outlineLvl w:val="2"/>
              <w:rPr>
                <w:rFonts w:hint="default" w:ascii="Times New Roman" w:hAnsi="Times New Roman" w:eastAsia="宋体" w:cs="Times New Roman"/>
                <w:b/>
                <w:bCs/>
                <w:color w:val="auto"/>
                <w:szCs w:val="30"/>
              </w:rPr>
            </w:pPr>
            <w:r>
              <w:rPr>
                <w:rFonts w:hint="default" w:ascii="Times New Roman" w:hAnsi="Times New Roman" w:eastAsia="宋体" w:cs="Times New Roman"/>
                <w:b/>
                <w:bCs/>
                <w:color w:val="auto"/>
                <w:szCs w:val="30"/>
              </w:rPr>
              <w:t>4.与其他相关环保政策符合性分析</w:t>
            </w:r>
          </w:p>
          <w:p w14:paraId="62BE415E">
            <w:pPr>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rPr>
              <w:t>（1）与《中华人民共和国长江保护法》符合性</w:t>
            </w:r>
          </w:p>
          <w:p w14:paraId="37DEA677">
            <w:pPr>
              <w:pStyle w:val="88"/>
              <w:snapToGrid w:val="0"/>
              <w:spacing w:line="240" w:lineRule="auto"/>
              <w:ind w:firstLine="0" w:firstLineChars="0"/>
              <w:jc w:val="center"/>
              <w:rPr>
                <w:rFonts w:hint="default" w:ascii="Times New Roman" w:hAnsi="Times New Roman" w:eastAsia="宋体" w:cs="Times New Roman"/>
                <w:b/>
                <w:color w:val="auto"/>
                <w:sz w:val="21"/>
                <w:szCs w:val="16"/>
              </w:rPr>
            </w:pPr>
            <w:r>
              <w:rPr>
                <w:rFonts w:hint="default" w:ascii="Times New Roman" w:hAnsi="Times New Roman" w:eastAsia="宋体" w:cs="Times New Roman"/>
                <w:b/>
                <w:color w:val="auto"/>
                <w:sz w:val="21"/>
                <w:szCs w:val="16"/>
              </w:rPr>
              <w:t>表1-</w:t>
            </w:r>
            <w:r>
              <w:rPr>
                <w:rFonts w:hint="default" w:ascii="Times New Roman" w:hAnsi="Times New Roman" w:eastAsia="宋体" w:cs="Times New Roman"/>
                <w:b/>
                <w:color w:val="auto"/>
                <w:sz w:val="21"/>
                <w:szCs w:val="16"/>
                <w:lang w:val="en-US" w:eastAsia="zh-CN"/>
              </w:rPr>
              <w:t>3</w:t>
            </w:r>
            <w:r>
              <w:rPr>
                <w:rFonts w:hint="default" w:ascii="Times New Roman" w:hAnsi="Times New Roman" w:eastAsia="宋体" w:cs="Times New Roman"/>
                <w:b/>
                <w:color w:val="auto"/>
                <w:sz w:val="21"/>
                <w:szCs w:val="16"/>
              </w:rPr>
              <w:t xml:space="preserve">  与</w:t>
            </w:r>
            <w:r>
              <w:rPr>
                <w:rFonts w:hint="default" w:ascii="Times New Roman" w:hAnsi="Times New Roman" w:eastAsia="宋体" w:cs="Times New Roman"/>
                <w:b/>
                <w:bCs/>
                <w:color w:val="auto"/>
                <w:sz w:val="21"/>
                <w:szCs w:val="16"/>
              </w:rPr>
              <w:t>《中华人民共和国长江保护法》相符性分析</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671"/>
              <w:gridCol w:w="4552"/>
              <w:gridCol w:w="2776"/>
              <w:gridCol w:w="903"/>
            </w:tblGrid>
            <w:tr w14:paraId="2CFB8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73A4EB9C">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序号</w:t>
                  </w:r>
                </w:p>
              </w:tc>
              <w:tc>
                <w:tcPr>
                  <w:tcW w:w="2556" w:type="pct"/>
                  <w:tcBorders>
                    <w:tl2br w:val="nil"/>
                    <w:tr2bl w:val="nil"/>
                  </w:tcBorders>
                  <w:vAlign w:val="center"/>
                </w:tcPr>
                <w:p w14:paraId="18EFAB59">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相关内容摘要</w:t>
                  </w:r>
                </w:p>
              </w:tc>
              <w:tc>
                <w:tcPr>
                  <w:tcW w:w="1559" w:type="pct"/>
                  <w:tcBorders>
                    <w:tl2br w:val="nil"/>
                    <w:tr2bl w:val="nil"/>
                  </w:tcBorders>
                  <w:vAlign w:val="center"/>
                </w:tcPr>
                <w:p w14:paraId="3D8D298F">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本项目</w:t>
                  </w:r>
                </w:p>
              </w:tc>
              <w:tc>
                <w:tcPr>
                  <w:tcW w:w="507" w:type="pct"/>
                  <w:tcBorders>
                    <w:tl2br w:val="nil"/>
                    <w:tr2bl w:val="nil"/>
                  </w:tcBorders>
                  <w:vAlign w:val="center"/>
                </w:tcPr>
                <w:p w14:paraId="6B801D93">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符合性</w:t>
                  </w:r>
                </w:p>
              </w:tc>
            </w:tr>
            <w:tr w14:paraId="3B3E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4968E1B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w:t>
                  </w:r>
                </w:p>
              </w:tc>
              <w:tc>
                <w:tcPr>
                  <w:tcW w:w="2556" w:type="pct"/>
                  <w:tcBorders>
                    <w:tl2br w:val="nil"/>
                    <w:tr2bl w:val="nil"/>
                  </w:tcBorders>
                  <w:vAlign w:val="center"/>
                </w:tcPr>
                <w:p w14:paraId="57A93241">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第二十一条国务院水行政主管部门统筹长江流域水资源合理配置、统一调度和高效利用，组织实施取用水总量控制和消耗强度控制管理制度。</w:t>
                  </w:r>
                </w:p>
                <w:p w14:paraId="10F9C79A">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559" w:type="pct"/>
                  <w:tcBorders>
                    <w:tl2br w:val="nil"/>
                    <w:tr2bl w:val="nil"/>
                  </w:tcBorders>
                  <w:vAlign w:val="center"/>
                </w:tcPr>
                <w:p w14:paraId="596B0635">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项目</w:t>
                  </w:r>
                  <w:r>
                    <w:rPr>
                      <w:rFonts w:hint="default" w:ascii="Times New Roman" w:hAnsi="Times New Roman" w:eastAsia="宋体" w:cs="Times New Roman"/>
                      <w:color w:val="auto"/>
                      <w:szCs w:val="21"/>
                    </w:rPr>
                    <w:t>所在区域水环境质量现状可满足相应功能区划要求，本项目无生产废水外排，项目生活污水经化粪池处理</w:t>
                  </w:r>
                  <w:r>
                    <w:rPr>
                      <w:rFonts w:hint="default" w:ascii="Times New Roman" w:hAnsi="Times New Roman" w:eastAsia="宋体" w:cs="Times New Roman"/>
                      <w:color w:val="auto"/>
                      <w:szCs w:val="21"/>
                      <w:lang w:val="en-US" w:eastAsia="zh-CN"/>
                    </w:rPr>
                    <w:t>后</w:t>
                  </w:r>
                  <w:r>
                    <w:rPr>
                      <w:rFonts w:hint="default" w:ascii="Times New Roman" w:hAnsi="Times New Roman" w:eastAsia="宋体" w:cs="Times New Roman"/>
                      <w:color w:val="auto"/>
                      <w:szCs w:val="21"/>
                      <w:lang w:val="zh-CN"/>
                    </w:rPr>
                    <w:t>排 入 收集池存放，采用槽罐车定期送至</w:t>
                  </w:r>
                  <w:r>
                    <w:rPr>
                      <w:rFonts w:hint="eastAsia" w:ascii="Times New Roman" w:hAnsi="Times New Roman" w:eastAsia="宋体" w:cs="Times New Roman"/>
                      <w:color w:val="auto"/>
                      <w:szCs w:val="21"/>
                      <w:lang w:val="zh-CN"/>
                    </w:rPr>
                    <w:t>东至县国祯污水处理厂</w:t>
                  </w:r>
                  <w:r>
                    <w:rPr>
                      <w:rFonts w:hint="default" w:ascii="Times New Roman" w:hAnsi="Times New Roman" w:eastAsia="宋体" w:cs="Times New Roman"/>
                      <w:color w:val="auto"/>
                      <w:szCs w:val="21"/>
                      <w:lang w:val="zh-CN"/>
                    </w:rPr>
                    <w:t>处置</w:t>
                  </w:r>
                </w:p>
              </w:tc>
              <w:tc>
                <w:tcPr>
                  <w:tcW w:w="507" w:type="pct"/>
                  <w:tcBorders>
                    <w:tl2br w:val="nil"/>
                    <w:tr2bl w:val="nil"/>
                  </w:tcBorders>
                  <w:vAlign w:val="center"/>
                </w:tcPr>
                <w:p w14:paraId="79D9FFFC">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7EAE9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6115E6C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w:t>
                  </w:r>
                </w:p>
              </w:tc>
              <w:tc>
                <w:tcPr>
                  <w:tcW w:w="2556" w:type="pct"/>
                  <w:tcBorders>
                    <w:tl2br w:val="nil"/>
                    <w:tr2bl w:val="nil"/>
                  </w:tcBorders>
                  <w:vAlign w:val="center"/>
                </w:tcPr>
                <w:p w14:paraId="20446B78">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第二十二条长江流域省级人民政府根据本行政区域的生态环境和资源利用状况，制定生态环境分区管控方案和生态环境准入清单，报国务院生态环境主管部门备案后实施。禁止在长江流域重点生态功能区布局对生态系统有严重影响的产业。禁止重污染企业和项目向长江中上游转移</w:t>
                  </w:r>
                </w:p>
              </w:tc>
              <w:tc>
                <w:tcPr>
                  <w:tcW w:w="1559" w:type="pct"/>
                  <w:tcBorders>
                    <w:tl2br w:val="nil"/>
                    <w:tr2bl w:val="nil"/>
                  </w:tcBorders>
                  <w:vAlign w:val="center"/>
                </w:tcPr>
                <w:p w14:paraId="7BDB8D04">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经前文对照分析，项目符合环境分区管控要求和生态环境准入清单要求，本项目</w:t>
                  </w:r>
                  <w:r>
                    <w:rPr>
                      <w:rFonts w:hint="default" w:ascii="Times New Roman" w:hAnsi="Times New Roman" w:eastAsia="宋体" w:cs="Times New Roman"/>
                      <w:color w:val="auto"/>
                      <w:szCs w:val="21"/>
                      <w:lang w:val="en-US" w:eastAsia="zh-CN"/>
                    </w:rPr>
                    <w:t>为建筑垃圾</w:t>
                  </w:r>
                  <w:r>
                    <w:rPr>
                      <w:rFonts w:hint="default" w:ascii="Times New Roman" w:hAnsi="Times New Roman" w:eastAsia="宋体" w:cs="Times New Roman"/>
                      <w:color w:val="auto"/>
                      <w:szCs w:val="21"/>
                    </w:rPr>
                    <w:t>资源化利用项目，不属于重污染企业</w:t>
                  </w:r>
                </w:p>
              </w:tc>
              <w:tc>
                <w:tcPr>
                  <w:tcW w:w="507" w:type="pct"/>
                  <w:tcBorders>
                    <w:tl2br w:val="nil"/>
                    <w:tr2bl w:val="nil"/>
                  </w:tcBorders>
                  <w:vAlign w:val="center"/>
                </w:tcPr>
                <w:p w14:paraId="30BDDC06">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1A87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0B1EAF1E">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3</w:t>
                  </w:r>
                </w:p>
              </w:tc>
              <w:tc>
                <w:tcPr>
                  <w:tcW w:w="2556" w:type="pct"/>
                  <w:tcBorders>
                    <w:tl2br w:val="nil"/>
                    <w:tr2bl w:val="nil"/>
                  </w:tcBorders>
                  <w:vAlign w:val="center"/>
                </w:tcPr>
                <w:p w14:paraId="3330C261">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第二十六条国家对长江流域河湖岸线实施特殊管制。禁止在长江干支流岸线一公里范围内新建、扩建化工园区和化工项目</w:t>
                  </w:r>
                </w:p>
              </w:tc>
              <w:tc>
                <w:tcPr>
                  <w:tcW w:w="1559" w:type="pct"/>
                  <w:tcBorders>
                    <w:tl2br w:val="nil"/>
                    <w:tr2bl w:val="nil"/>
                  </w:tcBorders>
                  <w:vAlign w:val="center"/>
                </w:tcPr>
                <w:p w14:paraId="709DCAB8">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本项目距离长江岸线直线距离约</w:t>
                  </w:r>
                  <w:r>
                    <w:rPr>
                      <w:rFonts w:hint="default" w:ascii="Times New Roman" w:hAnsi="Times New Roman" w:eastAsia="宋体" w:cs="Times New Roman"/>
                      <w:color w:val="auto"/>
                      <w:szCs w:val="21"/>
                      <w:lang w:val="en-US" w:eastAsia="zh-CN"/>
                    </w:rPr>
                    <w:t>10.7</w:t>
                  </w:r>
                  <w:r>
                    <w:rPr>
                      <w:rFonts w:hint="default" w:ascii="Times New Roman" w:hAnsi="Times New Roman" w:eastAsia="宋体" w:cs="Times New Roman"/>
                      <w:color w:val="auto"/>
                      <w:szCs w:val="21"/>
                    </w:rPr>
                    <w:t>km</w:t>
                  </w:r>
                  <w:r>
                    <w:rPr>
                      <w:rFonts w:hint="default" w:ascii="Times New Roman" w:hAnsi="Times New Roman" w:eastAsia="宋体" w:cs="Times New Roman"/>
                      <w:color w:val="auto"/>
                      <w:szCs w:val="21"/>
                      <w:lang w:val="en-US" w:eastAsia="zh-CN"/>
                    </w:rPr>
                    <w:t>，</w:t>
                  </w:r>
                  <w:r>
                    <w:rPr>
                      <w:rFonts w:hint="default" w:ascii="Times New Roman" w:hAnsi="Times New Roman" w:eastAsia="宋体" w:cs="Times New Roman"/>
                      <w:color w:val="auto"/>
                      <w:szCs w:val="21"/>
                    </w:rPr>
                    <w:t>本项目为</w:t>
                  </w:r>
                  <w:r>
                    <w:rPr>
                      <w:rFonts w:hint="default" w:ascii="Times New Roman" w:hAnsi="Times New Roman" w:eastAsia="宋体" w:cs="Times New Roman"/>
                      <w:color w:val="auto"/>
                      <w:szCs w:val="21"/>
                      <w:lang w:val="en-US" w:eastAsia="zh-CN"/>
                    </w:rPr>
                    <w:t>建筑垃圾</w:t>
                  </w:r>
                  <w:r>
                    <w:rPr>
                      <w:rFonts w:hint="default" w:ascii="Times New Roman" w:hAnsi="Times New Roman" w:eastAsia="宋体" w:cs="Times New Roman"/>
                      <w:color w:val="auto"/>
                      <w:szCs w:val="21"/>
                    </w:rPr>
                    <w:t>资源化利用项目，不属于化工项目</w:t>
                  </w:r>
                </w:p>
              </w:tc>
              <w:tc>
                <w:tcPr>
                  <w:tcW w:w="507" w:type="pct"/>
                  <w:tcBorders>
                    <w:tl2br w:val="nil"/>
                    <w:tr2bl w:val="nil"/>
                  </w:tcBorders>
                  <w:vAlign w:val="center"/>
                </w:tcPr>
                <w:p w14:paraId="7076D99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0523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5D704B4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w:t>
                  </w:r>
                </w:p>
              </w:tc>
              <w:tc>
                <w:tcPr>
                  <w:tcW w:w="2556" w:type="pct"/>
                  <w:tcBorders>
                    <w:tl2br w:val="nil"/>
                    <w:tr2bl w:val="nil"/>
                  </w:tcBorders>
                  <w:vAlign w:val="center"/>
                </w:tcPr>
                <w:p w14:paraId="38040462">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第四十七条长江流域县级以上地方人民政府应当统筹长江流域城乡污水集中处理设施及配套管网建设，并保障其正常运行，提高城乡污水收集处理能力。在长江流域江河、湖泊新设、改设或者扩大排污口，应当按 照国家有关规定报经有管辖权的生态环境主管部门或者长江流域生态环境监督管理机构同意。对未达到水质目标的水功能区，除污水集中处理设施排污口外，应当严格控制新设、改设或者扩大排污口</w:t>
                  </w:r>
                </w:p>
              </w:tc>
              <w:tc>
                <w:tcPr>
                  <w:tcW w:w="1559" w:type="pct"/>
                  <w:tcBorders>
                    <w:tl2br w:val="nil"/>
                    <w:tr2bl w:val="nil"/>
                  </w:tcBorders>
                  <w:vAlign w:val="center"/>
                </w:tcPr>
                <w:p w14:paraId="0D29028A">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本项目无生产废水外排，项目生活污水经化粪池处理</w:t>
                  </w:r>
                  <w:r>
                    <w:rPr>
                      <w:rFonts w:hint="default" w:ascii="Times New Roman" w:hAnsi="Times New Roman" w:eastAsia="宋体" w:cs="Times New Roman"/>
                      <w:color w:val="auto"/>
                      <w:szCs w:val="21"/>
                      <w:lang w:val="en-US" w:eastAsia="zh-CN"/>
                    </w:rPr>
                    <w:t>后</w:t>
                  </w:r>
                  <w:r>
                    <w:rPr>
                      <w:rFonts w:hint="default" w:ascii="Times New Roman" w:hAnsi="Times New Roman" w:eastAsia="宋体" w:cs="Times New Roman"/>
                      <w:color w:val="auto"/>
                      <w:szCs w:val="21"/>
                      <w:lang w:val="zh-CN"/>
                    </w:rPr>
                    <w:t>排 入 收集池存放，采用槽罐车定期送至</w:t>
                  </w:r>
                  <w:r>
                    <w:rPr>
                      <w:rFonts w:hint="eastAsia" w:ascii="Times New Roman" w:hAnsi="Times New Roman" w:eastAsia="宋体" w:cs="Times New Roman"/>
                      <w:color w:val="auto"/>
                      <w:szCs w:val="21"/>
                      <w:lang w:val="zh-CN"/>
                    </w:rPr>
                    <w:t>东至县国祯污水处理厂</w:t>
                  </w:r>
                  <w:r>
                    <w:rPr>
                      <w:rFonts w:hint="default" w:ascii="Times New Roman" w:hAnsi="Times New Roman" w:eastAsia="宋体" w:cs="Times New Roman"/>
                      <w:color w:val="auto"/>
                      <w:szCs w:val="21"/>
                      <w:lang w:val="zh-CN"/>
                    </w:rPr>
                    <w:t>处置，</w:t>
                  </w:r>
                  <w:r>
                    <w:rPr>
                      <w:rFonts w:hint="default" w:ascii="Times New Roman" w:hAnsi="Times New Roman" w:eastAsia="宋体" w:cs="Times New Roman"/>
                      <w:color w:val="auto"/>
                      <w:szCs w:val="21"/>
                    </w:rPr>
                    <w:t>不设置入河排污口</w:t>
                  </w:r>
                </w:p>
              </w:tc>
              <w:tc>
                <w:tcPr>
                  <w:tcW w:w="507" w:type="pct"/>
                  <w:tcBorders>
                    <w:tl2br w:val="nil"/>
                    <w:tr2bl w:val="nil"/>
                  </w:tcBorders>
                  <w:vAlign w:val="center"/>
                </w:tcPr>
                <w:p w14:paraId="795320E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5CCD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2E62C4AC">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5</w:t>
                  </w:r>
                </w:p>
              </w:tc>
              <w:tc>
                <w:tcPr>
                  <w:tcW w:w="2556" w:type="pct"/>
                  <w:tcBorders>
                    <w:tl2br w:val="nil"/>
                    <w:tr2bl w:val="nil"/>
                  </w:tcBorders>
                  <w:vAlign w:val="center"/>
                </w:tcPr>
                <w:p w14:paraId="1E1FC3EB">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第四十九条禁止在长江流域河湖管理范围内倾倒、填埋、堆放、弃置、处理固体废物。</w:t>
                  </w:r>
                </w:p>
              </w:tc>
              <w:tc>
                <w:tcPr>
                  <w:tcW w:w="1559" w:type="pct"/>
                  <w:tcBorders>
                    <w:tl2br w:val="nil"/>
                    <w:tr2bl w:val="nil"/>
                  </w:tcBorders>
                  <w:vAlign w:val="center"/>
                </w:tcPr>
                <w:p w14:paraId="43ABC226">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本项目为</w:t>
                  </w:r>
                  <w:r>
                    <w:rPr>
                      <w:rFonts w:hint="default" w:ascii="Times New Roman" w:hAnsi="Times New Roman" w:eastAsia="宋体" w:cs="Times New Roman"/>
                      <w:color w:val="auto"/>
                      <w:szCs w:val="21"/>
                      <w:lang w:val="en-US" w:eastAsia="zh-CN"/>
                    </w:rPr>
                    <w:t>建筑垃圾</w:t>
                  </w:r>
                  <w:r>
                    <w:rPr>
                      <w:rFonts w:hint="default" w:ascii="Times New Roman" w:hAnsi="Times New Roman" w:eastAsia="宋体" w:cs="Times New Roman"/>
                      <w:color w:val="auto"/>
                      <w:szCs w:val="21"/>
                    </w:rPr>
                    <w:t>资源化利用项目，不在</w:t>
                  </w:r>
                  <w:r>
                    <w:rPr>
                      <w:rFonts w:hint="default" w:ascii="Times New Roman" w:hAnsi="Times New Roman" w:eastAsia="宋体" w:cs="Times New Roman"/>
                      <w:color w:val="auto"/>
                      <w:szCs w:val="21"/>
                      <w:lang w:val="zh-CN"/>
                    </w:rPr>
                    <w:t>长江流域河湖管理范围内</w:t>
                  </w:r>
                </w:p>
              </w:tc>
              <w:tc>
                <w:tcPr>
                  <w:tcW w:w="507" w:type="pct"/>
                  <w:tcBorders>
                    <w:tl2br w:val="nil"/>
                    <w:tr2bl w:val="nil"/>
                  </w:tcBorders>
                  <w:vAlign w:val="center"/>
                </w:tcPr>
                <w:p w14:paraId="2F43F2F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bl>
          <w:p w14:paraId="5705CDA6">
            <w:pPr>
              <w:pStyle w:val="88"/>
              <w:spacing w:line="360" w:lineRule="auto"/>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rPr>
              <w:t>（2）与《建筑垃圾资源化利用行业规范条件》（暂行）相符性分析</w:t>
            </w:r>
          </w:p>
          <w:p w14:paraId="14AF3D56">
            <w:pPr>
              <w:pStyle w:val="88"/>
              <w:snapToGrid w:val="0"/>
              <w:spacing w:line="240" w:lineRule="auto"/>
              <w:ind w:firstLine="0" w:firstLineChars="0"/>
              <w:jc w:val="center"/>
              <w:rPr>
                <w:rFonts w:hint="default" w:ascii="Times New Roman" w:hAnsi="Times New Roman" w:eastAsia="宋体" w:cs="Times New Roman"/>
                <w:b/>
                <w:color w:val="auto"/>
                <w:sz w:val="21"/>
                <w:szCs w:val="16"/>
              </w:rPr>
            </w:pPr>
            <w:r>
              <w:rPr>
                <w:rFonts w:hint="default" w:ascii="Times New Roman" w:hAnsi="Times New Roman" w:eastAsia="宋体" w:cs="Times New Roman"/>
                <w:b/>
                <w:color w:val="auto"/>
                <w:sz w:val="21"/>
                <w:szCs w:val="16"/>
              </w:rPr>
              <w:t>表1-</w:t>
            </w:r>
            <w:r>
              <w:rPr>
                <w:rFonts w:hint="default" w:ascii="Times New Roman" w:hAnsi="Times New Roman" w:eastAsia="宋体" w:cs="Times New Roman"/>
                <w:b/>
                <w:color w:val="auto"/>
                <w:sz w:val="21"/>
                <w:szCs w:val="16"/>
                <w:lang w:val="en-US" w:eastAsia="zh-CN"/>
              </w:rPr>
              <w:t>4</w:t>
            </w:r>
            <w:r>
              <w:rPr>
                <w:rFonts w:hint="default" w:ascii="Times New Roman" w:hAnsi="Times New Roman" w:eastAsia="宋体" w:cs="Times New Roman"/>
                <w:b/>
                <w:color w:val="auto"/>
                <w:sz w:val="21"/>
                <w:szCs w:val="16"/>
              </w:rPr>
              <w:t xml:space="preserve">  与</w:t>
            </w:r>
            <w:r>
              <w:rPr>
                <w:rFonts w:hint="default" w:ascii="Times New Roman" w:hAnsi="Times New Roman" w:eastAsia="宋体" w:cs="Times New Roman"/>
                <w:b/>
                <w:bCs/>
                <w:color w:val="auto"/>
                <w:sz w:val="21"/>
                <w:szCs w:val="16"/>
              </w:rPr>
              <w:t>《建筑垃圾资源化利用行业规范条件》（暂行）相符性分析</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671"/>
              <w:gridCol w:w="4879"/>
              <w:gridCol w:w="2449"/>
              <w:gridCol w:w="903"/>
            </w:tblGrid>
            <w:tr w14:paraId="4B970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21D0D287">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序号</w:t>
                  </w:r>
                </w:p>
              </w:tc>
              <w:tc>
                <w:tcPr>
                  <w:tcW w:w="2740" w:type="pct"/>
                  <w:tcBorders>
                    <w:tl2br w:val="nil"/>
                    <w:tr2bl w:val="nil"/>
                  </w:tcBorders>
                  <w:vAlign w:val="center"/>
                </w:tcPr>
                <w:p w14:paraId="6329470E">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相关内容摘要</w:t>
                  </w:r>
                </w:p>
              </w:tc>
              <w:tc>
                <w:tcPr>
                  <w:tcW w:w="1375" w:type="pct"/>
                  <w:tcBorders>
                    <w:tl2br w:val="nil"/>
                    <w:tr2bl w:val="nil"/>
                  </w:tcBorders>
                  <w:vAlign w:val="center"/>
                </w:tcPr>
                <w:p w14:paraId="4197BEE6">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本项目建设情况</w:t>
                  </w:r>
                </w:p>
              </w:tc>
              <w:tc>
                <w:tcPr>
                  <w:tcW w:w="507" w:type="pct"/>
                  <w:tcBorders>
                    <w:tl2br w:val="nil"/>
                    <w:tr2bl w:val="nil"/>
                  </w:tcBorders>
                  <w:vAlign w:val="center"/>
                </w:tcPr>
                <w:p w14:paraId="75835D16">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符合性</w:t>
                  </w:r>
                </w:p>
              </w:tc>
            </w:tr>
            <w:tr w14:paraId="3381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7BBC2C0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w:t>
                  </w:r>
                </w:p>
              </w:tc>
              <w:tc>
                <w:tcPr>
                  <w:tcW w:w="2740" w:type="pct"/>
                  <w:tcBorders>
                    <w:tl2br w:val="nil"/>
                    <w:tr2bl w:val="nil"/>
                  </w:tcBorders>
                  <w:vAlign w:val="center"/>
                </w:tcPr>
                <w:p w14:paraId="7CF167B9">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各地建筑垃圾资源化利用企业的设立和布局应根</w:t>
                  </w:r>
                </w:p>
                <w:p w14:paraId="54250F21">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据区域内建筑垃圾存量及增量预测情况、运输半径、应用条件等，统筹协调确定。建筑垃圾资源化利用要与城市总体规划、土地利用总体规划和循环经济规划及旧城改造、大型工业园区改造、城市新区建设等大型建设项目相结合。</w:t>
                  </w:r>
                </w:p>
              </w:tc>
              <w:tc>
                <w:tcPr>
                  <w:tcW w:w="1375" w:type="pct"/>
                  <w:tcBorders>
                    <w:tl2br w:val="nil"/>
                    <w:tr2bl w:val="nil"/>
                  </w:tcBorders>
                  <w:vAlign w:val="center"/>
                </w:tcPr>
                <w:p w14:paraId="2CC2469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建设单位已取得建设用地规划许可证，项目不涉及生态保护红线</w:t>
                  </w:r>
                  <w:r>
                    <w:rPr>
                      <w:rFonts w:hint="eastAsia" w:ascii="Times New Roman" w:hAnsi="Times New Roman" w:eastAsia="宋体" w:cs="Times New Roman"/>
                      <w:color w:val="auto"/>
                      <w:szCs w:val="21"/>
                      <w:lang w:eastAsia="zh-CN"/>
                    </w:rPr>
                    <w:t>和</w:t>
                  </w:r>
                  <w:r>
                    <w:rPr>
                      <w:rFonts w:hint="default" w:ascii="Times New Roman" w:hAnsi="Times New Roman" w:eastAsia="宋体" w:cs="Times New Roman"/>
                      <w:color w:val="auto"/>
                      <w:szCs w:val="21"/>
                    </w:rPr>
                    <w:t>基本农田，项目用地为</w:t>
                  </w:r>
                  <w:r>
                    <w:rPr>
                      <w:rFonts w:hint="default" w:ascii="Times New Roman" w:hAnsi="Times New Roman" w:eastAsia="宋体" w:cs="Times New Roman"/>
                      <w:color w:val="auto"/>
                      <w:szCs w:val="21"/>
                      <w:lang w:val="en-US" w:eastAsia="zh-CN"/>
                    </w:rPr>
                    <w:t>工业</w:t>
                  </w:r>
                  <w:r>
                    <w:rPr>
                      <w:rFonts w:hint="default" w:ascii="Times New Roman" w:hAnsi="Times New Roman" w:eastAsia="宋体" w:cs="Times New Roman"/>
                      <w:color w:val="auto"/>
                      <w:szCs w:val="21"/>
                    </w:rPr>
                    <w:t>用地</w:t>
                  </w:r>
                </w:p>
              </w:tc>
              <w:tc>
                <w:tcPr>
                  <w:tcW w:w="507" w:type="pct"/>
                  <w:tcBorders>
                    <w:tl2br w:val="nil"/>
                    <w:tr2bl w:val="nil"/>
                  </w:tcBorders>
                  <w:vAlign w:val="center"/>
                </w:tcPr>
                <w:p w14:paraId="341C0F3D">
                  <w:pPr>
                    <w:pStyle w:val="132"/>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val="en-US" w:eastAsia="zh-CN"/>
                    </w:rPr>
                    <w:t>符合</w:t>
                  </w:r>
                </w:p>
              </w:tc>
            </w:tr>
            <w:tr w14:paraId="62A8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155" w:hRule="atLeast"/>
                <w:jc w:val="center"/>
              </w:trPr>
              <w:tc>
                <w:tcPr>
                  <w:tcW w:w="377" w:type="pct"/>
                  <w:tcBorders>
                    <w:tl2br w:val="nil"/>
                    <w:tr2bl w:val="nil"/>
                  </w:tcBorders>
                  <w:vAlign w:val="center"/>
                </w:tcPr>
                <w:p w14:paraId="06CAAAD5">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w:t>
                  </w:r>
                </w:p>
              </w:tc>
              <w:tc>
                <w:tcPr>
                  <w:tcW w:w="2740" w:type="pct"/>
                  <w:tcBorders>
                    <w:tl2br w:val="nil"/>
                    <w:tr2bl w:val="nil"/>
                  </w:tcBorders>
                  <w:vAlign w:val="center"/>
                </w:tcPr>
                <w:p w14:paraId="28086427">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建筑垃圾资源化利用企业选址必须符合国家法律</w:t>
                  </w:r>
                </w:p>
                <w:p w14:paraId="64F6FD8A">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法规、行业发展规划和产业政策，统筹资源、能源、环境、物流和市场等因素合理选址，有条件的地区要优先考虑利用现有垃圾消纳场。建筑垃圾资源化利用企业的固定生产场地宜接近建筑垃圾源头集中地，交通方便，可通行重载建筑垃圾运输车。在条件允许时，在拆迁现场进行现场作业。</w:t>
                  </w:r>
                </w:p>
              </w:tc>
              <w:tc>
                <w:tcPr>
                  <w:tcW w:w="1375" w:type="pct"/>
                  <w:tcBorders>
                    <w:tl2br w:val="nil"/>
                    <w:tr2bl w:val="nil"/>
                  </w:tcBorders>
                  <w:vAlign w:val="center"/>
                </w:tcPr>
                <w:p w14:paraId="72697B0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本项目位于</w:t>
                  </w:r>
                  <w:r>
                    <w:rPr>
                      <w:rFonts w:hint="default" w:ascii="Times New Roman" w:hAnsi="Times New Roman" w:eastAsia="宋体" w:cs="Times New Roman"/>
                      <w:color w:val="auto"/>
                      <w:szCs w:val="21"/>
                      <w:lang w:val="en-US" w:eastAsia="zh-CN"/>
                    </w:rPr>
                    <w:t>池州市东至县尧渡镇</w:t>
                  </w:r>
                  <w:r>
                    <w:rPr>
                      <w:rFonts w:hint="default" w:ascii="Times New Roman" w:hAnsi="Times New Roman" w:eastAsia="宋体" w:cs="Times New Roman"/>
                      <w:color w:val="auto"/>
                      <w:szCs w:val="21"/>
                    </w:rPr>
                    <w:t>，本项目接收</w:t>
                  </w:r>
                  <w:r>
                    <w:rPr>
                      <w:rFonts w:hint="default" w:ascii="Times New Roman" w:hAnsi="Times New Roman" w:eastAsia="宋体" w:cs="Times New Roman"/>
                      <w:color w:val="auto"/>
                      <w:szCs w:val="21"/>
                      <w:lang w:val="en-US" w:eastAsia="zh-CN"/>
                    </w:rPr>
                    <w:t>东至县</w:t>
                  </w:r>
                  <w:r>
                    <w:rPr>
                      <w:rFonts w:hint="default" w:ascii="Times New Roman" w:hAnsi="Times New Roman" w:eastAsia="宋体" w:cs="Times New Roman"/>
                      <w:color w:val="auto"/>
                      <w:szCs w:val="21"/>
                    </w:rPr>
                    <w:t>产生的建筑垃圾，项目选址符合规划要求及国家政策要求，项目位于</w:t>
                  </w:r>
                  <w:r>
                    <w:rPr>
                      <w:rFonts w:hint="default" w:ascii="Times New Roman" w:hAnsi="Times New Roman" w:eastAsia="宋体" w:cs="Times New Roman"/>
                      <w:color w:val="auto"/>
                      <w:szCs w:val="21"/>
                      <w:lang w:val="en-US" w:eastAsia="zh-CN"/>
                    </w:rPr>
                    <w:t>G530国道</w:t>
                  </w:r>
                  <w:r>
                    <w:rPr>
                      <w:rFonts w:hint="default" w:ascii="Times New Roman" w:hAnsi="Times New Roman" w:eastAsia="宋体" w:cs="Times New Roman"/>
                      <w:color w:val="auto"/>
                      <w:szCs w:val="21"/>
                    </w:rPr>
                    <w:t>旁，交通便利</w:t>
                  </w:r>
                </w:p>
              </w:tc>
              <w:tc>
                <w:tcPr>
                  <w:tcW w:w="507" w:type="pct"/>
                  <w:tcBorders>
                    <w:tl2br w:val="nil"/>
                    <w:tr2bl w:val="nil"/>
                  </w:tcBorders>
                  <w:vAlign w:val="center"/>
                </w:tcPr>
                <w:p w14:paraId="53A100CC">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5C6E3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75ABF3A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3</w:t>
                  </w:r>
                </w:p>
              </w:tc>
              <w:tc>
                <w:tcPr>
                  <w:tcW w:w="2740" w:type="pct"/>
                  <w:tcBorders>
                    <w:tl2br w:val="nil"/>
                    <w:tr2bl w:val="nil"/>
                  </w:tcBorders>
                  <w:vAlign w:val="center"/>
                </w:tcPr>
                <w:p w14:paraId="60AE746D">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鼓励建筑垃圾资源化利用企业进行拆迁、运输、处置和产品应用等产业链相关环节的整合，以资源化利用为主线，提高产业集中度，加速工业化发展。</w:t>
                  </w:r>
                </w:p>
              </w:tc>
              <w:tc>
                <w:tcPr>
                  <w:tcW w:w="1375" w:type="pct"/>
                  <w:tcBorders>
                    <w:tl2br w:val="nil"/>
                    <w:tr2bl w:val="nil"/>
                  </w:tcBorders>
                  <w:vAlign w:val="center"/>
                </w:tcPr>
                <w:p w14:paraId="1FB56D10">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本项目为建筑垃圾资源化利用项目，企业进行运输、资源化利用</w:t>
                  </w:r>
                </w:p>
              </w:tc>
              <w:tc>
                <w:tcPr>
                  <w:tcW w:w="507" w:type="pct"/>
                  <w:tcBorders>
                    <w:tl2br w:val="nil"/>
                    <w:tr2bl w:val="nil"/>
                  </w:tcBorders>
                  <w:vAlign w:val="center"/>
                </w:tcPr>
                <w:p w14:paraId="0E25D52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7B85B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0B2A822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w:t>
                  </w:r>
                </w:p>
              </w:tc>
              <w:tc>
                <w:tcPr>
                  <w:tcW w:w="2740" w:type="pct"/>
                  <w:tcBorders>
                    <w:tl2br w:val="nil"/>
                    <w:tr2bl w:val="nil"/>
                  </w:tcBorders>
                  <w:vAlign w:val="center"/>
                </w:tcPr>
                <w:p w14:paraId="78CF3554">
                  <w:pPr>
                    <w:pStyle w:val="132"/>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根据当地建筑垃圾条件及资源化利用方式等因素，综合确定建筑垃圾资源化利用项目的年处置能力，鼓励规模化发展。</w:t>
                  </w:r>
                </w:p>
                <w:p w14:paraId="403DD5B2">
                  <w:pPr>
                    <w:pStyle w:val="132"/>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大型建筑垃圾资源化项目年处置生产能力不低于100万吨，中型不低于50万吨，小型不低于25万吨。</w:t>
                  </w:r>
                </w:p>
              </w:tc>
              <w:tc>
                <w:tcPr>
                  <w:tcW w:w="1375" w:type="pct"/>
                  <w:tcBorders>
                    <w:tl2br w:val="nil"/>
                    <w:tr2bl w:val="nil"/>
                  </w:tcBorders>
                  <w:vAlign w:val="center"/>
                </w:tcPr>
                <w:p w14:paraId="1F3BE30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本项目接收</w:t>
                  </w:r>
                  <w:r>
                    <w:rPr>
                      <w:rFonts w:hint="default" w:ascii="Times New Roman" w:hAnsi="Times New Roman" w:eastAsia="宋体" w:cs="Times New Roman"/>
                      <w:color w:val="auto"/>
                      <w:szCs w:val="21"/>
                      <w:lang w:val="en-US" w:eastAsia="zh-CN"/>
                    </w:rPr>
                    <w:t>东至县</w:t>
                  </w:r>
                  <w:r>
                    <w:rPr>
                      <w:rFonts w:hint="default" w:ascii="Times New Roman" w:hAnsi="Times New Roman" w:eastAsia="宋体" w:cs="Times New Roman"/>
                      <w:color w:val="auto"/>
                      <w:szCs w:val="21"/>
                    </w:rPr>
                    <w:t>产生的建筑垃圾，本项目建筑垃圾处理能力不低于</w:t>
                  </w:r>
                  <w:r>
                    <w:rPr>
                      <w:rFonts w:hint="default" w:ascii="Times New Roman" w:hAnsi="Times New Roman" w:eastAsia="宋体" w:cs="Times New Roman"/>
                      <w:color w:val="auto"/>
                      <w:szCs w:val="21"/>
                      <w:lang w:val="en-US" w:eastAsia="zh-CN"/>
                    </w:rPr>
                    <w:t>50万</w:t>
                  </w:r>
                  <w:r>
                    <w:rPr>
                      <w:rFonts w:hint="default" w:ascii="Times New Roman" w:hAnsi="Times New Roman" w:eastAsia="宋体" w:cs="Times New Roman"/>
                      <w:color w:val="auto"/>
                      <w:szCs w:val="21"/>
                    </w:rPr>
                    <w:t>吨/年</w:t>
                  </w:r>
                </w:p>
              </w:tc>
              <w:tc>
                <w:tcPr>
                  <w:tcW w:w="507" w:type="pct"/>
                  <w:tcBorders>
                    <w:tl2br w:val="nil"/>
                    <w:tr2bl w:val="nil"/>
                  </w:tcBorders>
                  <w:vAlign w:val="center"/>
                </w:tcPr>
                <w:p w14:paraId="5780994B">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5FAC2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54A5BCF4">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5</w:t>
                  </w:r>
                </w:p>
              </w:tc>
              <w:tc>
                <w:tcPr>
                  <w:tcW w:w="2740" w:type="pct"/>
                  <w:tcBorders>
                    <w:tl2br w:val="nil"/>
                    <w:tr2bl w:val="nil"/>
                  </w:tcBorders>
                  <w:vAlign w:val="center"/>
                </w:tcPr>
                <w:p w14:paraId="754EBBDF">
                  <w:pPr>
                    <w:pStyle w:val="132"/>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建筑垃圾资源化利用企业应全面接收当地产生的符合相关规范要求的建筑垃圾（有毒有害垃圾除外）。</w:t>
                  </w:r>
                </w:p>
                <w:p w14:paraId="688A550B">
                  <w:pPr>
                    <w:pStyle w:val="132"/>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鼓励企业根据进场建筑垃圾的特点，选择合适的工艺装备，在全面资源化利用处理的前提下，生产混凝土和砂浆用骨料等再生产品</w:t>
                  </w:r>
                </w:p>
              </w:tc>
              <w:tc>
                <w:tcPr>
                  <w:tcW w:w="1375" w:type="pct"/>
                  <w:tcBorders>
                    <w:tl2br w:val="nil"/>
                    <w:tr2bl w:val="nil"/>
                  </w:tcBorders>
                  <w:vAlign w:val="center"/>
                </w:tcPr>
                <w:p w14:paraId="1DED6ABA">
                  <w:pPr>
                    <w:pStyle w:val="132"/>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rPr>
                    <w:t>本项目接收</w:t>
                  </w:r>
                  <w:r>
                    <w:rPr>
                      <w:rFonts w:hint="default" w:ascii="Times New Roman" w:hAnsi="Times New Roman" w:eastAsia="宋体" w:cs="Times New Roman"/>
                      <w:color w:val="auto"/>
                      <w:szCs w:val="21"/>
                      <w:lang w:val="en-US" w:eastAsia="zh-CN"/>
                    </w:rPr>
                    <w:t>东至县</w:t>
                  </w:r>
                  <w:r>
                    <w:rPr>
                      <w:rFonts w:hint="default" w:ascii="Times New Roman" w:hAnsi="Times New Roman" w:eastAsia="宋体" w:cs="Times New Roman"/>
                      <w:color w:val="auto"/>
                      <w:szCs w:val="21"/>
                    </w:rPr>
                    <w:t>产生的建筑垃圾，不含危废，建筑垃圾通过分选、磁选、破碎、筛分等工艺处理后生产骨料，再利用骨料进行</w:t>
                  </w:r>
                  <w:r>
                    <w:rPr>
                      <w:rFonts w:hint="default" w:ascii="Times New Roman" w:hAnsi="Times New Roman" w:eastAsia="宋体" w:cs="Times New Roman"/>
                      <w:color w:val="auto"/>
                      <w:szCs w:val="21"/>
                      <w:lang w:val="en-US" w:eastAsia="zh-CN"/>
                    </w:rPr>
                    <w:t>生产</w:t>
                  </w:r>
                  <w:r>
                    <w:rPr>
                      <w:rFonts w:hint="default" w:ascii="Times New Roman" w:hAnsi="Times New Roman" w:eastAsia="宋体" w:cs="Times New Roman"/>
                      <w:color w:val="auto"/>
                      <w:szCs w:val="21"/>
                    </w:rPr>
                    <w:t>水稳料</w:t>
                  </w:r>
                  <w:r>
                    <w:rPr>
                      <w:rFonts w:hint="default" w:ascii="Times New Roman" w:hAnsi="Times New Roman" w:eastAsia="宋体" w:cs="Times New Roman"/>
                      <w:color w:val="auto"/>
                      <w:szCs w:val="21"/>
                      <w:lang w:val="en-US" w:eastAsia="zh-CN"/>
                    </w:rPr>
                    <w:t>和RDF燃料</w:t>
                  </w:r>
                </w:p>
              </w:tc>
              <w:tc>
                <w:tcPr>
                  <w:tcW w:w="507" w:type="pct"/>
                  <w:tcBorders>
                    <w:tl2br w:val="nil"/>
                    <w:tr2bl w:val="nil"/>
                  </w:tcBorders>
                  <w:vAlign w:val="center"/>
                </w:tcPr>
                <w:p w14:paraId="38243258">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302D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6B32AA8B">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6</w:t>
                  </w:r>
                </w:p>
              </w:tc>
              <w:tc>
                <w:tcPr>
                  <w:tcW w:w="2740" w:type="pct"/>
                  <w:tcBorders>
                    <w:tl2br w:val="nil"/>
                    <w:tr2bl w:val="nil"/>
                  </w:tcBorders>
                  <w:vAlign w:val="center"/>
                </w:tcPr>
                <w:p w14:paraId="11C5841F">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（一）根据当地建筑垃圾特点、分布及生产条件，确定采用固定式或移动式生产方式。结合进厂建筑垃圾原料情况和再生产品类型，选用适宜的破碎、分选、筛分等工艺及设备。</w:t>
                  </w:r>
                </w:p>
                <w:p w14:paraId="616A42D8">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（二）根据不同生产条件，采用适用的除尘、降噪和废水处理工艺及设备。固定式生产方式宜建设封闭生产厂房或封闭式生产单元。</w:t>
                  </w:r>
                </w:p>
                <w:p w14:paraId="44935167">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（三）宜配备环境监测、视频监控、工艺运行在线监控系统</w:t>
                  </w:r>
                </w:p>
              </w:tc>
              <w:tc>
                <w:tcPr>
                  <w:tcW w:w="1375" w:type="pct"/>
                  <w:tcBorders>
                    <w:tl2br w:val="nil"/>
                    <w:tr2bl w:val="nil"/>
                  </w:tcBorders>
                  <w:vAlign w:val="center"/>
                </w:tcPr>
                <w:p w14:paraId="62A6BCB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本项目建筑垃圾采用破碎筛分工艺生产骨料，生产线采用固定式方式，并在各产尘点设置相的除尘装置，采取密闭或收集处理等工艺，本次环评制定了相应的污染源监测计划</w:t>
                  </w:r>
                </w:p>
              </w:tc>
              <w:tc>
                <w:tcPr>
                  <w:tcW w:w="507" w:type="pct"/>
                  <w:tcBorders>
                    <w:tl2br w:val="nil"/>
                    <w:tr2bl w:val="nil"/>
                  </w:tcBorders>
                  <w:vAlign w:val="center"/>
                </w:tcPr>
                <w:p w14:paraId="31A20887">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6ADAD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377" w:type="pct"/>
                  <w:tcBorders>
                    <w:tl2br w:val="nil"/>
                    <w:tr2bl w:val="nil"/>
                  </w:tcBorders>
                  <w:vAlign w:val="center"/>
                </w:tcPr>
                <w:p w14:paraId="6DDB4C5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7</w:t>
                  </w:r>
                </w:p>
              </w:tc>
              <w:tc>
                <w:tcPr>
                  <w:tcW w:w="2740" w:type="pct"/>
                  <w:tcBorders>
                    <w:tl2br w:val="nil"/>
                    <w:tr2bl w:val="nil"/>
                  </w:tcBorders>
                  <w:vAlign w:val="center"/>
                </w:tcPr>
                <w:p w14:paraId="110C0251">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（一）要严格执行《中华人民共和国环境影响评价法》，依法向环境保护行政主管部门报批建筑垃圾资源化利用项目环境影响评价文件，建设与项目相配套的环境保护设施，并依法申请项目竣工环境保护验收。</w:t>
                  </w:r>
                </w:p>
                <w:p w14:paraId="14C1A223">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（二）建筑垃圾资源化利用企业根据生产需要应设置粉尘回收和储存设备，厂区环境空气质量应达到《环境空气质量标准》GB3095要求，且符合企业所在地的相关地方标准和环境影响评价要求。</w:t>
                  </w:r>
                </w:p>
                <w:p w14:paraId="6375E1D8">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（三）建筑垃圾资源化利用企业应根据生产工艺的需求，建设生产废水处理系统，实现生产废水循环利用和零排放。</w:t>
                  </w:r>
                </w:p>
                <w:p w14:paraId="3C660019">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lang w:val="zh-CN"/>
                    </w:rPr>
                    <w:t>（四）建筑垃圾资源化利用企业应对噪声污染采取防治措施，达到《工业企业厂界环境噪声排放标准》GB12348的要求，且符合企业所在地的相关地方标准和环境影响评价要求。</w:t>
                  </w:r>
                </w:p>
              </w:tc>
              <w:tc>
                <w:tcPr>
                  <w:tcW w:w="1375" w:type="pct"/>
                  <w:tcBorders>
                    <w:tl2br w:val="nil"/>
                    <w:tr2bl w:val="nil"/>
                  </w:tcBorders>
                  <w:vAlign w:val="center"/>
                </w:tcPr>
                <w:p w14:paraId="301E96C0">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本项目正在办理环评手续，待竣工后按相关要求进行竣工环保验收，根据</w:t>
                  </w:r>
                  <w:r>
                    <w:rPr>
                      <w:rFonts w:hint="default" w:ascii="Times New Roman" w:hAnsi="Times New Roman" w:eastAsia="宋体" w:cs="Times New Roman"/>
                      <w:color w:val="auto"/>
                      <w:szCs w:val="21"/>
                      <w:lang w:val="en-US" w:eastAsia="zh-CN"/>
                    </w:rPr>
                    <w:t>东至县</w:t>
                  </w:r>
                  <w:r>
                    <w:rPr>
                      <w:rFonts w:hint="default" w:ascii="Times New Roman" w:hAnsi="Times New Roman" w:eastAsia="宋体" w:cs="Times New Roman"/>
                      <w:color w:val="auto"/>
                      <w:szCs w:val="21"/>
                    </w:rPr>
                    <w:t>环境质量公报，项目所在区域为环境空气质量达标区，项目无生产废水外排，生产废水经沉淀后循环利用不外排，项目选用低噪声设备，并采取隔声、减震等</w:t>
                  </w:r>
                  <w:r>
                    <w:rPr>
                      <w:rFonts w:hint="default" w:ascii="Times New Roman" w:hAnsi="Times New Roman" w:eastAsia="宋体" w:cs="Times New Roman"/>
                      <w:color w:val="auto"/>
                      <w:szCs w:val="21"/>
                      <w:highlight w:val="none"/>
                    </w:rPr>
                    <w:t>方式降噪，项目厂界噪声可满足GB12348-2008中2类标准限值要求</w:t>
                  </w:r>
                </w:p>
              </w:tc>
              <w:tc>
                <w:tcPr>
                  <w:tcW w:w="507" w:type="pct"/>
                  <w:tcBorders>
                    <w:tl2br w:val="nil"/>
                    <w:tr2bl w:val="nil"/>
                  </w:tcBorders>
                  <w:vAlign w:val="center"/>
                </w:tcPr>
                <w:p w14:paraId="208A0B29">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bl>
          <w:p w14:paraId="691D8254">
            <w:pPr>
              <w:autoSpaceDE w:val="0"/>
              <w:autoSpaceDN w:val="0"/>
              <w:adjustRightInd w:val="0"/>
              <w:snapToGrid w:val="0"/>
              <w:ind w:firstLine="482"/>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rPr>
              <w:t>（3）</w:t>
            </w:r>
            <w:r>
              <w:rPr>
                <w:rFonts w:hint="default" w:ascii="Times New Roman" w:hAnsi="Times New Roman" w:eastAsia="宋体" w:cs="Times New Roman"/>
                <w:b/>
                <w:color w:val="auto"/>
              </w:rPr>
              <w:t>与《关于全面打造水清岸绿产业优美丽长江（安徽）经济带的实施意见（升级版）》（皖发〔2021〕19号）符合性分析</w:t>
            </w:r>
          </w:p>
          <w:p w14:paraId="2C1DB5BF">
            <w:pPr>
              <w:autoSpaceDE w:val="0"/>
              <w:autoSpaceDN w:val="0"/>
              <w:spacing w:line="240" w:lineRule="auto"/>
              <w:ind w:firstLine="482"/>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表1-</w:t>
            </w:r>
            <w:r>
              <w:rPr>
                <w:rFonts w:hint="default" w:ascii="Times New Roman" w:hAnsi="Times New Roman" w:eastAsia="宋体" w:cs="Times New Roman"/>
                <w:b/>
                <w:bCs/>
                <w:color w:val="auto"/>
                <w:sz w:val="21"/>
                <w:szCs w:val="21"/>
                <w:lang w:val="en-US" w:eastAsia="zh-CN"/>
              </w:rPr>
              <w:t>5</w:t>
            </w:r>
            <w:r>
              <w:rPr>
                <w:rFonts w:hint="default" w:ascii="Times New Roman" w:hAnsi="Times New Roman" w:eastAsia="宋体" w:cs="Times New Roman"/>
                <w:b/>
                <w:bCs/>
                <w:color w:val="auto"/>
                <w:sz w:val="21"/>
                <w:szCs w:val="21"/>
              </w:rPr>
              <w:t xml:space="preserve">  与“〔2021〕19号”</w:t>
            </w:r>
            <w:r>
              <w:rPr>
                <w:rFonts w:hint="default" w:ascii="Times New Roman" w:hAnsi="Times New Roman" w:eastAsia="宋体" w:cs="Times New Roman"/>
                <w:b/>
                <w:color w:val="auto"/>
                <w:sz w:val="21"/>
                <w:szCs w:val="21"/>
              </w:rPr>
              <w:t>方案</w:t>
            </w:r>
            <w:r>
              <w:rPr>
                <w:rFonts w:hint="default" w:ascii="Times New Roman" w:hAnsi="Times New Roman" w:eastAsia="宋体" w:cs="Times New Roman"/>
                <w:b/>
                <w:bCs/>
                <w:color w:val="auto"/>
                <w:sz w:val="21"/>
                <w:szCs w:val="21"/>
              </w:rPr>
              <w:t>符合性分析</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4897"/>
              <w:gridCol w:w="2440"/>
              <w:gridCol w:w="889"/>
            </w:tblGrid>
            <w:tr w14:paraId="5F7F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2" w:type="pct"/>
                  <w:tcBorders>
                    <w:tl2br w:val="nil"/>
                    <w:tr2bl w:val="nil"/>
                  </w:tcBorders>
                  <w:vAlign w:val="center"/>
                </w:tcPr>
                <w:p w14:paraId="0AD22314">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序号</w:t>
                  </w:r>
                </w:p>
              </w:tc>
              <w:tc>
                <w:tcPr>
                  <w:tcW w:w="2748" w:type="pct"/>
                  <w:tcBorders>
                    <w:tl2br w:val="nil"/>
                    <w:tr2bl w:val="nil"/>
                  </w:tcBorders>
                  <w:vAlign w:val="center"/>
                </w:tcPr>
                <w:p w14:paraId="3A985CB4">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相关内容摘要</w:t>
                  </w:r>
                </w:p>
              </w:tc>
              <w:tc>
                <w:tcPr>
                  <w:tcW w:w="1369" w:type="pct"/>
                  <w:tcBorders>
                    <w:tl2br w:val="nil"/>
                    <w:tr2bl w:val="nil"/>
                  </w:tcBorders>
                  <w:vAlign w:val="center"/>
                </w:tcPr>
                <w:p w14:paraId="02294634">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本项目建设情况</w:t>
                  </w:r>
                </w:p>
              </w:tc>
              <w:tc>
                <w:tcPr>
                  <w:tcW w:w="499" w:type="pct"/>
                  <w:tcBorders>
                    <w:tl2br w:val="nil"/>
                    <w:tr2bl w:val="nil"/>
                  </w:tcBorders>
                  <w:vAlign w:val="center"/>
                </w:tcPr>
                <w:p w14:paraId="0476E015">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lang w:val="en-US" w:eastAsia="zh-CN"/>
                    </w:rPr>
                    <w:t>相符性</w:t>
                  </w:r>
                </w:p>
              </w:tc>
            </w:tr>
            <w:tr w14:paraId="37DE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2" w:type="pct"/>
                  <w:tcBorders>
                    <w:tl2br w:val="nil"/>
                    <w:tr2bl w:val="nil"/>
                  </w:tcBorders>
                  <w:vAlign w:val="center"/>
                </w:tcPr>
                <w:p w14:paraId="2EBBC99B">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w:t>
                  </w:r>
                </w:p>
              </w:tc>
              <w:tc>
                <w:tcPr>
                  <w:tcW w:w="2748" w:type="pct"/>
                  <w:tcBorders>
                    <w:tl2br w:val="nil"/>
                    <w:tr2bl w:val="nil"/>
                  </w:tcBorders>
                  <w:vAlign w:val="center"/>
                </w:tcPr>
                <w:p w14:paraId="75320477">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全部依法依规停建搬迁。</w:t>
                  </w:r>
                </w:p>
              </w:tc>
              <w:tc>
                <w:tcPr>
                  <w:tcW w:w="1369" w:type="pct"/>
                  <w:tcBorders>
                    <w:tl2br w:val="nil"/>
                    <w:tr2bl w:val="nil"/>
                  </w:tcBorders>
                  <w:vAlign w:val="center"/>
                </w:tcPr>
                <w:p w14:paraId="1AE23C2C">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项目距离长江约</w:t>
                  </w:r>
                  <w:r>
                    <w:rPr>
                      <w:rFonts w:hint="default" w:ascii="Times New Roman" w:hAnsi="Times New Roman" w:eastAsia="宋体" w:cs="Times New Roman"/>
                      <w:color w:val="auto"/>
                      <w:szCs w:val="21"/>
                      <w:lang w:val="en-US" w:eastAsia="zh-CN"/>
                    </w:rPr>
                    <w:t>10.7</w:t>
                  </w:r>
                  <w:r>
                    <w:rPr>
                      <w:rFonts w:hint="default" w:ascii="Times New Roman" w:hAnsi="Times New Roman" w:eastAsia="宋体" w:cs="Times New Roman"/>
                      <w:color w:val="auto"/>
                      <w:szCs w:val="21"/>
                    </w:rPr>
                    <w:t>km，距离</w:t>
                  </w:r>
                  <w:r>
                    <w:rPr>
                      <w:rFonts w:hint="default" w:ascii="Times New Roman" w:hAnsi="Times New Roman" w:eastAsia="宋体" w:cs="Times New Roman"/>
                      <w:color w:val="auto"/>
                      <w:szCs w:val="21"/>
                      <w:lang w:val="en-US" w:eastAsia="zh-CN"/>
                    </w:rPr>
                    <w:t>尧渡</w:t>
                  </w:r>
                  <w:r>
                    <w:rPr>
                      <w:rFonts w:hint="default" w:ascii="Times New Roman" w:hAnsi="Times New Roman" w:eastAsia="宋体" w:cs="Times New Roman"/>
                      <w:color w:val="auto"/>
                      <w:szCs w:val="21"/>
                    </w:rPr>
                    <w:t>河</w:t>
                  </w:r>
                  <w:r>
                    <w:rPr>
                      <w:rFonts w:hint="default" w:ascii="Times New Roman" w:hAnsi="Times New Roman" w:eastAsia="宋体" w:cs="Times New Roman"/>
                      <w:color w:val="auto"/>
                      <w:szCs w:val="21"/>
                      <w:lang w:val="en-US" w:eastAsia="zh-CN"/>
                    </w:rPr>
                    <w:t>1.5</w:t>
                  </w:r>
                  <w:r>
                    <w:rPr>
                      <w:rFonts w:hint="default" w:ascii="Times New Roman" w:hAnsi="Times New Roman" w:eastAsia="宋体" w:cs="Times New Roman"/>
                      <w:color w:val="auto"/>
                      <w:szCs w:val="21"/>
                    </w:rPr>
                    <w:t>km，本项目不属于化工项目。</w:t>
                  </w:r>
                </w:p>
              </w:tc>
              <w:tc>
                <w:tcPr>
                  <w:tcW w:w="499" w:type="pct"/>
                  <w:tcBorders>
                    <w:tl2br w:val="nil"/>
                    <w:tr2bl w:val="nil"/>
                  </w:tcBorders>
                  <w:vAlign w:val="center"/>
                </w:tcPr>
                <w:p w14:paraId="742B3009">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5BCAE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2" w:type="pct"/>
                  <w:tcBorders>
                    <w:tl2br w:val="nil"/>
                    <w:tr2bl w:val="nil"/>
                  </w:tcBorders>
                  <w:vAlign w:val="center"/>
                </w:tcPr>
                <w:p w14:paraId="753DC2C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w:t>
                  </w:r>
                </w:p>
              </w:tc>
              <w:tc>
                <w:tcPr>
                  <w:tcW w:w="2748" w:type="pct"/>
                  <w:tcBorders>
                    <w:tl2br w:val="nil"/>
                    <w:tr2bl w:val="nil"/>
                  </w:tcBorders>
                  <w:vAlign w:val="center"/>
                </w:tcPr>
                <w:p w14:paraId="5D676327">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369" w:type="pct"/>
                  <w:tcBorders>
                    <w:tl2br w:val="nil"/>
                    <w:tr2bl w:val="nil"/>
                  </w:tcBorders>
                  <w:vAlign w:val="center"/>
                </w:tcPr>
                <w:p w14:paraId="6253B4FE">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项目距离长江约</w:t>
                  </w:r>
                  <w:r>
                    <w:rPr>
                      <w:rFonts w:hint="default" w:ascii="Times New Roman" w:hAnsi="Times New Roman" w:eastAsia="宋体" w:cs="Times New Roman"/>
                      <w:color w:val="auto"/>
                      <w:szCs w:val="21"/>
                      <w:lang w:val="en-US" w:eastAsia="zh-CN"/>
                    </w:rPr>
                    <w:t>10.7</w:t>
                  </w:r>
                  <w:r>
                    <w:rPr>
                      <w:rFonts w:hint="default" w:ascii="Times New Roman" w:hAnsi="Times New Roman" w:eastAsia="宋体" w:cs="Times New Roman"/>
                      <w:color w:val="auto"/>
                      <w:szCs w:val="21"/>
                    </w:rPr>
                    <w:t>km，距离</w:t>
                  </w:r>
                  <w:r>
                    <w:rPr>
                      <w:rFonts w:hint="default" w:ascii="Times New Roman" w:hAnsi="Times New Roman" w:eastAsia="宋体" w:cs="Times New Roman"/>
                      <w:color w:val="auto"/>
                      <w:szCs w:val="21"/>
                      <w:lang w:val="en-US" w:eastAsia="zh-CN"/>
                    </w:rPr>
                    <w:t>尧渡</w:t>
                  </w:r>
                  <w:r>
                    <w:rPr>
                      <w:rFonts w:hint="default" w:ascii="Times New Roman" w:hAnsi="Times New Roman" w:eastAsia="宋体" w:cs="Times New Roman"/>
                      <w:color w:val="auto"/>
                      <w:szCs w:val="21"/>
                    </w:rPr>
                    <w:t>河</w:t>
                  </w:r>
                  <w:r>
                    <w:rPr>
                      <w:rFonts w:hint="default" w:ascii="Times New Roman" w:hAnsi="Times New Roman" w:eastAsia="宋体" w:cs="Times New Roman"/>
                      <w:color w:val="auto"/>
                      <w:szCs w:val="21"/>
                      <w:lang w:val="en-US" w:eastAsia="zh-CN"/>
                    </w:rPr>
                    <w:t>1.5</w:t>
                  </w:r>
                  <w:r>
                    <w:rPr>
                      <w:rFonts w:hint="default" w:ascii="Times New Roman" w:hAnsi="Times New Roman" w:eastAsia="宋体" w:cs="Times New Roman"/>
                      <w:color w:val="auto"/>
                      <w:szCs w:val="21"/>
                    </w:rPr>
                    <w:t>km，</w:t>
                  </w:r>
                  <w:r>
                    <w:rPr>
                      <w:rFonts w:hint="default" w:ascii="Times New Roman" w:hAnsi="Times New Roman" w:eastAsia="宋体" w:cs="Times New Roman"/>
                      <w:color w:val="auto"/>
                      <w:szCs w:val="21"/>
                      <w:lang w:val="en-US" w:eastAsia="zh-CN"/>
                    </w:rPr>
                    <w:t>不</w:t>
                  </w:r>
                  <w:r>
                    <w:rPr>
                      <w:rFonts w:hint="default" w:ascii="Times New Roman" w:hAnsi="Times New Roman" w:eastAsia="宋体" w:cs="Times New Roman"/>
                      <w:color w:val="auto"/>
                      <w:szCs w:val="21"/>
                    </w:rPr>
                    <w:t>在沿江5km范围内。本项目不属于石油化工和煤化工等重化工、重污染项目。</w:t>
                  </w:r>
                </w:p>
              </w:tc>
              <w:tc>
                <w:tcPr>
                  <w:tcW w:w="499" w:type="pct"/>
                  <w:tcBorders>
                    <w:tl2br w:val="nil"/>
                    <w:tr2bl w:val="nil"/>
                  </w:tcBorders>
                  <w:vAlign w:val="center"/>
                </w:tcPr>
                <w:p w14:paraId="40536EB5">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78C0B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2" w:type="pct"/>
                  <w:tcBorders>
                    <w:tl2br w:val="nil"/>
                    <w:tr2bl w:val="nil"/>
                  </w:tcBorders>
                  <w:vAlign w:val="center"/>
                </w:tcPr>
                <w:p w14:paraId="12313916">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3</w:t>
                  </w:r>
                </w:p>
              </w:tc>
              <w:tc>
                <w:tcPr>
                  <w:tcW w:w="2748" w:type="pct"/>
                  <w:tcBorders>
                    <w:tl2br w:val="nil"/>
                    <w:tr2bl w:val="nil"/>
                  </w:tcBorders>
                  <w:vAlign w:val="center"/>
                </w:tcPr>
                <w:p w14:paraId="0567B260">
                  <w:pPr>
                    <w:pStyle w:val="132"/>
                    <w:rPr>
                      <w:rFonts w:hint="default" w:ascii="Times New Roman" w:hAnsi="Times New Roman" w:eastAsia="宋体" w:cs="Times New Roman"/>
                      <w:color w:val="auto"/>
                      <w:szCs w:val="21"/>
                      <w:lang w:val="zh-CN"/>
                    </w:rPr>
                  </w:pPr>
                  <w:r>
                    <w:rPr>
                      <w:rFonts w:hint="default" w:ascii="Times New Roman" w:hAnsi="Times New Roman" w:eastAsia="宋体" w:cs="Times New Roman"/>
                      <w:color w:val="auto"/>
                      <w:szCs w:val="21"/>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在岸线开发、河段利用、区域活动和产业发展等方面，严格执行《长江经济带发展负面清单指南（试行）》《安徽省长江经济带发展负面清单实施细则（试行）》。实施备案、环评、安评、能评等并联审批，未落实生态环保、安全生产、能源节约要求的，一律不得开工建设。</w:t>
                  </w:r>
                </w:p>
              </w:tc>
              <w:tc>
                <w:tcPr>
                  <w:tcW w:w="1369" w:type="pct"/>
                  <w:tcBorders>
                    <w:tl2br w:val="nil"/>
                    <w:tr2bl w:val="nil"/>
                  </w:tcBorders>
                  <w:vAlign w:val="center"/>
                </w:tcPr>
                <w:p w14:paraId="7632B4E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项目距离长江约</w:t>
                  </w:r>
                  <w:r>
                    <w:rPr>
                      <w:rFonts w:hint="default" w:ascii="Times New Roman" w:hAnsi="Times New Roman" w:eastAsia="宋体" w:cs="Times New Roman"/>
                      <w:color w:val="auto"/>
                      <w:szCs w:val="21"/>
                      <w:lang w:val="en-US" w:eastAsia="zh-CN"/>
                    </w:rPr>
                    <w:t>10.7</w:t>
                  </w:r>
                  <w:r>
                    <w:rPr>
                      <w:rFonts w:hint="default" w:ascii="Times New Roman" w:hAnsi="Times New Roman" w:eastAsia="宋体" w:cs="Times New Roman"/>
                      <w:color w:val="auto"/>
                      <w:szCs w:val="21"/>
                    </w:rPr>
                    <w:t>km，距离</w:t>
                  </w:r>
                  <w:r>
                    <w:rPr>
                      <w:rFonts w:hint="default" w:ascii="Times New Roman" w:hAnsi="Times New Roman" w:eastAsia="宋体" w:cs="Times New Roman"/>
                      <w:color w:val="auto"/>
                      <w:szCs w:val="21"/>
                      <w:lang w:val="en-US" w:eastAsia="zh-CN"/>
                    </w:rPr>
                    <w:t>尧渡</w:t>
                  </w:r>
                  <w:r>
                    <w:rPr>
                      <w:rFonts w:hint="default" w:ascii="Times New Roman" w:hAnsi="Times New Roman" w:eastAsia="宋体" w:cs="Times New Roman"/>
                      <w:color w:val="auto"/>
                      <w:szCs w:val="21"/>
                    </w:rPr>
                    <w:t>河</w:t>
                  </w:r>
                  <w:r>
                    <w:rPr>
                      <w:rFonts w:hint="default" w:ascii="Times New Roman" w:hAnsi="Times New Roman" w:eastAsia="宋体" w:cs="Times New Roman"/>
                      <w:color w:val="auto"/>
                      <w:szCs w:val="21"/>
                      <w:lang w:val="en-US" w:eastAsia="zh-CN"/>
                    </w:rPr>
                    <w:t>1.5</w:t>
                  </w:r>
                  <w:r>
                    <w:rPr>
                      <w:rFonts w:hint="default" w:ascii="Times New Roman" w:hAnsi="Times New Roman" w:eastAsia="宋体" w:cs="Times New Roman"/>
                      <w:color w:val="auto"/>
                      <w:szCs w:val="21"/>
                    </w:rPr>
                    <w:t>km，</w:t>
                  </w:r>
                  <w:r>
                    <w:rPr>
                      <w:rFonts w:hint="default" w:ascii="Times New Roman" w:hAnsi="Times New Roman" w:eastAsia="宋体" w:cs="Times New Roman"/>
                      <w:color w:val="auto"/>
                      <w:szCs w:val="21"/>
                    </w:rPr>
                    <w:fldChar w:fldCharType="begin"/>
                  </w:r>
                  <w:r>
                    <w:rPr>
                      <w:rFonts w:hint="default" w:ascii="Times New Roman" w:hAnsi="Times New Roman" w:eastAsia="宋体" w:cs="Times New Roman"/>
                      <w:color w:val="auto"/>
                      <w:szCs w:val="21"/>
                    </w:rPr>
                    <w:instrText xml:space="preserve"> = 1 \* GB3 \* MERGEFORMAT </w:instrText>
                  </w:r>
                  <w:r>
                    <w:rPr>
                      <w:rFonts w:hint="default" w:ascii="Times New Roman" w:hAnsi="Times New Roman" w:eastAsia="宋体" w:cs="Times New Roman"/>
                      <w:color w:val="auto"/>
                      <w:szCs w:val="21"/>
                    </w:rPr>
                    <w:fldChar w:fldCharType="separate"/>
                  </w:r>
                  <w:r>
                    <w:rPr>
                      <w:rFonts w:hint="default" w:ascii="Times New Roman" w:hAnsi="Times New Roman" w:eastAsia="宋体" w:cs="Times New Roman"/>
                      <w:color w:val="auto"/>
                      <w:szCs w:val="21"/>
                    </w:rPr>
                    <w:t>①</w:t>
                  </w:r>
                  <w:r>
                    <w:rPr>
                      <w:rFonts w:hint="default" w:ascii="Times New Roman" w:hAnsi="Times New Roman" w:eastAsia="宋体" w:cs="Times New Roman"/>
                      <w:color w:val="auto"/>
                      <w:szCs w:val="21"/>
                    </w:rPr>
                    <w:fldChar w:fldCharType="end"/>
                  </w:r>
                  <w:r>
                    <w:rPr>
                      <w:rFonts w:hint="default" w:ascii="Times New Roman" w:hAnsi="Times New Roman" w:eastAsia="宋体" w:cs="Times New Roman"/>
                      <w:color w:val="auto"/>
                      <w:szCs w:val="21"/>
                    </w:rPr>
                    <w:t>项目严格执行环境保护标准，采取环评提出的各项污染防治措施，确保各项污染物达标排放。</w:t>
                  </w:r>
                  <w:r>
                    <w:rPr>
                      <w:rFonts w:hint="default" w:ascii="Times New Roman" w:hAnsi="Times New Roman" w:eastAsia="宋体" w:cs="Times New Roman"/>
                      <w:color w:val="auto"/>
                      <w:szCs w:val="21"/>
                    </w:rPr>
                    <w:fldChar w:fldCharType="begin"/>
                  </w:r>
                  <w:r>
                    <w:rPr>
                      <w:rFonts w:hint="default" w:ascii="Times New Roman" w:hAnsi="Times New Roman" w:eastAsia="宋体" w:cs="Times New Roman"/>
                      <w:color w:val="auto"/>
                      <w:szCs w:val="21"/>
                    </w:rPr>
                    <w:instrText xml:space="preserve"> = 2 \* GB3 \* MERGEFORMAT </w:instrText>
                  </w:r>
                  <w:r>
                    <w:rPr>
                      <w:rFonts w:hint="default" w:ascii="Times New Roman" w:hAnsi="Times New Roman" w:eastAsia="宋体" w:cs="Times New Roman"/>
                      <w:color w:val="auto"/>
                      <w:szCs w:val="21"/>
                    </w:rPr>
                    <w:fldChar w:fldCharType="separate"/>
                  </w:r>
                  <w:r>
                    <w:rPr>
                      <w:rFonts w:hint="default" w:ascii="Times New Roman" w:hAnsi="Times New Roman" w:eastAsia="宋体" w:cs="Times New Roman"/>
                      <w:color w:val="auto"/>
                      <w:szCs w:val="21"/>
                    </w:rPr>
                    <w:t>②</w:t>
                  </w:r>
                  <w:r>
                    <w:rPr>
                      <w:rFonts w:hint="default" w:ascii="Times New Roman" w:hAnsi="Times New Roman" w:eastAsia="宋体" w:cs="Times New Roman"/>
                      <w:color w:val="auto"/>
                      <w:szCs w:val="21"/>
                    </w:rPr>
                    <w:fldChar w:fldCharType="end"/>
                  </w:r>
                  <w:r>
                    <w:rPr>
                      <w:rFonts w:hint="default" w:ascii="Times New Roman" w:hAnsi="Times New Roman" w:eastAsia="宋体" w:cs="Times New Roman"/>
                      <w:color w:val="auto"/>
                      <w:szCs w:val="21"/>
                    </w:rPr>
                    <w:t>根据《长江经济带发展负面清单指南（试行，2022年版）》《安徽省长江经济带发展负面清单实施细则（试行）》，本项目不属于其中禁止准入类、限制准入类。</w:t>
                  </w:r>
                  <w:r>
                    <w:rPr>
                      <w:rFonts w:hint="default" w:ascii="Times New Roman" w:hAnsi="Times New Roman" w:eastAsia="宋体" w:cs="Times New Roman"/>
                      <w:color w:val="auto"/>
                      <w:szCs w:val="21"/>
                    </w:rPr>
                    <w:fldChar w:fldCharType="begin"/>
                  </w:r>
                  <w:r>
                    <w:rPr>
                      <w:rFonts w:hint="default" w:ascii="Times New Roman" w:hAnsi="Times New Roman" w:eastAsia="宋体" w:cs="Times New Roman"/>
                      <w:color w:val="auto"/>
                      <w:szCs w:val="21"/>
                    </w:rPr>
                    <w:instrText xml:space="preserve"> = 3 \* GB3 \* MERGEFORMAT </w:instrText>
                  </w:r>
                  <w:r>
                    <w:rPr>
                      <w:rFonts w:hint="default" w:ascii="Times New Roman" w:hAnsi="Times New Roman" w:eastAsia="宋体" w:cs="Times New Roman"/>
                      <w:color w:val="auto"/>
                      <w:szCs w:val="21"/>
                    </w:rPr>
                    <w:fldChar w:fldCharType="separate"/>
                  </w:r>
                  <w:r>
                    <w:rPr>
                      <w:rFonts w:hint="default" w:ascii="Times New Roman" w:hAnsi="Times New Roman" w:eastAsia="宋体" w:cs="Times New Roman"/>
                      <w:color w:val="auto"/>
                      <w:szCs w:val="21"/>
                    </w:rPr>
                    <w:t>③</w:t>
                  </w:r>
                  <w:r>
                    <w:rPr>
                      <w:rFonts w:hint="default" w:ascii="Times New Roman" w:hAnsi="Times New Roman" w:eastAsia="宋体" w:cs="Times New Roman"/>
                      <w:color w:val="auto"/>
                      <w:szCs w:val="21"/>
                    </w:rPr>
                    <w:fldChar w:fldCharType="end"/>
                  </w:r>
                  <w:r>
                    <w:rPr>
                      <w:rFonts w:hint="default" w:ascii="Times New Roman" w:hAnsi="Times New Roman" w:eastAsia="宋体" w:cs="Times New Roman"/>
                      <w:color w:val="auto"/>
                      <w:szCs w:val="21"/>
                    </w:rPr>
                    <w:t>项目已取得</w:t>
                  </w:r>
                  <w:r>
                    <w:rPr>
                      <w:rFonts w:hint="default" w:ascii="Times New Roman" w:hAnsi="Times New Roman" w:eastAsia="宋体" w:cs="Times New Roman"/>
                      <w:color w:val="auto"/>
                      <w:szCs w:val="21"/>
                      <w:lang w:val="en-US" w:eastAsia="zh-CN"/>
                    </w:rPr>
                    <w:t>东至县</w:t>
                  </w:r>
                  <w:r>
                    <w:rPr>
                      <w:rFonts w:hint="default" w:ascii="Times New Roman" w:hAnsi="Times New Roman" w:eastAsia="宋体" w:cs="Times New Roman"/>
                      <w:color w:val="auto"/>
                      <w:szCs w:val="21"/>
                    </w:rPr>
                    <w:t>发展</w:t>
                  </w:r>
                  <w:r>
                    <w:rPr>
                      <w:rFonts w:hint="default" w:ascii="Times New Roman" w:hAnsi="Times New Roman" w:eastAsia="宋体" w:cs="Times New Roman"/>
                      <w:color w:val="auto"/>
                      <w:szCs w:val="21"/>
                      <w:lang w:val="en-US" w:eastAsia="zh-CN"/>
                    </w:rPr>
                    <w:t>和改革</w:t>
                  </w:r>
                  <w:r>
                    <w:rPr>
                      <w:rFonts w:hint="default" w:ascii="Times New Roman" w:hAnsi="Times New Roman" w:eastAsia="宋体" w:cs="Times New Roman"/>
                      <w:color w:val="auto"/>
                      <w:szCs w:val="21"/>
                    </w:rPr>
                    <w:t>委员会备案。</w:t>
                  </w:r>
                </w:p>
              </w:tc>
              <w:tc>
                <w:tcPr>
                  <w:tcW w:w="499" w:type="pct"/>
                  <w:tcBorders>
                    <w:tl2br w:val="nil"/>
                    <w:tr2bl w:val="nil"/>
                  </w:tcBorders>
                  <w:vAlign w:val="center"/>
                </w:tcPr>
                <w:p w14:paraId="12524228">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bl>
          <w:p w14:paraId="1DAFDEB3">
            <w:pPr>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rPr>
              <w:t>（4）</w:t>
            </w:r>
            <w:r>
              <w:rPr>
                <w:rFonts w:hint="default" w:ascii="Times New Roman" w:hAnsi="Times New Roman" w:eastAsia="宋体" w:cs="Times New Roman"/>
                <w:b/>
                <w:bCs/>
                <w:color w:val="auto"/>
                <w:szCs w:val="22"/>
              </w:rPr>
              <w:t>与《安徽省长江经济带发展负面清单实施细则（试行，2022年版）》符合性分析</w:t>
            </w:r>
          </w:p>
          <w:p w14:paraId="7EFF2887">
            <w:pPr>
              <w:pStyle w:val="20"/>
              <w:spacing w:line="240" w:lineRule="auto"/>
              <w:jc w:val="center"/>
              <w:rPr>
                <w:rFonts w:hint="default" w:ascii="Times New Roman" w:hAnsi="Times New Roman" w:eastAsia="宋体" w:cs="Times New Roman"/>
                <w:b/>
                <w:bCs/>
                <w:color w:val="auto"/>
                <w:sz w:val="21"/>
                <w:szCs w:val="20"/>
              </w:rPr>
            </w:pPr>
            <w:r>
              <w:rPr>
                <w:rFonts w:hint="default" w:ascii="Times New Roman" w:hAnsi="Times New Roman" w:eastAsia="宋体" w:cs="Times New Roman"/>
                <w:b/>
                <w:bCs/>
                <w:color w:val="auto"/>
                <w:sz w:val="21"/>
                <w:szCs w:val="20"/>
              </w:rPr>
              <w:t>表1-</w:t>
            </w:r>
            <w:r>
              <w:rPr>
                <w:rFonts w:hint="default" w:ascii="Times New Roman" w:hAnsi="Times New Roman" w:eastAsia="宋体" w:cs="Times New Roman"/>
                <w:b/>
                <w:bCs/>
                <w:color w:val="auto"/>
                <w:sz w:val="21"/>
                <w:szCs w:val="20"/>
                <w:lang w:val="en-US" w:eastAsia="zh-CN"/>
              </w:rPr>
              <w:t>6</w:t>
            </w:r>
            <w:r>
              <w:rPr>
                <w:rFonts w:hint="default" w:ascii="Times New Roman" w:hAnsi="Times New Roman" w:eastAsia="宋体" w:cs="Times New Roman"/>
                <w:b/>
                <w:bCs/>
                <w:color w:val="auto"/>
                <w:sz w:val="21"/>
                <w:szCs w:val="20"/>
              </w:rPr>
              <w:t xml:space="preserve"> 与安徽省长江经济带发展负面清单实施细则符合性分析</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76"/>
              <w:gridCol w:w="5588"/>
              <w:gridCol w:w="1921"/>
              <w:gridCol w:w="822"/>
            </w:tblGrid>
            <w:tr w14:paraId="5B15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430" w:type="dxa"/>
                  <w:tcBorders>
                    <w:tl2br w:val="nil"/>
                    <w:tr2bl w:val="nil"/>
                  </w:tcBorders>
                  <w:vAlign w:val="center"/>
                </w:tcPr>
                <w:p w14:paraId="1DC2C964">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序号</w:t>
                  </w:r>
                </w:p>
              </w:tc>
              <w:tc>
                <w:tcPr>
                  <w:tcW w:w="4171" w:type="dxa"/>
                  <w:tcBorders>
                    <w:tl2br w:val="nil"/>
                    <w:tr2bl w:val="nil"/>
                  </w:tcBorders>
                  <w:vAlign w:val="center"/>
                </w:tcPr>
                <w:p w14:paraId="54B4CF07">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文件要求（摘要）</w:t>
                  </w:r>
                </w:p>
              </w:tc>
              <w:tc>
                <w:tcPr>
                  <w:tcW w:w="1434" w:type="dxa"/>
                  <w:tcBorders>
                    <w:tl2br w:val="nil"/>
                    <w:tr2bl w:val="nil"/>
                  </w:tcBorders>
                  <w:vAlign w:val="center"/>
                </w:tcPr>
                <w:p w14:paraId="3777273F">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本项目情况</w:t>
                  </w:r>
                </w:p>
              </w:tc>
              <w:tc>
                <w:tcPr>
                  <w:tcW w:w="613" w:type="dxa"/>
                  <w:tcBorders>
                    <w:tl2br w:val="nil"/>
                    <w:tr2bl w:val="nil"/>
                  </w:tcBorders>
                  <w:vAlign w:val="center"/>
                </w:tcPr>
                <w:p w14:paraId="71295E58">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相符性</w:t>
                  </w:r>
                </w:p>
              </w:tc>
            </w:tr>
            <w:tr w14:paraId="56202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430" w:type="dxa"/>
                  <w:tcBorders>
                    <w:tl2br w:val="nil"/>
                    <w:tr2bl w:val="nil"/>
                  </w:tcBorders>
                  <w:vAlign w:val="center"/>
                </w:tcPr>
                <w:p w14:paraId="5D41402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w:t>
                  </w:r>
                </w:p>
              </w:tc>
              <w:tc>
                <w:tcPr>
                  <w:tcW w:w="4171" w:type="dxa"/>
                  <w:tcBorders>
                    <w:tl2br w:val="nil"/>
                    <w:tr2bl w:val="nil"/>
                  </w:tcBorders>
                  <w:vAlign w:val="center"/>
                </w:tcPr>
                <w:p w14:paraId="2B47D8B6">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第五条 禁止在自然保护区核心区、缓冲区的岸线和河段范围内投资建设旅游和生产经营项目。禁止违反风景名胜区规划，在风景名胜区的岸线和河段范围内设立各类开发区，在核心景区的岸线和河段范围内建设与风景名胜资源保护无关的项目</w:t>
                  </w:r>
                </w:p>
              </w:tc>
              <w:tc>
                <w:tcPr>
                  <w:tcW w:w="1434" w:type="dxa"/>
                  <w:tcBorders>
                    <w:tl2br w:val="nil"/>
                    <w:tr2bl w:val="nil"/>
                  </w:tcBorders>
                  <w:vAlign w:val="center"/>
                </w:tcPr>
                <w:p w14:paraId="7E519A3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本项目不涉及自然保护区核心区、缓冲区、风景名胜区</w:t>
                  </w:r>
                </w:p>
              </w:tc>
              <w:tc>
                <w:tcPr>
                  <w:tcW w:w="613" w:type="dxa"/>
                  <w:tcBorders>
                    <w:tl2br w:val="nil"/>
                    <w:tr2bl w:val="nil"/>
                  </w:tcBorders>
                  <w:vAlign w:val="center"/>
                </w:tcPr>
                <w:p w14:paraId="1B959FCC">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67DC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430" w:type="dxa"/>
                  <w:tcBorders>
                    <w:tl2br w:val="nil"/>
                    <w:tr2bl w:val="nil"/>
                  </w:tcBorders>
                  <w:vAlign w:val="center"/>
                </w:tcPr>
                <w:p w14:paraId="2A5D0178">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w:t>
                  </w:r>
                </w:p>
              </w:tc>
              <w:tc>
                <w:tcPr>
                  <w:tcW w:w="4171" w:type="dxa"/>
                  <w:tcBorders>
                    <w:tl2br w:val="nil"/>
                    <w:tr2bl w:val="nil"/>
                  </w:tcBorders>
                  <w:vAlign w:val="center"/>
                </w:tcPr>
                <w:p w14:paraId="4D0E2DC9">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第六条 禁止在饮用水水源一级保护区的岸线和河段范围内新建、改建、扩建与供水设施和保护水源无关的项目，以及网箱养殖、畜禽养殖、施用化肥农药的种植以及旅游等可能污染饮用水水体的投资建设项目，禁止设立工业废渣、生活垃圾和其他废弃物堆场，禁止设置排污口</w:t>
                  </w:r>
                </w:p>
              </w:tc>
              <w:tc>
                <w:tcPr>
                  <w:tcW w:w="1434" w:type="dxa"/>
                  <w:tcBorders>
                    <w:tl2br w:val="nil"/>
                    <w:tr2bl w:val="nil"/>
                  </w:tcBorders>
                  <w:vAlign w:val="center"/>
                </w:tcPr>
                <w:p w14:paraId="33FF6604">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本项目不涉及饮用水水源保护区</w:t>
                  </w:r>
                </w:p>
              </w:tc>
              <w:tc>
                <w:tcPr>
                  <w:tcW w:w="613" w:type="dxa"/>
                  <w:tcBorders>
                    <w:tl2br w:val="nil"/>
                    <w:tr2bl w:val="nil"/>
                  </w:tcBorders>
                  <w:vAlign w:val="center"/>
                </w:tcPr>
                <w:p w14:paraId="67F973CE">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719D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430" w:type="dxa"/>
                  <w:tcBorders>
                    <w:tl2br w:val="nil"/>
                    <w:tr2bl w:val="nil"/>
                  </w:tcBorders>
                  <w:vAlign w:val="center"/>
                </w:tcPr>
                <w:p w14:paraId="11A1FB7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3</w:t>
                  </w:r>
                </w:p>
              </w:tc>
              <w:tc>
                <w:tcPr>
                  <w:tcW w:w="4171" w:type="dxa"/>
                  <w:tcBorders>
                    <w:tl2br w:val="nil"/>
                    <w:tr2bl w:val="nil"/>
                  </w:tcBorders>
                  <w:vAlign w:val="center"/>
                </w:tcPr>
                <w:p w14:paraId="0E37F59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第七条 禁止在水产种质资源保护区的岸线和河段范围内新建围湖（河）造田（地）等项目。除国家另有规定外，禁止在国家湿地公园的岸线和河段范围内挖沙、采矿，以及任何不符合主体功能定位的投资建设项目</w:t>
                  </w:r>
                </w:p>
              </w:tc>
              <w:tc>
                <w:tcPr>
                  <w:tcW w:w="1434" w:type="dxa"/>
                  <w:tcBorders>
                    <w:tl2br w:val="nil"/>
                    <w:tr2bl w:val="nil"/>
                  </w:tcBorders>
                  <w:vAlign w:val="center"/>
                </w:tcPr>
                <w:p w14:paraId="13D49B8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本项目不涉及水产种质资源保护区、国家湿地公园</w:t>
                  </w:r>
                </w:p>
              </w:tc>
              <w:tc>
                <w:tcPr>
                  <w:tcW w:w="613" w:type="dxa"/>
                  <w:tcBorders>
                    <w:tl2br w:val="nil"/>
                    <w:tr2bl w:val="nil"/>
                  </w:tcBorders>
                  <w:vAlign w:val="center"/>
                </w:tcPr>
                <w:p w14:paraId="5E5EB047">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6F6A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430" w:type="dxa"/>
                  <w:tcBorders>
                    <w:tl2br w:val="nil"/>
                    <w:tr2bl w:val="nil"/>
                  </w:tcBorders>
                  <w:vAlign w:val="center"/>
                </w:tcPr>
                <w:p w14:paraId="41C85766">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w:t>
                  </w:r>
                </w:p>
              </w:tc>
              <w:tc>
                <w:tcPr>
                  <w:tcW w:w="4171" w:type="dxa"/>
                  <w:tcBorders>
                    <w:tl2br w:val="nil"/>
                    <w:tr2bl w:val="nil"/>
                  </w:tcBorders>
                  <w:vAlign w:val="center"/>
                </w:tcPr>
                <w:p w14:paraId="3DCDC8FC">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第八条 禁止违法利用、占用长江流域河湖岸线。禁止在《长江岸线保护和开发利用总体规划》划定的岸线保护区和保留区内投资建设除事关公共安全及公共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34" w:type="dxa"/>
                  <w:tcBorders>
                    <w:tl2br w:val="nil"/>
                    <w:tr2bl w:val="nil"/>
                  </w:tcBorders>
                  <w:vAlign w:val="center"/>
                </w:tcPr>
                <w:p w14:paraId="1AA438BA">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本项目不涉及利用、占用长江流域河湖岸线</w:t>
                  </w:r>
                </w:p>
              </w:tc>
              <w:tc>
                <w:tcPr>
                  <w:tcW w:w="613" w:type="dxa"/>
                  <w:tcBorders>
                    <w:tl2br w:val="nil"/>
                    <w:tr2bl w:val="nil"/>
                  </w:tcBorders>
                  <w:vAlign w:val="center"/>
                </w:tcPr>
                <w:p w14:paraId="2920EE7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3D469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430" w:type="dxa"/>
                  <w:tcBorders>
                    <w:tl2br w:val="nil"/>
                    <w:tr2bl w:val="nil"/>
                  </w:tcBorders>
                  <w:vAlign w:val="center"/>
                </w:tcPr>
                <w:p w14:paraId="58CFFC44">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5</w:t>
                  </w:r>
                </w:p>
              </w:tc>
              <w:tc>
                <w:tcPr>
                  <w:tcW w:w="4171" w:type="dxa"/>
                  <w:tcBorders>
                    <w:tl2br w:val="nil"/>
                    <w:tr2bl w:val="nil"/>
                  </w:tcBorders>
                  <w:vAlign w:val="center"/>
                </w:tcPr>
                <w:p w14:paraId="3E0D9C3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第十一条 禁止在长江（安徽段）干支流、巢湖岸线一公里范围内新建、扩建化工园区和化工项目。已批未开工的项目，依法停止建设，支持重新选址。已经开工建设的项目，严格进行检查评估，不符合岸线规划和环保、安全要求的，全部依法依规停建搬迁。禁止在长江干流岸线三公里范围内和主要支流岸线一公里范围内新建、改建、扩建尾矿库、冶炼渣库和磷石膏库，以提升安全、生态环境保护水平为目的的改建除外</w:t>
                  </w:r>
                </w:p>
              </w:tc>
              <w:tc>
                <w:tcPr>
                  <w:tcW w:w="1434" w:type="dxa"/>
                  <w:tcBorders>
                    <w:tl2br w:val="nil"/>
                    <w:tr2bl w:val="nil"/>
                  </w:tcBorders>
                  <w:vAlign w:val="center"/>
                </w:tcPr>
                <w:p w14:paraId="2B2F9A57">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项目距离长江约</w:t>
                  </w:r>
                  <w:r>
                    <w:rPr>
                      <w:rFonts w:hint="default" w:ascii="Times New Roman" w:hAnsi="Times New Roman" w:eastAsia="宋体" w:cs="Times New Roman"/>
                      <w:color w:val="auto"/>
                      <w:szCs w:val="21"/>
                      <w:lang w:val="en-US" w:eastAsia="zh-CN"/>
                    </w:rPr>
                    <w:t>10.7</w:t>
                  </w:r>
                  <w:r>
                    <w:rPr>
                      <w:rFonts w:hint="default" w:ascii="Times New Roman" w:hAnsi="Times New Roman" w:eastAsia="宋体" w:cs="Times New Roman"/>
                      <w:color w:val="auto"/>
                      <w:szCs w:val="21"/>
                    </w:rPr>
                    <w:t>km，不属于化工项目</w:t>
                  </w:r>
                </w:p>
              </w:tc>
              <w:tc>
                <w:tcPr>
                  <w:tcW w:w="613" w:type="dxa"/>
                  <w:tcBorders>
                    <w:tl2br w:val="nil"/>
                    <w:tr2bl w:val="nil"/>
                  </w:tcBorders>
                  <w:vAlign w:val="center"/>
                </w:tcPr>
                <w:p w14:paraId="5C40CEB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5282F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430" w:type="dxa"/>
                  <w:tcBorders>
                    <w:tl2br w:val="nil"/>
                    <w:tr2bl w:val="nil"/>
                  </w:tcBorders>
                  <w:vAlign w:val="center"/>
                </w:tcPr>
                <w:p w14:paraId="579E1339">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6</w:t>
                  </w:r>
                </w:p>
              </w:tc>
              <w:tc>
                <w:tcPr>
                  <w:tcW w:w="4171" w:type="dxa"/>
                  <w:tcBorders>
                    <w:tl2br w:val="nil"/>
                    <w:tr2bl w:val="nil"/>
                  </w:tcBorders>
                  <w:vAlign w:val="center"/>
                </w:tcPr>
                <w:p w14:paraId="6654449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第十二条 禁止在合规园区外新建、扩建钢铁、石化、化工、焦化、建材、有色、制浆造纸等高污染项目</w:t>
                  </w:r>
                </w:p>
              </w:tc>
              <w:tc>
                <w:tcPr>
                  <w:tcW w:w="1434" w:type="dxa"/>
                  <w:tcBorders>
                    <w:tl2br w:val="nil"/>
                    <w:tr2bl w:val="nil"/>
                  </w:tcBorders>
                  <w:vAlign w:val="center"/>
                </w:tcPr>
                <w:p w14:paraId="49D7B78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本项目不属于高污染类项目</w:t>
                  </w:r>
                </w:p>
              </w:tc>
              <w:tc>
                <w:tcPr>
                  <w:tcW w:w="613" w:type="dxa"/>
                  <w:tcBorders>
                    <w:tl2br w:val="nil"/>
                    <w:tr2bl w:val="nil"/>
                  </w:tcBorders>
                  <w:vAlign w:val="center"/>
                </w:tcPr>
                <w:p w14:paraId="73A9C1F6">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4D59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 w:hRule="atLeast"/>
                <w:jc w:val="center"/>
              </w:trPr>
              <w:tc>
                <w:tcPr>
                  <w:tcW w:w="430" w:type="dxa"/>
                  <w:tcBorders>
                    <w:tl2br w:val="nil"/>
                    <w:tr2bl w:val="nil"/>
                  </w:tcBorders>
                  <w:vAlign w:val="center"/>
                </w:tcPr>
                <w:p w14:paraId="049D12C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7</w:t>
                  </w:r>
                </w:p>
              </w:tc>
              <w:tc>
                <w:tcPr>
                  <w:tcW w:w="4171" w:type="dxa"/>
                  <w:tcBorders>
                    <w:tl2br w:val="nil"/>
                    <w:tr2bl w:val="nil"/>
                  </w:tcBorders>
                  <w:vAlign w:val="center"/>
                </w:tcPr>
                <w:p w14:paraId="18E54730">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第十四条 禁止新建、扩建法律法规和相关政策明令禁止的落后产能项目</w:t>
                  </w:r>
                </w:p>
              </w:tc>
              <w:tc>
                <w:tcPr>
                  <w:tcW w:w="1434" w:type="dxa"/>
                  <w:tcBorders>
                    <w:tl2br w:val="nil"/>
                    <w:tr2bl w:val="nil"/>
                  </w:tcBorders>
                  <w:vAlign w:val="center"/>
                </w:tcPr>
                <w:p w14:paraId="2EE8C472">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本项目不属于明令禁止的落后产能项目</w:t>
                  </w:r>
                </w:p>
              </w:tc>
              <w:tc>
                <w:tcPr>
                  <w:tcW w:w="613" w:type="dxa"/>
                  <w:tcBorders>
                    <w:tl2br w:val="nil"/>
                    <w:tr2bl w:val="nil"/>
                  </w:tcBorders>
                  <w:vAlign w:val="center"/>
                </w:tcPr>
                <w:p w14:paraId="32C5123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bl>
          <w:p w14:paraId="07B352BB">
            <w:pPr>
              <w:ind w:firstLine="482"/>
              <w:jc w:val="left"/>
              <w:rPr>
                <w:rFonts w:hint="default" w:ascii="Times New Roman" w:hAnsi="Times New Roman" w:eastAsia="宋体" w:cs="Times New Roman"/>
                <w:b/>
                <w:bCs/>
                <w:color w:val="auto"/>
              </w:rPr>
            </w:pPr>
            <w:r>
              <w:rPr>
                <w:rFonts w:hint="default" w:ascii="Times New Roman" w:hAnsi="Times New Roman" w:eastAsia="宋体" w:cs="Times New Roman"/>
                <w:b/>
                <w:bCs/>
                <w:color w:val="auto"/>
              </w:rPr>
              <w:t>（5）与《安徽省空气质量持续改善行动方案》（皖政〔2024〕36号）符合性分析</w:t>
            </w:r>
          </w:p>
          <w:p w14:paraId="057995D8">
            <w:pPr>
              <w:spacing w:line="240" w:lineRule="auto"/>
              <w:ind w:firstLine="482"/>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表1-</w:t>
            </w:r>
            <w:r>
              <w:rPr>
                <w:rFonts w:hint="default" w:ascii="Times New Roman" w:hAnsi="Times New Roman" w:eastAsia="宋体" w:cs="Times New Roman"/>
                <w:b/>
                <w:color w:val="auto"/>
                <w:sz w:val="21"/>
                <w:szCs w:val="21"/>
                <w:lang w:val="en-US" w:eastAsia="zh-CN"/>
              </w:rPr>
              <w:t>7</w:t>
            </w:r>
            <w:r>
              <w:rPr>
                <w:rFonts w:hint="default" w:ascii="Times New Roman" w:hAnsi="Times New Roman" w:eastAsia="宋体" w:cs="Times New Roman"/>
                <w:b/>
                <w:color w:val="auto"/>
                <w:sz w:val="21"/>
                <w:szCs w:val="21"/>
              </w:rPr>
              <w:t xml:space="preserve">  与</w:t>
            </w:r>
            <w:r>
              <w:rPr>
                <w:rFonts w:hint="default" w:ascii="Times New Roman" w:hAnsi="Times New Roman" w:eastAsia="宋体" w:cs="Times New Roman"/>
                <w:b/>
                <w:bCs/>
                <w:color w:val="auto"/>
                <w:sz w:val="21"/>
                <w:szCs w:val="21"/>
              </w:rPr>
              <w:t>（皖政〔2024〕36号）</w:t>
            </w:r>
            <w:r>
              <w:rPr>
                <w:rFonts w:hint="default" w:ascii="Times New Roman" w:hAnsi="Times New Roman" w:eastAsia="宋体" w:cs="Times New Roman"/>
                <w:b/>
                <w:color w:val="auto"/>
                <w:sz w:val="21"/>
                <w:szCs w:val="21"/>
              </w:rPr>
              <w:t>相符性分析</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4996"/>
              <w:gridCol w:w="2506"/>
              <w:gridCol w:w="912"/>
            </w:tblGrid>
            <w:tr w14:paraId="37FE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74" w:type="pct"/>
                  <w:tcBorders>
                    <w:tl2br w:val="nil"/>
                    <w:tr2bl w:val="nil"/>
                  </w:tcBorders>
                  <w:vAlign w:val="center"/>
                </w:tcPr>
                <w:p w14:paraId="24764501">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序号</w:t>
                  </w:r>
                </w:p>
              </w:tc>
              <w:tc>
                <w:tcPr>
                  <w:tcW w:w="2805" w:type="pct"/>
                  <w:tcBorders>
                    <w:tl2br w:val="nil"/>
                    <w:tr2bl w:val="nil"/>
                  </w:tcBorders>
                  <w:vAlign w:val="center"/>
                </w:tcPr>
                <w:p w14:paraId="6842006B">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相关要求</w:t>
                  </w:r>
                </w:p>
              </w:tc>
              <w:tc>
                <w:tcPr>
                  <w:tcW w:w="1407" w:type="pct"/>
                  <w:tcBorders>
                    <w:tl2br w:val="nil"/>
                    <w:tr2bl w:val="nil"/>
                  </w:tcBorders>
                  <w:vAlign w:val="center"/>
                </w:tcPr>
                <w:p w14:paraId="4716E688">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本项目</w:t>
                  </w:r>
                </w:p>
              </w:tc>
              <w:tc>
                <w:tcPr>
                  <w:tcW w:w="512" w:type="pct"/>
                  <w:tcBorders>
                    <w:tl2br w:val="nil"/>
                    <w:tr2bl w:val="nil"/>
                  </w:tcBorders>
                  <w:vAlign w:val="center"/>
                </w:tcPr>
                <w:p w14:paraId="5496CB31">
                  <w:pPr>
                    <w:pStyle w:val="132"/>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符合性</w:t>
                  </w:r>
                </w:p>
              </w:tc>
            </w:tr>
            <w:tr w14:paraId="33E94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26F3D37F">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w:t>
                  </w:r>
                </w:p>
              </w:tc>
              <w:tc>
                <w:tcPr>
                  <w:tcW w:w="2805" w:type="pct"/>
                  <w:tcBorders>
                    <w:tl2br w:val="nil"/>
                    <w:tr2bl w:val="nil"/>
                  </w:tcBorders>
                  <w:vAlign w:val="center"/>
                </w:tcPr>
                <w:p w14:paraId="7305871A">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实施“高污染、高耗能”项目部门联审，源头管控低水平项目上马。制定实施安徽省加强生态环境分区管控方案。严格落实产能置换要求，不以任何名义、任何方式核准、备案产能严重过剩行业新增产能项目，被置换产能及其配套设施关停后，新建项目方可投产。</w:t>
                  </w:r>
                </w:p>
              </w:tc>
              <w:tc>
                <w:tcPr>
                  <w:tcW w:w="1407" w:type="pct"/>
                  <w:tcBorders>
                    <w:tl2br w:val="nil"/>
                    <w:tr2bl w:val="nil"/>
                  </w:tcBorders>
                  <w:vAlign w:val="center"/>
                </w:tcPr>
                <w:p w14:paraId="361CD3BA">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本项目符合产业政策，满足“三线一单”要求，</w:t>
                  </w:r>
                  <w:r>
                    <w:rPr>
                      <w:rFonts w:hint="default" w:ascii="Times New Roman" w:hAnsi="Times New Roman" w:eastAsia="宋体" w:cs="Times New Roman"/>
                      <w:color w:val="auto"/>
                      <w:szCs w:val="21"/>
                      <w:lang w:val="en-US" w:eastAsia="zh-CN"/>
                    </w:rPr>
                    <w:t>项目不属于两高项目，</w:t>
                  </w:r>
                  <w:r>
                    <w:rPr>
                      <w:rFonts w:hint="default" w:ascii="Times New Roman" w:hAnsi="Times New Roman" w:eastAsia="宋体" w:cs="Times New Roman"/>
                      <w:color w:val="auto"/>
                      <w:szCs w:val="21"/>
                    </w:rPr>
                    <w:t>项目将严格按照环评及批复要求建设，落实“三同时”制度，严格执行总量控制要求。本项目为固废资源化利用项目，项目不涉及产能置换。</w:t>
                  </w:r>
                </w:p>
              </w:tc>
              <w:tc>
                <w:tcPr>
                  <w:tcW w:w="512" w:type="pct"/>
                  <w:tcBorders>
                    <w:tl2br w:val="nil"/>
                    <w:tr2bl w:val="nil"/>
                  </w:tcBorders>
                  <w:vAlign w:val="center"/>
                </w:tcPr>
                <w:p w14:paraId="0AF353FA">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6F080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16C71A78">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2</w:t>
                  </w:r>
                </w:p>
              </w:tc>
              <w:tc>
                <w:tcPr>
                  <w:tcW w:w="2805" w:type="pct"/>
                  <w:tcBorders>
                    <w:tl2br w:val="nil"/>
                    <w:tr2bl w:val="nil"/>
                  </w:tcBorders>
                  <w:vAlign w:val="center"/>
                </w:tcPr>
                <w:p w14:paraId="6F4F23F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有序推动落后产能淘汰。严格执行《产业结构调整指导目录》。综合运用能耗、环保、质量、安全、技术等要求，依法依规推动落后产能退出，逐步退出限制类涉气行业工艺和装备。有序推动生产设施老旧、工艺水平落后、环境管理水平低下的独立焦化、烧结、球团、热轧企业和落后煤炭洗选企业退出市场。逐步淘汰步进式烧结机和球团竖炉以及半封闭式硅锰合金、镍铁、高碳铬铁、高碳锰铁电炉。严禁违规新增钢铁、水泥（熟料）、焦化、电解铝、平板玻璃（不含光伏压延玻璃）产能。鼓励钢铁行业龙头企业实施兼并重组，到2025年，短流程炼钢产量占比达15%。</w:t>
                  </w:r>
                </w:p>
              </w:tc>
              <w:tc>
                <w:tcPr>
                  <w:tcW w:w="1407" w:type="pct"/>
                  <w:tcBorders>
                    <w:tl2br w:val="nil"/>
                    <w:tr2bl w:val="nil"/>
                  </w:tcBorders>
                  <w:vAlign w:val="center"/>
                </w:tcPr>
                <w:p w14:paraId="4A249C2B">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本项目不涉及锅炉和工业炉窑。</w:t>
                  </w:r>
                </w:p>
              </w:tc>
              <w:tc>
                <w:tcPr>
                  <w:tcW w:w="512" w:type="pct"/>
                  <w:tcBorders>
                    <w:tl2br w:val="nil"/>
                    <w:tr2bl w:val="nil"/>
                  </w:tcBorders>
                  <w:vAlign w:val="center"/>
                </w:tcPr>
                <w:p w14:paraId="7987EFD0">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147F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2243C5A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3</w:t>
                  </w:r>
                </w:p>
              </w:tc>
              <w:tc>
                <w:tcPr>
                  <w:tcW w:w="2805" w:type="pct"/>
                  <w:tcBorders>
                    <w:tl2br w:val="nil"/>
                    <w:tr2bl w:val="nil"/>
                  </w:tcBorders>
                  <w:vAlign w:val="center"/>
                </w:tcPr>
                <w:p w14:paraId="1D034C4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开展传统产业集群排查整治。中小型传统制造企业集中的涉气产业集群要制定发展规划。开展石灰岩、陶瓷等涉气产业集群排查及分类治理，“一群一策”制定整治提升方案，实施拉单挂账式管理，依法淘汰关停一批、搬迁入园一批、就地改造一批、做优做强一批。高水平打造皖北等承接产业转移集聚区，持续加强产业集群环境治理。结合“绿岛”项目等因地制宜建设集中供热中心、集中涂装中心、有机溶剂集中回收中心、活性炭再生中心；推进建设钣喷共享中心，配套建设适宜高效VOCs治理设施。</w:t>
                  </w:r>
                </w:p>
              </w:tc>
              <w:tc>
                <w:tcPr>
                  <w:tcW w:w="1407" w:type="pct"/>
                  <w:tcBorders>
                    <w:tl2br w:val="nil"/>
                    <w:tr2bl w:val="nil"/>
                  </w:tcBorders>
                  <w:vAlign w:val="center"/>
                </w:tcPr>
                <w:p w14:paraId="2292E045">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根据《产业结构调整指导目录（2024年本）》及《市场准入负面清单（2022年版）》，项目不属于限制、淘汰类之列，亦不属于其他相关法律法规要求淘汰和限制的产业。</w:t>
                  </w:r>
                </w:p>
              </w:tc>
              <w:tc>
                <w:tcPr>
                  <w:tcW w:w="512" w:type="pct"/>
                  <w:tcBorders>
                    <w:tl2br w:val="nil"/>
                    <w:tr2bl w:val="nil"/>
                  </w:tcBorders>
                  <w:vAlign w:val="center"/>
                </w:tcPr>
                <w:p w14:paraId="77B276A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542B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06D6D54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w:t>
                  </w:r>
                </w:p>
              </w:tc>
              <w:tc>
                <w:tcPr>
                  <w:tcW w:w="2805" w:type="pct"/>
                  <w:tcBorders>
                    <w:tl2br w:val="nil"/>
                    <w:tr2bl w:val="nil"/>
                  </w:tcBorders>
                  <w:vAlign w:val="center"/>
                </w:tcPr>
                <w:p w14:paraId="7AC1A929">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推动新能源和节能环保等产业健康发展。深化新能源和节能环保产业“双招双引”，在低（无）VOCs含量原辅材料生产和使用、VOCs污染治理、超低排放、环境和大气成分监测等领域支持培育一批技术水平高、市场竞争力强的龙头企业。加快发展新能源汽车和智能网联汽车等战略性新兴产业。开展招标投标领域优化营商环境对标提升行动，系统治理环保领域低价低质中标乱象，营造公平竞争环境，推动产业健康有序发展。</w:t>
                  </w:r>
                </w:p>
              </w:tc>
              <w:tc>
                <w:tcPr>
                  <w:tcW w:w="1407" w:type="pct"/>
                  <w:tcBorders>
                    <w:tl2br w:val="nil"/>
                    <w:tr2bl w:val="nil"/>
                  </w:tcBorders>
                  <w:vAlign w:val="center"/>
                </w:tcPr>
                <w:p w14:paraId="728380F4">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本项目不使用含VOC物料</w:t>
                  </w:r>
                </w:p>
              </w:tc>
              <w:tc>
                <w:tcPr>
                  <w:tcW w:w="512" w:type="pct"/>
                  <w:tcBorders>
                    <w:tl2br w:val="nil"/>
                    <w:tr2bl w:val="nil"/>
                  </w:tcBorders>
                  <w:vAlign w:val="center"/>
                </w:tcPr>
                <w:p w14:paraId="39F7029B">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61E0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3128871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5</w:t>
                  </w:r>
                </w:p>
              </w:tc>
              <w:tc>
                <w:tcPr>
                  <w:tcW w:w="2805" w:type="pct"/>
                  <w:tcBorders>
                    <w:tl2br w:val="nil"/>
                    <w:tr2bl w:val="nil"/>
                  </w:tcBorders>
                  <w:vAlign w:val="center"/>
                </w:tcPr>
                <w:p w14:paraId="7AD4332E">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加快推广使用清洁能源。深入实施风电光伏发电装机倍增工程，提高电能占终端能源消费比重。到2025年，非化石能源消费比重达到15.5%以上，电能占终端能源消费比重达到30%左右。加快推进天然气入皖管道建设，提升城镇燃气管网覆盖率，增强天然气供应能力，新增天然气优先保障居民生活和清洁取暖需求。</w:t>
                  </w:r>
                </w:p>
              </w:tc>
              <w:tc>
                <w:tcPr>
                  <w:tcW w:w="1407" w:type="pct"/>
                  <w:tcBorders>
                    <w:tl2br w:val="nil"/>
                    <w:tr2bl w:val="nil"/>
                  </w:tcBorders>
                  <w:vAlign w:val="center"/>
                </w:tcPr>
                <w:p w14:paraId="39BC6F2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本项目使用的能源为电能，不使用其他能源</w:t>
                  </w:r>
                </w:p>
              </w:tc>
              <w:tc>
                <w:tcPr>
                  <w:tcW w:w="512" w:type="pct"/>
                  <w:tcBorders>
                    <w:tl2br w:val="nil"/>
                    <w:tr2bl w:val="nil"/>
                  </w:tcBorders>
                  <w:vAlign w:val="center"/>
                </w:tcPr>
                <w:p w14:paraId="0D005C46">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3C7DC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7F6673AB">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6</w:t>
                  </w:r>
                </w:p>
              </w:tc>
              <w:tc>
                <w:tcPr>
                  <w:tcW w:w="2805" w:type="pct"/>
                  <w:tcBorders>
                    <w:tl2br w:val="nil"/>
                    <w:tr2bl w:val="nil"/>
                  </w:tcBorders>
                  <w:vAlign w:val="center"/>
                </w:tcPr>
                <w:p w14:paraId="18705C03">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推动煤炭消费减量替代。在保障能源安全供应的前提下，继续实施煤炭消费总量控制，到2025年，重点区域煤炭消费量较2020年下降5%左右。重点削减非电力用煤。修订煤炭消费减量替代管理办法。重点区域新改扩建用煤项目，依法实行煤炭等量或减量替代，不得将使用高污染燃料作为煤炭减量替代措施。持续加大民用、农用散煤替代力度，重点区域散煤基本清零，其他地区散煤使用量进一步下降。强化企业商品煤质量管理，鼓励制定更严格的商品煤质量企业标准，提倡生产和使用优质煤。</w:t>
                  </w:r>
                </w:p>
              </w:tc>
              <w:tc>
                <w:tcPr>
                  <w:tcW w:w="1407" w:type="pct"/>
                  <w:tcBorders>
                    <w:tl2br w:val="nil"/>
                    <w:tr2bl w:val="nil"/>
                  </w:tcBorders>
                  <w:vAlign w:val="center"/>
                </w:tcPr>
                <w:p w14:paraId="2986A05B">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本项目不使用煤炭</w:t>
                  </w:r>
                </w:p>
              </w:tc>
              <w:tc>
                <w:tcPr>
                  <w:tcW w:w="512" w:type="pct"/>
                  <w:tcBorders>
                    <w:tl2br w:val="nil"/>
                    <w:tr2bl w:val="nil"/>
                  </w:tcBorders>
                  <w:vAlign w:val="center"/>
                </w:tcPr>
                <w:p w14:paraId="2CC27E8E">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3DF9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40AC05BE">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7</w:t>
                  </w:r>
                </w:p>
              </w:tc>
              <w:tc>
                <w:tcPr>
                  <w:tcW w:w="2805" w:type="pct"/>
                  <w:tcBorders>
                    <w:tl2br w:val="nil"/>
                    <w:tr2bl w:val="nil"/>
                  </w:tcBorders>
                  <w:vAlign w:val="center"/>
                </w:tcPr>
                <w:p w14:paraId="226519F9">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加快推动燃煤锅炉机组升级改造。各市将燃煤供热锅炉替代项目纳入城镇供热规划。加快热力管网建设，开展远距离供热示范，鼓励城镇供热企业推广使用清洁能源技术，科学合理布局供热管道。淘汰管网覆盖范围内的燃煤锅炉和散煤。重点区域原则上不再新建除集中供暖外的燃煤锅炉。持续推动茶水炉、经营性炉灶、储粮烘干设备、农产品加工等各类燃煤设施清洁能源替代。对30万千瓦以上热电联产机组供热半径30公里范围内燃煤锅炉和落后燃煤小热电机组（含自备电厂）进行关停整合。禁止新建自备燃煤机组。大力推动现有煤电机组开展节能降碳改造、灵活性改造、供热改造“三改联动”。</w:t>
                  </w:r>
                </w:p>
              </w:tc>
              <w:tc>
                <w:tcPr>
                  <w:tcW w:w="1407" w:type="pct"/>
                  <w:tcBorders>
                    <w:tl2br w:val="nil"/>
                    <w:tr2bl w:val="nil"/>
                  </w:tcBorders>
                  <w:vAlign w:val="center"/>
                </w:tcPr>
                <w:p w14:paraId="1BA23808">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本项目不建设锅炉</w:t>
                  </w:r>
                </w:p>
              </w:tc>
              <w:tc>
                <w:tcPr>
                  <w:tcW w:w="512" w:type="pct"/>
                  <w:tcBorders>
                    <w:tl2br w:val="nil"/>
                    <w:tr2bl w:val="nil"/>
                  </w:tcBorders>
                  <w:vAlign w:val="center"/>
                </w:tcPr>
                <w:p w14:paraId="394C44D4">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复合</w:t>
                  </w:r>
                </w:p>
              </w:tc>
            </w:tr>
            <w:tr w14:paraId="10D7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1D85746B">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8</w:t>
                  </w:r>
                </w:p>
              </w:tc>
              <w:tc>
                <w:tcPr>
                  <w:tcW w:w="2805" w:type="pct"/>
                  <w:tcBorders>
                    <w:tl2br w:val="nil"/>
                    <w:tr2bl w:val="nil"/>
                  </w:tcBorders>
                  <w:vAlign w:val="center"/>
                </w:tcPr>
                <w:p w14:paraId="23CFF4F4">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推动工业炉窑清洁能源替代。有序推进工业领域电能替代，提高电气化水平，推动大用户直供气，降低供气成本。重点区域不再新增燃料类煤气发生炉，新改扩建加热炉、热处理炉、干燥炉、熔化炉原则上采用清洁低碳能源。燃料类煤气发生炉实施清洁能源替代，或因地制宜采取园区（集群）集中供气、分散使用方式。逐步淘汰固定床间歇式煤气发生炉，鼓励现有煤气发生炉“小改大”。安全稳妥推进使用高污染燃料的工业炉窑改用工业余热、电能、天然气等，推动石油焦、重油等高污染燃料逐步替代。</w:t>
                  </w:r>
                </w:p>
              </w:tc>
              <w:tc>
                <w:tcPr>
                  <w:tcW w:w="1407" w:type="pct"/>
                  <w:tcBorders>
                    <w:tl2br w:val="nil"/>
                    <w:tr2bl w:val="nil"/>
                  </w:tcBorders>
                  <w:vAlign w:val="center"/>
                </w:tcPr>
                <w:p w14:paraId="7BF50470">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本项目不建设工业炉窑</w:t>
                  </w:r>
                </w:p>
              </w:tc>
              <w:tc>
                <w:tcPr>
                  <w:tcW w:w="512" w:type="pct"/>
                  <w:tcBorders>
                    <w:tl2br w:val="nil"/>
                    <w:tr2bl w:val="nil"/>
                  </w:tcBorders>
                  <w:vAlign w:val="center"/>
                </w:tcPr>
                <w:p w14:paraId="01B827B0">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r w14:paraId="26E69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tcBorders>
                    <w:tl2br w:val="nil"/>
                    <w:tr2bl w:val="nil"/>
                  </w:tcBorders>
                  <w:vAlign w:val="center"/>
                </w:tcPr>
                <w:p w14:paraId="541BE93D">
                  <w:pPr>
                    <w:pStyle w:val="132"/>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10</w:t>
                  </w:r>
                </w:p>
              </w:tc>
              <w:tc>
                <w:tcPr>
                  <w:tcW w:w="2805" w:type="pct"/>
                  <w:tcBorders>
                    <w:tl2br w:val="nil"/>
                    <w:tr2bl w:val="nil"/>
                  </w:tcBorders>
                  <w:vAlign w:val="center"/>
                </w:tcPr>
                <w:p w14:paraId="48776029">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加强建筑工地、道路扬尘污染和矿山综合治理。推动全省1万平方米以上规模建筑工地安装视频监控并接入监管平台，到2025年底，安装接入率达70%以上，合肥等有条件的市力争达到100%。开展道路扬尘污染治理专项行动。推动装配式建筑发展。将防治扬尘污染费用列入安全文明施工措施费等工程造价不可竞争性费用，明确施工单位扬尘污染防治责任。推动建筑业工业化、数字化、绿色化发展，提高城市道路保洁质量和效率。到2025年，装配式建筑占新建建筑面积比例40%以上，城市建成区道路机械化清扫率达90%左右，县城达70%左右。加强城市公共裸地扬尘管控，对在建工地、闲置地块等裸露土地开展排查建档，因地制宜落实抑尘措施。严格落实城市大型煤炭、矿石等干散货码头物料堆放场所主体责任，完善露天堆场防风网、喷淋装置、防尘屏障等抑尘设施建设和物料输送系统封闭改造。推动矿山综合治理，限期整改仍不达标的矿山，由矿山所在地人民政府根据安全生产、水土保持、生态环境等要求依法关闭。</w:t>
                  </w:r>
                </w:p>
              </w:tc>
              <w:tc>
                <w:tcPr>
                  <w:tcW w:w="1407" w:type="pct"/>
                  <w:tcBorders>
                    <w:tl2br w:val="nil"/>
                    <w:tr2bl w:val="nil"/>
                  </w:tcBorders>
                  <w:vAlign w:val="center"/>
                </w:tcPr>
                <w:p w14:paraId="366361E6">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施工期严格落实6个百分之百</w:t>
                  </w:r>
                </w:p>
              </w:tc>
              <w:tc>
                <w:tcPr>
                  <w:tcW w:w="512" w:type="pct"/>
                  <w:tcBorders>
                    <w:tl2br w:val="nil"/>
                    <w:tr2bl w:val="nil"/>
                  </w:tcBorders>
                  <w:vAlign w:val="center"/>
                </w:tcPr>
                <w:p w14:paraId="7C795C5D">
                  <w:pPr>
                    <w:pStyle w:val="132"/>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符合</w:t>
                  </w:r>
                </w:p>
              </w:tc>
            </w:tr>
          </w:tbl>
          <w:p w14:paraId="2E258222">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b/>
                <w:bCs/>
                <w:color w:val="auto"/>
                <w:kern w:val="0"/>
              </w:rPr>
              <w:t>（6）</w:t>
            </w:r>
            <w:r>
              <w:rPr>
                <w:rFonts w:hint="default" w:ascii="Times New Roman" w:hAnsi="Times New Roman" w:eastAsia="宋体" w:cs="Times New Roman"/>
                <w:b/>
                <w:bCs/>
                <w:color w:val="auto"/>
                <w:kern w:val="0"/>
                <w:sz w:val="24"/>
                <w:szCs w:val="24"/>
                <w:lang w:val="en-US" w:eastAsia="zh-CN" w:bidi="ar"/>
              </w:rPr>
              <w:t>与《池州市“十四五”生态环境保护规划》（池环发〔2022〕11 号，2022 年 3 月 24 日）符合性分析</w:t>
            </w:r>
          </w:p>
          <w:p w14:paraId="08E7F9AD">
            <w:pPr>
              <w:pStyle w:val="18"/>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表1-</w:t>
            </w:r>
            <w:r>
              <w:rPr>
                <w:rFonts w:hint="default" w:ascii="Times New Roman" w:hAnsi="Times New Roman" w:eastAsia="宋体" w:cs="Times New Roman"/>
                <w:b/>
                <w:color w:val="auto"/>
                <w:sz w:val="21"/>
                <w:szCs w:val="21"/>
                <w:lang w:val="en-US" w:eastAsia="zh-CN"/>
              </w:rPr>
              <w:t>8</w:t>
            </w:r>
            <w:r>
              <w:rPr>
                <w:rFonts w:hint="default" w:ascii="Times New Roman" w:hAnsi="Times New Roman" w:eastAsia="宋体" w:cs="Times New Roman"/>
                <w:b/>
                <w:color w:val="auto"/>
                <w:sz w:val="21"/>
                <w:szCs w:val="21"/>
              </w:rPr>
              <w:t xml:space="preserve">  与</w:t>
            </w:r>
            <w:r>
              <w:rPr>
                <w:rFonts w:hint="default" w:ascii="Times New Roman" w:hAnsi="Times New Roman" w:eastAsia="宋体" w:cs="Times New Roman"/>
                <w:b/>
                <w:bCs/>
                <w:color w:val="auto"/>
                <w:kern w:val="0"/>
                <w:sz w:val="21"/>
                <w:szCs w:val="21"/>
              </w:rPr>
              <w:t>（宜政秘〔2019〕101号）文件</w:t>
            </w:r>
            <w:r>
              <w:rPr>
                <w:rFonts w:hint="default" w:ascii="Times New Roman" w:hAnsi="Times New Roman" w:eastAsia="宋体" w:cs="Times New Roman"/>
                <w:b/>
                <w:color w:val="auto"/>
                <w:sz w:val="21"/>
                <w:szCs w:val="21"/>
              </w:rPr>
              <w:t>相符性分析</w:t>
            </w:r>
          </w:p>
          <w:tbl>
            <w:tblPr>
              <w:tblStyle w:val="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4690"/>
              <w:gridCol w:w="2521"/>
              <w:gridCol w:w="948"/>
            </w:tblGrid>
            <w:tr w14:paraId="217DA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7" w:type="pct"/>
                  <w:tcBorders>
                    <w:tl2br w:val="nil"/>
                    <w:tr2bl w:val="nil"/>
                  </w:tcBorders>
                  <w:vAlign w:val="center"/>
                </w:tcPr>
                <w:p w14:paraId="466223B6">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序号</w:t>
                  </w:r>
                </w:p>
              </w:tc>
              <w:tc>
                <w:tcPr>
                  <w:tcW w:w="2633" w:type="pct"/>
                  <w:tcBorders>
                    <w:tl2br w:val="nil"/>
                    <w:tr2bl w:val="nil"/>
                  </w:tcBorders>
                  <w:vAlign w:val="center"/>
                </w:tcPr>
                <w:p w14:paraId="3E00C9FE">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文件要求</w:t>
                  </w:r>
                </w:p>
              </w:tc>
              <w:tc>
                <w:tcPr>
                  <w:tcW w:w="1415" w:type="pct"/>
                  <w:tcBorders>
                    <w:tl2br w:val="nil"/>
                    <w:tr2bl w:val="nil"/>
                  </w:tcBorders>
                  <w:vAlign w:val="center"/>
                </w:tcPr>
                <w:p w14:paraId="3F51FD0D">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本项目情况</w:t>
                  </w:r>
                </w:p>
              </w:tc>
              <w:tc>
                <w:tcPr>
                  <w:tcW w:w="532" w:type="pct"/>
                  <w:tcBorders>
                    <w:tl2br w:val="nil"/>
                    <w:tr2bl w:val="nil"/>
                  </w:tcBorders>
                  <w:vAlign w:val="center"/>
                </w:tcPr>
                <w:p w14:paraId="4765A527">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符合性</w:t>
                  </w:r>
                </w:p>
              </w:tc>
            </w:tr>
            <w:tr w14:paraId="7F9C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7" w:type="pct"/>
                  <w:tcBorders>
                    <w:tl2br w:val="nil"/>
                    <w:tr2bl w:val="nil"/>
                  </w:tcBorders>
                  <w:vAlign w:val="center"/>
                </w:tcPr>
                <w:p w14:paraId="6BEED4E1">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w:t>
                  </w:r>
                </w:p>
              </w:tc>
              <w:tc>
                <w:tcPr>
                  <w:tcW w:w="2633" w:type="pct"/>
                  <w:tcBorders>
                    <w:tl2br w:val="nil"/>
                    <w:tr2bl w:val="nil"/>
                  </w:tcBorders>
                  <w:vAlign w:val="center"/>
                </w:tcPr>
                <w:p w14:paraId="5B68249D">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 xml:space="preserve">(一)持续改善大气环境质量 </w:t>
                  </w:r>
                </w:p>
                <w:p w14:paraId="4469AB02">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1.推进重点行业深度治理。实施重点行业污染物深度治理，加强大型燃煤设施的烟气净化设备的安装与管理，净化烟尘、二氧化硫和氮氧化物，重点开展水泥、钢铁、石灰和石膏、铸造等行业高污染排放行业的防治，全力推进钢铁行业超低排放改造。对全市无组织排放情况进行摸底排查，建立颗粒物无组织排放治理清单，深化工业企业生产工 艺过程、物料储存、物料运输、厂区道路等无组织排放管控与治理。</w:t>
                  </w:r>
                </w:p>
              </w:tc>
              <w:tc>
                <w:tcPr>
                  <w:tcW w:w="1415" w:type="pct"/>
                  <w:tcBorders>
                    <w:tl2br w:val="nil"/>
                    <w:tr2bl w:val="nil"/>
                  </w:tcBorders>
                  <w:vAlign w:val="center"/>
                </w:tcPr>
                <w:p w14:paraId="24D23B8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highlight w:val="none"/>
                    </w:rPr>
                    <w:t>项目建筑垃圾</w:t>
                  </w:r>
                  <w:r>
                    <w:rPr>
                      <w:rFonts w:hint="default" w:ascii="Times New Roman" w:hAnsi="Times New Roman" w:eastAsia="宋体" w:cs="Times New Roman"/>
                      <w:b w:val="0"/>
                      <w:bCs/>
                      <w:color w:val="auto"/>
                      <w:highlight w:val="none"/>
                      <w:lang w:val="en-US" w:eastAsia="zh-CN"/>
                    </w:rPr>
                    <w:t>给料、</w:t>
                  </w:r>
                  <w:r>
                    <w:rPr>
                      <w:rFonts w:hint="default" w:ascii="Times New Roman" w:hAnsi="Times New Roman" w:eastAsia="宋体" w:cs="Times New Roman"/>
                      <w:b w:val="0"/>
                      <w:bCs/>
                      <w:color w:val="auto"/>
                      <w:highlight w:val="none"/>
                    </w:rPr>
                    <w:t>破碎、筛分过程产生的粉尘经一套布袋除尘器处理后通过</w:t>
                  </w:r>
                  <w:r>
                    <w:rPr>
                      <w:rFonts w:hint="default" w:ascii="Times New Roman" w:hAnsi="Times New Roman" w:eastAsia="宋体" w:cs="Times New Roman"/>
                      <w:b w:val="0"/>
                      <w:bCs/>
                      <w:color w:val="auto"/>
                      <w:highlight w:val="none"/>
                      <w:lang w:eastAsia="zh-CN"/>
                    </w:rPr>
                    <w:t>1根</w:t>
                  </w:r>
                  <w:r>
                    <w:rPr>
                      <w:rFonts w:hint="default" w:ascii="Times New Roman" w:hAnsi="Times New Roman" w:eastAsia="宋体" w:cs="Times New Roman"/>
                      <w:b w:val="0"/>
                      <w:bCs/>
                      <w:color w:val="auto"/>
                      <w:highlight w:val="none"/>
                    </w:rPr>
                    <w:t>15m高排气筒（</w:t>
                  </w:r>
                  <w:r>
                    <w:rPr>
                      <w:rFonts w:hint="default" w:ascii="Times New Roman" w:hAnsi="Times New Roman" w:eastAsia="宋体" w:cs="Times New Roman"/>
                      <w:b w:val="0"/>
                      <w:bCs/>
                      <w:color w:val="auto"/>
                      <w:highlight w:val="none"/>
                      <w:lang w:val="en-US" w:eastAsia="zh-CN"/>
                    </w:rPr>
                    <w:t>D</w:t>
                  </w:r>
                  <w:r>
                    <w:rPr>
                      <w:rFonts w:hint="default" w:ascii="Times New Roman" w:hAnsi="Times New Roman" w:eastAsia="宋体" w:cs="Times New Roman"/>
                      <w:b w:val="0"/>
                      <w:bCs/>
                      <w:color w:val="auto"/>
                      <w:highlight w:val="none"/>
                    </w:rPr>
                    <w:t>A001）排放；水稳投料、搅拌过程产生的粉尘经集气罩收集后通过1套布袋除尘器处理后通过</w:t>
                  </w:r>
                  <w:r>
                    <w:rPr>
                      <w:rFonts w:hint="default" w:ascii="Times New Roman" w:hAnsi="Times New Roman" w:eastAsia="宋体" w:cs="Times New Roman"/>
                      <w:b w:val="0"/>
                      <w:bCs/>
                      <w:color w:val="auto"/>
                      <w:highlight w:val="none"/>
                      <w:lang w:eastAsia="zh-CN"/>
                    </w:rPr>
                    <w:t>1根</w:t>
                  </w:r>
                  <w:r>
                    <w:rPr>
                      <w:rFonts w:hint="default" w:ascii="Times New Roman" w:hAnsi="Times New Roman" w:eastAsia="宋体" w:cs="Times New Roman"/>
                      <w:b w:val="0"/>
                      <w:bCs/>
                      <w:color w:val="auto"/>
                      <w:highlight w:val="none"/>
                    </w:rPr>
                    <w:t>15m高排气筒（</w:t>
                  </w:r>
                  <w:r>
                    <w:rPr>
                      <w:rFonts w:hint="default" w:ascii="Times New Roman" w:hAnsi="Times New Roman" w:eastAsia="宋体" w:cs="Times New Roman"/>
                      <w:b w:val="0"/>
                      <w:bCs/>
                      <w:color w:val="auto"/>
                      <w:highlight w:val="none"/>
                      <w:lang w:val="en-US" w:eastAsia="zh-CN"/>
                    </w:rPr>
                    <w:t>D</w:t>
                  </w:r>
                  <w:r>
                    <w:rPr>
                      <w:rFonts w:hint="default" w:ascii="Times New Roman" w:hAnsi="Times New Roman" w:eastAsia="宋体" w:cs="Times New Roman"/>
                      <w:b w:val="0"/>
                      <w:bCs/>
                      <w:color w:val="auto"/>
                      <w:highlight w:val="none"/>
                    </w:rPr>
                    <w:t>A002）排放。</w:t>
                  </w:r>
                  <w:r>
                    <w:rPr>
                      <w:rFonts w:hint="default" w:ascii="Times New Roman" w:hAnsi="Times New Roman" w:eastAsia="宋体" w:cs="Times New Roman"/>
                      <w:b w:val="0"/>
                      <w:bCs/>
                      <w:color w:val="auto"/>
                      <w:highlight w:val="none"/>
                      <w:lang w:val="en-US" w:eastAsia="zh-CN"/>
                    </w:rPr>
                    <w:t>RDF燃料生产线破碎成型过程产生的粉尘</w:t>
                  </w:r>
                  <w:r>
                    <w:rPr>
                      <w:rFonts w:hint="default" w:ascii="Times New Roman" w:hAnsi="Times New Roman" w:eastAsia="宋体" w:cs="Times New Roman"/>
                      <w:b w:val="0"/>
                      <w:bCs/>
                      <w:color w:val="auto"/>
                      <w:highlight w:val="none"/>
                    </w:rPr>
                    <w:t>集气罩收集后通过1套布袋除尘器处理后通过</w:t>
                  </w:r>
                  <w:r>
                    <w:rPr>
                      <w:rFonts w:hint="default" w:ascii="Times New Roman" w:hAnsi="Times New Roman" w:eastAsia="宋体" w:cs="Times New Roman"/>
                      <w:b w:val="0"/>
                      <w:bCs/>
                      <w:color w:val="auto"/>
                      <w:highlight w:val="none"/>
                      <w:lang w:eastAsia="zh-CN"/>
                    </w:rPr>
                    <w:t>1根</w:t>
                  </w:r>
                  <w:r>
                    <w:rPr>
                      <w:rFonts w:hint="default" w:ascii="Times New Roman" w:hAnsi="Times New Roman" w:eastAsia="宋体" w:cs="Times New Roman"/>
                      <w:b w:val="0"/>
                      <w:bCs/>
                      <w:color w:val="auto"/>
                      <w:highlight w:val="none"/>
                    </w:rPr>
                    <w:t>15m高排气筒（</w:t>
                  </w:r>
                  <w:r>
                    <w:rPr>
                      <w:rFonts w:hint="default" w:ascii="Times New Roman" w:hAnsi="Times New Roman" w:eastAsia="宋体" w:cs="Times New Roman"/>
                      <w:b w:val="0"/>
                      <w:bCs/>
                      <w:color w:val="auto"/>
                      <w:highlight w:val="none"/>
                      <w:lang w:val="en-US" w:eastAsia="zh-CN"/>
                    </w:rPr>
                    <w:t>D</w:t>
                  </w:r>
                  <w:r>
                    <w:rPr>
                      <w:rFonts w:hint="default" w:ascii="Times New Roman" w:hAnsi="Times New Roman" w:eastAsia="宋体" w:cs="Times New Roman"/>
                      <w:b w:val="0"/>
                      <w:bCs/>
                      <w:color w:val="auto"/>
                      <w:highlight w:val="none"/>
                    </w:rPr>
                    <w:t>A00</w:t>
                  </w:r>
                  <w:r>
                    <w:rPr>
                      <w:rFonts w:hint="default" w:ascii="Times New Roman" w:hAnsi="Times New Roman" w:eastAsia="宋体" w:cs="Times New Roman"/>
                      <w:b w:val="0"/>
                      <w:bCs/>
                      <w:color w:val="auto"/>
                      <w:highlight w:val="none"/>
                      <w:lang w:val="en-US" w:eastAsia="zh-CN"/>
                    </w:rPr>
                    <w:t>3</w:t>
                  </w:r>
                  <w:r>
                    <w:rPr>
                      <w:rFonts w:hint="default" w:ascii="Times New Roman" w:hAnsi="Times New Roman" w:eastAsia="宋体" w:cs="Times New Roman"/>
                      <w:b w:val="0"/>
                      <w:bCs/>
                      <w:color w:val="auto"/>
                      <w:highlight w:val="none"/>
                    </w:rPr>
                    <w:t>）排放</w:t>
                  </w:r>
                  <w:r>
                    <w:rPr>
                      <w:rFonts w:hint="default" w:ascii="Times New Roman" w:hAnsi="Times New Roman" w:eastAsia="宋体" w:cs="Times New Roman"/>
                      <w:b w:val="0"/>
                      <w:bCs/>
                      <w:color w:val="auto"/>
                      <w:highlight w:val="none"/>
                      <w:lang w:eastAsia="zh-CN"/>
                    </w:rPr>
                    <w:t>，</w:t>
                  </w:r>
                  <w:r>
                    <w:rPr>
                      <w:rFonts w:hint="default" w:ascii="Times New Roman" w:hAnsi="Times New Roman" w:eastAsia="宋体" w:cs="Times New Roman"/>
                      <w:b w:val="0"/>
                      <w:bCs/>
                      <w:color w:val="auto"/>
                      <w:highlight w:val="none"/>
                      <w:lang w:val="en-US" w:eastAsia="zh-CN"/>
                    </w:rPr>
                    <w:t>污泥贮存恶臭和成型恶臭负压收集通过生物除臭塔后通过15m排气筒（DA004）排放。</w:t>
                  </w:r>
                  <w:r>
                    <w:rPr>
                      <w:rFonts w:hint="default" w:ascii="Times New Roman" w:hAnsi="Times New Roman" w:eastAsia="宋体" w:cs="Times New Roman"/>
                      <w:b w:val="0"/>
                      <w:bCs/>
                      <w:color w:val="auto"/>
                      <w:highlight w:val="none"/>
                    </w:rPr>
                    <w:t>项目装卸、运输等过程产生的粉尘采用干雾抑尘方式抑尘，水泥筒仓粉尘采用仓顶除尘器处理后排放。</w:t>
                  </w:r>
                </w:p>
              </w:tc>
              <w:tc>
                <w:tcPr>
                  <w:tcW w:w="532" w:type="pct"/>
                  <w:tcBorders>
                    <w:tl2br w:val="nil"/>
                    <w:tr2bl w:val="nil"/>
                  </w:tcBorders>
                  <w:vAlign w:val="center"/>
                </w:tcPr>
                <w:p w14:paraId="30426EA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008B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7" w:type="pct"/>
                  <w:tcBorders>
                    <w:tl2br w:val="nil"/>
                    <w:tr2bl w:val="nil"/>
                  </w:tcBorders>
                  <w:vAlign w:val="center"/>
                </w:tcPr>
                <w:p w14:paraId="3D32E44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w:t>
                  </w:r>
                </w:p>
              </w:tc>
              <w:tc>
                <w:tcPr>
                  <w:tcW w:w="2633" w:type="pct"/>
                  <w:tcBorders>
                    <w:tl2br w:val="nil"/>
                    <w:tr2bl w:val="nil"/>
                  </w:tcBorders>
                  <w:vAlign w:val="center"/>
                </w:tcPr>
                <w:p w14:paraId="646BB5C7">
                  <w:pPr>
                    <w:pStyle w:val="62"/>
                    <w:jc w:val="both"/>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四）严格固体废弃物、危险废物、医疗废物管理“1.加强固体废弃物管理。实施一批一般工业固体废物综合利用示范工程，重点开发煤矸石、炉渣、磷石膏、尾矿、废渣等一般工业固废综合利用手段，促进一般工业固废在企业内部循环使用和综合利用。完善一般工业固废回收利用和处置体系，统筹建立区域性综合固体废物处置中心，增强一般工业固废处置能力，力争一般工业固废处置与回收利用率达 100%。建立建筑垃圾、大件垃圾再生利用体系，强化建筑垃圾回收、转运和资源化利用全过程监管，加强建筑垃圾的资源化利用。全面梳理排查存量建筑垃圾堆放情况，有序转移现有消纳场所的存量建筑垃圾，开展清理后建筑垃圾残渣堆放场地的生态修复工作。”</w:t>
                  </w:r>
                </w:p>
              </w:tc>
              <w:tc>
                <w:tcPr>
                  <w:tcW w:w="1415" w:type="pct"/>
                  <w:tcBorders>
                    <w:tl2br w:val="nil"/>
                    <w:tr2bl w:val="nil"/>
                  </w:tcBorders>
                  <w:vAlign w:val="center"/>
                </w:tcPr>
                <w:p w14:paraId="06A121D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本项目除尘器收集的粉尘，全部综合利用；一般固废暂存固废库内再外售，渣土综合利用；厂内设生活垃圾分类收集桶，生活 垃圾由当地环卫部门统一收集、处 置；符合规划相关要求。</w:t>
                  </w:r>
                </w:p>
                <w:p w14:paraId="13299286">
                  <w:pPr>
                    <w:pStyle w:val="62"/>
                    <w:rPr>
                      <w:rFonts w:hint="default" w:ascii="Times New Roman" w:hAnsi="Times New Roman" w:eastAsia="宋体" w:cs="Times New Roman"/>
                      <w:b w:val="0"/>
                      <w:bCs/>
                      <w:color w:val="auto"/>
                    </w:rPr>
                  </w:pPr>
                </w:p>
              </w:tc>
              <w:tc>
                <w:tcPr>
                  <w:tcW w:w="532" w:type="pct"/>
                  <w:tcBorders>
                    <w:tl2br w:val="nil"/>
                    <w:tr2bl w:val="nil"/>
                  </w:tcBorders>
                  <w:vAlign w:val="center"/>
                </w:tcPr>
                <w:p w14:paraId="3CE6E27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bl>
          <w:p w14:paraId="24A7BCB3">
            <w:pPr>
              <w:ind w:firstLine="482"/>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rPr>
              <w:t>（7）与《安徽省建筑工程施工和预拌混凝土生产扬尘污染防治标准（试行）》</w:t>
            </w:r>
            <w:r>
              <w:rPr>
                <w:rFonts w:hint="default" w:ascii="Times New Roman" w:hAnsi="Times New Roman" w:eastAsia="宋体" w:cs="Times New Roman"/>
                <w:b/>
                <w:bCs/>
                <w:color w:val="auto"/>
              </w:rPr>
              <w:t>（皖环发﹝2019﹞17号）</w:t>
            </w:r>
            <w:r>
              <w:rPr>
                <w:rFonts w:hint="default" w:ascii="Times New Roman" w:hAnsi="Times New Roman" w:eastAsia="宋体" w:cs="Times New Roman"/>
                <w:b/>
                <w:bCs/>
                <w:color w:val="auto"/>
                <w:kern w:val="0"/>
              </w:rPr>
              <w:t>相符性分析</w:t>
            </w:r>
          </w:p>
          <w:p w14:paraId="51FEF6B1">
            <w:pPr>
              <w:pStyle w:val="18"/>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表1-</w:t>
            </w:r>
            <w:r>
              <w:rPr>
                <w:rFonts w:hint="default" w:ascii="Times New Roman" w:hAnsi="Times New Roman" w:eastAsia="宋体" w:cs="Times New Roman"/>
                <w:b/>
                <w:color w:val="auto"/>
                <w:sz w:val="21"/>
                <w:szCs w:val="21"/>
                <w:lang w:val="en-US" w:eastAsia="zh-CN"/>
              </w:rPr>
              <w:t>9</w:t>
            </w:r>
            <w:r>
              <w:rPr>
                <w:rFonts w:hint="default" w:ascii="Times New Roman" w:hAnsi="Times New Roman" w:eastAsia="宋体" w:cs="Times New Roman"/>
                <w:b/>
                <w:color w:val="auto"/>
                <w:sz w:val="21"/>
                <w:szCs w:val="21"/>
              </w:rPr>
              <w:t xml:space="preserve">  与</w:t>
            </w:r>
            <w:r>
              <w:rPr>
                <w:rFonts w:hint="default" w:ascii="Times New Roman" w:hAnsi="Times New Roman" w:eastAsia="宋体" w:cs="Times New Roman"/>
                <w:b/>
                <w:bCs/>
                <w:color w:val="auto"/>
                <w:sz w:val="21"/>
                <w:szCs w:val="21"/>
              </w:rPr>
              <w:t>（皖环发﹝2019﹞17号）文件</w:t>
            </w:r>
            <w:r>
              <w:rPr>
                <w:rFonts w:hint="default" w:ascii="Times New Roman" w:hAnsi="Times New Roman" w:eastAsia="宋体" w:cs="Times New Roman"/>
                <w:b/>
                <w:color w:val="auto"/>
                <w:sz w:val="21"/>
                <w:szCs w:val="21"/>
              </w:rPr>
              <w:t>相符性分析</w:t>
            </w:r>
          </w:p>
          <w:tbl>
            <w:tblPr>
              <w:tblStyle w:val="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4690"/>
              <w:gridCol w:w="2521"/>
              <w:gridCol w:w="950"/>
            </w:tblGrid>
            <w:tr w14:paraId="567CA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6" w:type="pct"/>
                  <w:tcBorders>
                    <w:tl2br w:val="nil"/>
                    <w:tr2bl w:val="nil"/>
                  </w:tcBorders>
                  <w:vAlign w:val="center"/>
                </w:tcPr>
                <w:p w14:paraId="3D4AD212">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序号</w:t>
                  </w:r>
                </w:p>
              </w:tc>
              <w:tc>
                <w:tcPr>
                  <w:tcW w:w="2633" w:type="pct"/>
                  <w:tcBorders>
                    <w:tl2br w:val="nil"/>
                    <w:tr2bl w:val="nil"/>
                  </w:tcBorders>
                  <w:vAlign w:val="center"/>
                </w:tcPr>
                <w:p w14:paraId="7A69DA59">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文件要求</w:t>
                  </w:r>
                </w:p>
              </w:tc>
              <w:tc>
                <w:tcPr>
                  <w:tcW w:w="1415" w:type="pct"/>
                  <w:tcBorders>
                    <w:tl2br w:val="nil"/>
                    <w:tr2bl w:val="nil"/>
                  </w:tcBorders>
                  <w:vAlign w:val="center"/>
                </w:tcPr>
                <w:p w14:paraId="49EA720E">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本项目情况</w:t>
                  </w:r>
                </w:p>
              </w:tc>
              <w:tc>
                <w:tcPr>
                  <w:tcW w:w="533" w:type="pct"/>
                  <w:tcBorders>
                    <w:tl2br w:val="nil"/>
                    <w:tr2bl w:val="nil"/>
                  </w:tcBorders>
                  <w:vAlign w:val="center"/>
                </w:tcPr>
                <w:p w14:paraId="42266850">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符合性</w:t>
                  </w:r>
                </w:p>
              </w:tc>
            </w:tr>
            <w:tr w14:paraId="0485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6" w:type="pct"/>
                  <w:tcBorders>
                    <w:tl2br w:val="nil"/>
                    <w:tr2bl w:val="nil"/>
                  </w:tcBorders>
                  <w:vAlign w:val="center"/>
                </w:tcPr>
                <w:p w14:paraId="08305B5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w:t>
                  </w:r>
                </w:p>
              </w:tc>
              <w:tc>
                <w:tcPr>
                  <w:tcW w:w="2633" w:type="pct"/>
                  <w:tcBorders>
                    <w:tl2br w:val="nil"/>
                    <w:tr2bl w:val="nil"/>
                  </w:tcBorders>
                  <w:vAlign w:val="center"/>
                </w:tcPr>
                <w:p w14:paraId="422CD30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6.3.1 预拌混凝土生产区宜使用封闭式厂房。6.3.2 砂石堆场与配料设施应整体封闭，骨料传输皮带机与生产主机楼包括粉料筒仓应整体封闭。6.3.3 砂石堆场应建设分仓档隔墙，宜设置排水沟。砂石堆场、卸料区、车辆进出口及骨料配料设施应有降尘抑尘设施设备。骨料卸料、配料应在室内完成，宜采用布料机。下料点应采取喷淋或其他抑尘措施。</w:t>
                  </w:r>
                </w:p>
              </w:tc>
              <w:tc>
                <w:tcPr>
                  <w:tcW w:w="1415" w:type="pct"/>
                  <w:tcBorders>
                    <w:tl2br w:val="nil"/>
                    <w:tr2bl w:val="nil"/>
                  </w:tcBorders>
                  <w:vAlign w:val="center"/>
                </w:tcPr>
                <w:p w14:paraId="4CA9674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本项目水稳</w:t>
                  </w:r>
                  <w:r>
                    <w:rPr>
                      <w:rFonts w:hint="default" w:ascii="Times New Roman" w:hAnsi="Times New Roman" w:eastAsia="宋体" w:cs="Times New Roman"/>
                      <w:b w:val="0"/>
                      <w:bCs/>
                      <w:color w:val="auto"/>
                      <w:lang w:val="en-US" w:eastAsia="zh-CN"/>
                    </w:rPr>
                    <w:t>生产线</w:t>
                  </w:r>
                  <w:r>
                    <w:rPr>
                      <w:rFonts w:hint="default" w:ascii="Times New Roman" w:hAnsi="Times New Roman" w:eastAsia="宋体" w:cs="Times New Roman"/>
                      <w:b w:val="0"/>
                      <w:bCs/>
                      <w:color w:val="auto"/>
                    </w:rPr>
                    <w:t>均</w:t>
                  </w:r>
                  <w:r>
                    <w:rPr>
                      <w:rFonts w:hint="default" w:ascii="Times New Roman" w:hAnsi="Times New Roman" w:eastAsia="宋体" w:cs="Times New Roman"/>
                      <w:b w:val="0"/>
                      <w:bCs/>
                      <w:color w:val="auto"/>
                      <w:lang w:val="en-US" w:eastAsia="zh-CN"/>
                    </w:rPr>
                    <w:t>位于</w:t>
                  </w:r>
                  <w:r>
                    <w:rPr>
                      <w:rFonts w:hint="default" w:ascii="Times New Roman" w:hAnsi="Times New Roman" w:eastAsia="宋体" w:cs="Times New Roman"/>
                      <w:b w:val="0"/>
                      <w:bCs/>
                      <w:color w:val="auto"/>
                    </w:rPr>
                    <w:t>密闭式厂房，原料设置密闭仓库和筒仓储存，厂房内设置干雾抑尘装置，下料点采取集气罩收集粉尘经过布袋除尘器处理。</w:t>
                  </w:r>
                </w:p>
              </w:tc>
              <w:tc>
                <w:tcPr>
                  <w:tcW w:w="533" w:type="pct"/>
                  <w:tcBorders>
                    <w:tl2br w:val="nil"/>
                    <w:tr2bl w:val="nil"/>
                  </w:tcBorders>
                  <w:vAlign w:val="center"/>
                </w:tcPr>
                <w:p w14:paraId="19EBC23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0755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6" w:type="pct"/>
                  <w:tcBorders>
                    <w:tl2br w:val="nil"/>
                    <w:tr2bl w:val="nil"/>
                  </w:tcBorders>
                  <w:vAlign w:val="center"/>
                </w:tcPr>
                <w:p w14:paraId="1A919C2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w:t>
                  </w:r>
                </w:p>
              </w:tc>
              <w:tc>
                <w:tcPr>
                  <w:tcW w:w="2633" w:type="pct"/>
                  <w:tcBorders>
                    <w:tl2br w:val="nil"/>
                    <w:tr2bl w:val="nil"/>
                  </w:tcBorders>
                  <w:vAlign w:val="center"/>
                </w:tcPr>
                <w:p w14:paraId="5F209EB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6.3.4 搅拌站（楼）一层宜采用混凝土结构，主体二层及以上部分应实施封闭。主机楼内应保持清洁，不得扬尘。主机楼搅拌层和称量层宜安装冲洗设备，冲洗产生的废水应收集再利用。</w:t>
                  </w:r>
                </w:p>
              </w:tc>
              <w:tc>
                <w:tcPr>
                  <w:tcW w:w="1415" w:type="pct"/>
                  <w:tcBorders>
                    <w:tl2br w:val="nil"/>
                    <w:tr2bl w:val="nil"/>
                  </w:tcBorders>
                  <w:vAlign w:val="center"/>
                </w:tcPr>
                <w:p w14:paraId="0176D4AA">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项目水稳搅拌楼为一层全封闭混凝土框架结构，搅拌机设置冲洗装置，冲洗废水沉淀后循环利用不外排</w:t>
                  </w:r>
                  <w:r>
                    <w:rPr>
                      <w:rFonts w:hint="default" w:ascii="Times New Roman" w:hAnsi="Times New Roman" w:eastAsia="宋体" w:cs="Times New Roman"/>
                      <w:b w:val="0"/>
                      <w:bCs/>
                      <w:color w:val="auto"/>
                      <w:lang w:eastAsia="zh-CN"/>
                    </w:rPr>
                    <w:t>。</w:t>
                  </w:r>
                </w:p>
              </w:tc>
              <w:tc>
                <w:tcPr>
                  <w:tcW w:w="533" w:type="pct"/>
                  <w:tcBorders>
                    <w:tl2br w:val="nil"/>
                    <w:tr2bl w:val="nil"/>
                  </w:tcBorders>
                  <w:vAlign w:val="center"/>
                </w:tcPr>
                <w:p w14:paraId="46C937F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2D17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6" w:type="pct"/>
                  <w:tcBorders>
                    <w:tl2br w:val="nil"/>
                    <w:tr2bl w:val="nil"/>
                  </w:tcBorders>
                  <w:vAlign w:val="center"/>
                </w:tcPr>
                <w:p w14:paraId="1FAAC69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w:t>
                  </w:r>
                </w:p>
              </w:tc>
              <w:tc>
                <w:tcPr>
                  <w:tcW w:w="2633" w:type="pct"/>
                  <w:tcBorders>
                    <w:tl2br w:val="nil"/>
                    <w:tr2bl w:val="nil"/>
                  </w:tcBorders>
                  <w:vAlign w:val="center"/>
                </w:tcPr>
                <w:p w14:paraId="7592103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6.3.5 搅拌主机、骨料集料仓及粉料筒仓应安装强制式除尘脉冲清理设备，滤芯宜采用专用除尘布袋，除尘机宜安装用于判断滤芯使用有效性的压力感应设备。螺旋机与枰体软连接应采用专用除尘布袋。除尘设备必须保持正常使用状态，滤芯、除尘布袋等易损部件必须定期保养、更换。6.3.6 搅拌主机除与各类材料秤体和除尘设备接口外，不应有其他通向大气的出口。粉料筒仓除吹灰管、除尘设备以及压力安全阀出口外，不应有其他通向厂房外界大气的出口。6.3.7 粉料筒仓应配备装料限位及压力报警系统。吹灰管应采用硬式封闭接口，粉料上料储存过程应有专人监控，不得泄漏。上料期间收尘设备设施应同步有效运转。6.3.8 搅拌主机卸料口应装配清理混凝土卸料喷溅污染设施，卸料口区域应保持清洁。</w:t>
                  </w:r>
                </w:p>
              </w:tc>
              <w:tc>
                <w:tcPr>
                  <w:tcW w:w="1415" w:type="pct"/>
                  <w:tcBorders>
                    <w:tl2br w:val="nil"/>
                    <w:tr2bl w:val="nil"/>
                  </w:tcBorders>
                  <w:vAlign w:val="center"/>
                </w:tcPr>
                <w:p w14:paraId="7F85A52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项目骨料破碎筛分和搅拌投料粉尘本次均安装布袋除尘器处理，除尘布袋定期保养更换。搅拌主机除与各类材料秤体和除尘设备接口外，其余均封闭。粉料筒仓除吹灰管、除尘设备以及压力安全阀出口外，其余均封闭；粉料筒仓配备装料限位及压力报警系统。吹灰管已采用硬式封闭接口，粉料上料储存过程已设置专人监控，不得</w:t>
                  </w:r>
                  <w:r>
                    <w:rPr>
                      <w:rFonts w:hint="default" w:ascii="Times New Roman" w:hAnsi="Times New Roman" w:eastAsia="宋体" w:cs="Times New Roman"/>
                      <w:b w:val="0"/>
                      <w:bCs/>
                      <w:color w:val="auto"/>
                      <w:lang w:eastAsia="zh-CN"/>
                    </w:rPr>
                    <w:t>泄漏</w:t>
                  </w:r>
                  <w:r>
                    <w:rPr>
                      <w:rFonts w:hint="default" w:ascii="Times New Roman" w:hAnsi="Times New Roman" w:eastAsia="宋体" w:cs="Times New Roman"/>
                      <w:b w:val="0"/>
                      <w:bCs/>
                      <w:color w:val="auto"/>
                    </w:rPr>
                    <w:t>。上料期间收尘设备设施已确保同步有效运转</w:t>
                  </w:r>
                </w:p>
              </w:tc>
              <w:tc>
                <w:tcPr>
                  <w:tcW w:w="533" w:type="pct"/>
                  <w:tcBorders>
                    <w:tl2br w:val="nil"/>
                    <w:tr2bl w:val="nil"/>
                  </w:tcBorders>
                  <w:vAlign w:val="center"/>
                </w:tcPr>
                <w:p w14:paraId="451E0E4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7AF31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6" w:type="pct"/>
                  <w:tcBorders>
                    <w:tl2br w:val="nil"/>
                    <w:tr2bl w:val="nil"/>
                  </w:tcBorders>
                  <w:vAlign w:val="center"/>
                </w:tcPr>
                <w:p w14:paraId="7DD336B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w:t>
                  </w:r>
                </w:p>
              </w:tc>
              <w:tc>
                <w:tcPr>
                  <w:tcW w:w="2633" w:type="pct"/>
                  <w:tcBorders>
                    <w:tl2br w:val="nil"/>
                    <w:tr2bl w:val="nil"/>
                  </w:tcBorders>
                  <w:vAlign w:val="center"/>
                </w:tcPr>
                <w:p w14:paraId="2AE806E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6.3.15 运输车辆应安装卫星定位监控系统，按规定路线行驶，严禁超载、超速和使用高音喇叭。6.3.16 混凝土搅拌运输车应配备防混凝土滴漏、遗撒装置。行驶过程必须使用防混凝土滴漏、遗撒装置。</w:t>
                  </w:r>
                </w:p>
              </w:tc>
              <w:tc>
                <w:tcPr>
                  <w:tcW w:w="1415" w:type="pct"/>
                  <w:tcBorders>
                    <w:tl2br w:val="nil"/>
                    <w:tr2bl w:val="nil"/>
                  </w:tcBorders>
                  <w:vAlign w:val="center"/>
                </w:tcPr>
                <w:p w14:paraId="225D3A0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本项目运输车辆具备检验合格标志，并安装卫星定位监控系统以及防混凝土滴漏、遗撒装置。</w:t>
                  </w:r>
                </w:p>
              </w:tc>
              <w:tc>
                <w:tcPr>
                  <w:tcW w:w="533" w:type="pct"/>
                  <w:tcBorders>
                    <w:tl2br w:val="nil"/>
                    <w:tr2bl w:val="nil"/>
                  </w:tcBorders>
                  <w:vAlign w:val="center"/>
                </w:tcPr>
                <w:p w14:paraId="6D874F1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bl>
          <w:p w14:paraId="43A4F559">
            <w:pPr>
              <w:ind w:firstLine="482"/>
              <w:rPr>
                <w:rFonts w:hint="default" w:ascii="Times New Roman" w:hAnsi="Times New Roman" w:eastAsia="宋体" w:cs="Times New Roman"/>
                <w:b/>
                <w:color w:val="auto"/>
              </w:rPr>
            </w:pPr>
            <w:r>
              <w:rPr>
                <w:rFonts w:hint="default" w:ascii="Times New Roman" w:hAnsi="Times New Roman" w:eastAsia="宋体" w:cs="Times New Roman"/>
                <w:b/>
                <w:color w:val="auto"/>
              </w:rPr>
              <w:t>（</w:t>
            </w:r>
            <w:r>
              <w:rPr>
                <w:rFonts w:hint="default" w:ascii="Times New Roman" w:hAnsi="Times New Roman" w:eastAsia="宋体" w:cs="Times New Roman"/>
                <w:b/>
                <w:color w:val="auto"/>
                <w:lang w:val="en-US" w:eastAsia="zh-CN"/>
              </w:rPr>
              <w:t>8</w:t>
            </w:r>
            <w:r>
              <w:rPr>
                <w:rFonts w:hint="default" w:ascii="Times New Roman" w:hAnsi="Times New Roman" w:eastAsia="宋体" w:cs="Times New Roman"/>
                <w:b/>
                <w:color w:val="auto"/>
              </w:rPr>
              <w:t>）与《关于“十四五”大宗固废废弃物综合利用的指导意见》（发改环资〔2021〕381号）符合性分析</w:t>
            </w:r>
          </w:p>
          <w:p w14:paraId="2A653106">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表1-1</w:t>
            </w:r>
            <w:r>
              <w:rPr>
                <w:rFonts w:hint="default" w:ascii="Times New Roman" w:hAnsi="Times New Roman" w:eastAsia="宋体" w:cs="Times New Roman"/>
                <w:b/>
                <w:color w:val="auto"/>
                <w:sz w:val="21"/>
                <w:szCs w:val="21"/>
                <w:lang w:val="en-US" w:eastAsia="zh-CN"/>
              </w:rPr>
              <w:t>0</w:t>
            </w:r>
            <w:r>
              <w:rPr>
                <w:rFonts w:hint="default" w:ascii="Times New Roman" w:hAnsi="Times New Roman" w:eastAsia="宋体" w:cs="Times New Roman"/>
                <w:b/>
                <w:color w:val="auto"/>
                <w:sz w:val="21"/>
                <w:szCs w:val="21"/>
              </w:rPr>
              <w:t xml:space="preserve">  与（发改环资〔2021〕381号）文件符合性分析</w:t>
            </w:r>
          </w:p>
          <w:tbl>
            <w:tblPr>
              <w:tblStyle w:val="34"/>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4699"/>
              <w:gridCol w:w="2522"/>
              <w:gridCol w:w="948"/>
            </w:tblGrid>
            <w:tr w14:paraId="7442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2" w:type="pct"/>
                  <w:tcBorders>
                    <w:tl2br w:val="nil"/>
                    <w:tr2bl w:val="nil"/>
                  </w:tcBorders>
                  <w:vAlign w:val="center"/>
                </w:tcPr>
                <w:p w14:paraId="071676EB">
                  <w:pPr>
                    <w:pStyle w:val="62"/>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2638" w:type="pct"/>
                  <w:tcBorders>
                    <w:tl2br w:val="nil"/>
                    <w:tr2bl w:val="nil"/>
                  </w:tcBorders>
                  <w:vAlign w:val="center"/>
                </w:tcPr>
                <w:p w14:paraId="03DCD0A5">
                  <w:pPr>
                    <w:pStyle w:val="62"/>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文件要求</w:t>
                  </w:r>
                </w:p>
              </w:tc>
              <w:tc>
                <w:tcPr>
                  <w:tcW w:w="1416" w:type="pct"/>
                  <w:tcBorders>
                    <w:tl2br w:val="nil"/>
                    <w:tr2bl w:val="nil"/>
                  </w:tcBorders>
                  <w:vAlign w:val="center"/>
                </w:tcPr>
                <w:p w14:paraId="493CF10E">
                  <w:pPr>
                    <w:pStyle w:val="62"/>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本项目情况</w:t>
                  </w:r>
                </w:p>
              </w:tc>
              <w:tc>
                <w:tcPr>
                  <w:tcW w:w="532" w:type="pct"/>
                  <w:tcBorders>
                    <w:tl2br w:val="nil"/>
                    <w:tr2bl w:val="nil"/>
                  </w:tcBorders>
                  <w:vAlign w:val="center"/>
                </w:tcPr>
                <w:p w14:paraId="41F878E2">
                  <w:pPr>
                    <w:pStyle w:val="62"/>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符合性</w:t>
                  </w:r>
                </w:p>
              </w:tc>
            </w:tr>
            <w:tr w14:paraId="51B0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2" w:type="pct"/>
                  <w:tcBorders>
                    <w:tl2br w:val="nil"/>
                    <w:tr2bl w:val="nil"/>
                  </w:tcBorders>
                  <w:vAlign w:val="center"/>
                </w:tcPr>
                <w:p w14:paraId="552C2772">
                  <w:pPr>
                    <w:pStyle w:val="62"/>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val="en-US" w:eastAsia="zh-CN"/>
                    </w:rPr>
                    <w:t>1</w:t>
                  </w:r>
                </w:p>
              </w:tc>
              <w:tc>
                <w:tcPr>
                  <w:tcW w:w="2638" w:type="pct"/>
                  <w:tcBorders>
                    <w:tl2br w:val="nil"/>
                    <w:tr2bl w:val="nil"/>
                  </w:tcBorders>
                  <w:vAlign w:val="center"/>
                </w:tcPr>
                <w:p w14:paraId="19F21263">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十）建筑垃圾。加强建筑垃圾分类处理和回收利用，规范建筑垃圾堆存、中转和资源化利用场所建设和运营，推动建筑垃圾综合利用产品应用。鼓励建筑垃圾再生骨料及制品在建筑工程和道路工程中的应用，以及将建筑垃圾用于土方平衡、林业用土、环境治理、烧结制品及回填等，不断提高利用质量、扩大资源化利用规模。</w:t>
                  </w:r>
                </w:p>
              </w:tc>
              <w:tc>
                <w:tcPr>
                  <w:tcW w:w="1416" w:type="pct"/>
                  <w:tcBorders>
                    <w:tl2br w:val="nil"/>
                    <w:tr2bl w:val="nil"/>
                  </w:tcBorders>
                  <w:vAlign w:val="center"/>
                </w:tcPr>
                <w:p w14:paraId="76B82EDC">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本项目建筑垃圾设置仓库进行贮存，建筑垃圾先破碎筛分制成骨料，再用于水稳料</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RDF燃料</w:t>
                  </w:r>
                  <w:r>
                    <w:rPr>
                      <w:rFonts w:hint="default" w:ascii="Times New Roman" w:hAnsi="Times New Roman" w:eastAsia="宋体" w:cs="Times New Roman"/>
                      <w:b w:val="0"/>
                      <w:bCs/>
                      <w:color w:val="auto"/>
                      <w:sz w:val="21"/>
                      <w:szCs w:val="21"/>
                    </w:rPr>
                    <w:t>资源化利用</w:t>
                  </w:r>
                </w:p>
              </w:tc>
              <w:tc>
                <w:tcPr>
                  <w:tcW w:w="532" w:type="pct"/>
                  <w:tcBorders>
                    <w:tl2br w:val="nil"/>
                    <w:tr2bl w:val="nil"/>
                  </w:tcBorders>
                  <w:vAlign w:val="center"/>
                </w:tcPr>
                <w:p w14:paraId="12EAB864">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符合</w:t>
                  </w:r>
                </w:p>
              </w:tc>
            </w:tr>
            <w:tr w14:paraId="091A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2" w:type="pct"/>
                  <w:tcBorders>
                    <w:tl2br w:val="nil"/>
                    <w:tr2bl w:val="nil"/>
                  </w:tcBorders>
                  <w:vAlign w:val="center"/>
                </w:tcPr>
                <w:p w14:paraId="00338F06">
                  <w:pPr>
                    <w:pStyle w:val="62"/>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val="en-US" w:eastAsia="zh-CN"/>
                    </w:rPr>
                    <w:t>2</w:t>
                  </w:r>
                </w:p>
              </w:tc>
              <w:tc>
                <w:tcPr>
                  <w:tcW w:w="2638" w:type="pct"/>
                  <w:tcBorders>
                    <w:tl2br w:val="nil"/>
                    <w:tr2bl w:val="nil"/>
                  </w:tcBorders>
                  <w:vAlign w:val="center"/>
                </w:tcPr>
                <w:p w14:paraId="55028E01">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十三）推动利废行业绿色生产，强化过程控制。持续提升利废企业技术装备水平，加大小散乱污企业整治力度。强化大宗固废综合利用全流程管理，严格落实全过程环境污染防治责任。推行大宗固废绿色运输，鼓励使用专用运输设备和车辆，加强大宗固废运输过程管理。鼓励利废企业开展清洁生产审核，严格执行污染物排放标准，完善环境保护措施，防止二次污染。</w:t>
                  </w:r>
                </w:p>
              </w:tc>
              <w:tc>
                <w:tcPr>
                  <w:tcW w:w="1416" w:type="pct"/>
                  <w:tcBorders>
                    <w:tl2br w:val="nil"/>
                    <w:tr2bl w:val="nil"/>
                  </w:tcBorders>
                  <w:vAlign w:val="center"/>
                </w:tcPr>
                <w:p w14:paraId="5E0E9860">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本项目建筑垃圾采用专用密闭车辆运输，项目无生产废水外排，各产尘点采用布袋除尘/干雾抑尘，选用低噪声设备，厂房隔声、基础减震等措施进行降噪，项目各项目污染物可达标排放</w:t>
                  </w:r>
                </w:p>
              </w:tc>
              <w:tc>
                <w:tcPr>
                  <w:tcW w:w="532" w:type="pct"/>
                  <w:tcBorders>
                    <w:tl2br w:val="nil"/>
                    <w:tr2bl w:val="nil"/>
                  </w:tcBorders>
                  <w:vAlign w:val="center"/>
                </w:tcPr>
                <w:p w14:paraId="70F88532">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符合</w:t>
                  </w:r>
                </w:p>
              </w:tc>
            </w:tr>
          </w:tbl>
          <w:p w14:paraId="5D334F62">
            <w:pPr>
              <w:ind w:firstLine="482"/>
              <w:rPr>
                <w:rFonts w:hint="default" w:ascii="Times New Roman" w:hAnsi="Times New Roman" w:eastAsia="宋体" w:cs="Times New Roman"/>
                <w:b/>
                <w:color w:val="auto"/>
              </w:rPr>
            </w:pPr>
            <w:r>
              <w:rPr>
                <w:rFonts w:hint="default" w:ascii="Times New Roman" w:hAnsi="Times New Roman" w:eastAsia="宋体" w:cs="Times New Roman"/>
                <w:b/>
                <w:color w:val="auto"/>
              </w:rPr>
              <w:t>（</w:t>
            </w:r>
            <w:r>
              <w:rPr>
                <w:rFonts w:hint="default" w:ascii="Times New Roman" w:hAnsi="Times New Roman" w:eastAsia="宋体" w:cs="Times New Roman"/>
                <w:b/>
                <w:color w:val="auto"/>
                <w:lang w:val="en-US" w:eastAsia="zh-CN"/>
              </w:rPr>
              <w:t>9</w:t>
            </w:r>
            <w:r>
              <w:rPr>
                <w:rFonts w:hint="default" w:ascii="Times New Roman" w:hAnsi="Times New Roman" w:eastAsia="宋体" w:cs="Times New Roman"/>
                <w:b/>
                <w:color w:val="auto"/>
              </w:rPr>
              <w:t>）与《固体废物再生利用污染防治技术导则》（HJ1091-2020）符合性分析</w:t>
            </w:r>
          </w:p>
          <w:p w14:paraId="1479589E">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表1-1</w:t>
            </w:r>
            <w:r>
              <w:rPr>
                <w:rFonts w:hint="default" w:ascii="Times New Roman" w:hAnsi="Times New Roman" w:eastAsia="宋体" w:cs="Times New Roman"/>
                <w:b/>
                <w:color w:val="auto"/>
                <w:sz w:val="21"/>
                <w:szCs w:val="21"/>
                <w:lang w:val="en-US" w:eastAsia="zh-CN"/>
              </w:rPr>
              <w:t>1</w:t>
            </w:r>
            <w:r>
              <w:rPr>
                <w:rFonts w:hint="default" w:ascii="Times New Roman" w:hAnsi="Times New Roman" w:eastAsia="宋体" w:cs="Times New Roman"/>
                <w:b/>
                <w:color w:val="auto"/>
                <w:sz w:val="21"/>
                <w:szCs w:val="21"/>
              </w:rPr>
              <w:t xml:space="preserve">  与（HJ1091-2020）文件符合性分析</w:t>
            </w:r>
          </w:p>
          <w:tbl>
            <w:tblPr>
              <w:tblStyle w:val="34"/>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4697"/>
              <w:gridCol w:w="2522"/>
              <w:gridCol w:w="948"/>
            </w:tblGrid>
            <w:tr w14:paraId="6C1CE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0E496790">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序号</w:t>
                  </w:r>
                </w:p>
              </w:tc>
              <w:tc>
                <w:tcPr>
                  <w:tcW w:w="2637" w:type="pct"/>
                  <w:tcBorders>
                    <w:tl2br w:val="nil"/>
                    <w:tr2bl w:val="nil"/>
                  </w:tcBorders>
                  <w:vAlign w:val="center"/>
                </w:tcPr>
                <w:p w14:paraId="3116C1B3">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文件要求</w:t>
                  </w:r>
                </w:p>
              </w:tc>
              <w:tc>
                <w:tcPr>
                  <w:tcW w:w="1416" w:type="pct"/>
                  <w:tcBorders>
                    <w:tl2br w:val="nil"/>
                    <w:tr2bl w:val="nil"/>
                  </w:tcBorders>
                  <w:vAlign w:val="center"/>
                </w:tcPr>
                <w:p w14:paraId="5111C751">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本项目情况</w:t>
                  </w:r>
                </w:p>
              </w:tc>
              <w:tc>
                <w:tcPr>
                  <w:tcW w:w="532" w:type="pct"/>
                  <w:tcBorders>
                    <w:tl2br w:val="nil"/>
                    <w:tr2bl w:val="nil"/>
                  </w:tcBorders>
                  <w:vAlign w:val="center"/>
                </w:tcPr>
                <w:p w14:paraId="32185FB8">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符合性</w:t>
                  </w:r>
                </w:p>
              </w:tc>
            </w:tr>
            <w:tr w14:paraId="0934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2B12F60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w:t>
                  </w:r>
                </w:p>
              </w:tc>
              <w:tc>
                <w:tcPr>
                  <w:tcW w:w="2637" w:type="pct"/>
                  <w:tcBorders>
                    <w:tl2br w:val="nil"/>
                    <w:tr2bl w:val="nil"/>
                  </w:tcBorders>
                  <w:vAlign w:val="center"/>
                </w:tcPr>
                <w:p w14:paraId="1175D48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5.1.1 进行再生利用作业前，应明确固体废物的理化特性，并采取相应的安全防护措施，以防止固体废物在清洗、破碎、中和反应等过程中引起有毒有害物质的释放。</w:t>
                  </w:r>
                </w:p>
              </w:tc>
              <w:tc>
                <w:tcPr>
                  <w:tcW w:w="1416" w:type="pct"/>
                  <w:tcBorders>
                    <w:tl2br w:val="nil"/>
                    <w:tr2bl w:val="nil"/>
                  </w:tcBorders>
                  <w:vAlign w:val="center"/>
                </w:tcPr>
                <w:p w14:paraId="7067BC7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本项目使用的固废均符合相应规范及标准要求，不涉及有害物质排放，</w:t>
                  </w:r>
                  <w:r>
                    <w:rPr>
                      <w:rFonts w:hint="default" w:ascii="Times New Roman" w:hAnsi="Times New Roman" w:eastAsia="宋体" w:cs="Times New Roman"/>
                      <w:b w:val="0"/>
                      <w:bCs/>
                      <w:color w:val="auto"/>
                      <w:lang w:val="en-US" w:eastAsia="zh-CN"/>
                    </w:rPr>
                    <w:t>生产</w:t>
                  </w:r>
                  <w:r>
                    <w:rPr>
                      <w:rFonts w:hint="default" w:ascii="Times New Roman" w:hAnsi="Times New Roman" w:eastAsia="宋体" w:cs="Times New Roman"/>
                      <w:b w:val="0"/>
                      <w:bCs/>
                      <w:color w:val="auto"/>
                    </w:rPr>
                    <w:t>过程的主要污染物为颗粒物，不涉及清洗和中和反应</w:t>
                  </w:r>
                </w:p>
              </w:tc>
              <w:tc>
                <w:tcPr>
                  <w:tcW w:w="532" w:type="pct"/>
                  <w:tcBorders>
                    <w:tl2br w:val="nil"/>
                    <w:tr2bl w:val="nil"/>
                  </w:tcBorders>
                  <w:vAlign w:val="center"/>
                </w:tcPr>
                <w:p w14:paraId="56B56D7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6124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4DAA128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w:t>
                  </w:r>
                </w:p>
              </w:tc>
              <w:tc>
                <w:tcPr>
                  <w:tcW w:w="2637" w:type="pct"/>
                  <w:tcBorders>
                    <w:tl2br w:val="nil"/>
                    <w:tr2bl w:val="nil"/>
                  </w:tcBorders>
                  <w:vAlign w:val="center"/>
                </w:tcPr>
                <w:p w14:paraId="10957D9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5.1.2具有物理化学危险特性的固体废物，应首先进行稳定化处理。</w:t>
                  </w:r>
                </w:p>
              </w:tc>
              <w:tc>
                <w:tcPr>
                  <w:tcW w:w="1416" w:type="pct"/>
                  <w:tcBorders>
                    <w:tl2br w:val="nil"/>
                    <w:tr2bl w:val="nil"/>
                  </w:tcBorders>
                  <w:vAlign w:val="center"/>
                </w:tcPr>
                <w:p w14:paraId="5200CF31">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本项目使用的</w:t>
                  </w:r>
                  <w:r>
                    <w:rPr>
                      <w:rFonts w:hint="default" w:ascii="Times New Roman" w:hAnsi="Times New Roman" w:eastAsia="宋体" w:cs="Times New Roman"/>
                      <w:b w:val="0"/>
                      <w:bCs/>
                      <w:color w:val="auto"/>
                      <w:lang w:val="en-US" w:eastAsia="zh-CN"/>
                    </w:rPr>
                    <w:t>原料为</w:t>
                  </w:r>
                  <w:r>
                    <w:rPr>
                      <w:rFonts w:hint="default" w:ascii="Times New Roman" w:hAnsi="Times New Roman" w:eastAsia="宋体" w:cs="Times New Roman"/>
                      <w:b w:val="0"/>
                      <w:bCs/>
                      <w:color w:val="auto"/>
                    </w:rPr>
                    <w:t>建筑垃圾</w:t>
                  </w:r>
                  <w:r>
                    <w:rPr>
                      <w:rFonts w:hint="default" w:ascii="Times New Roman" w:hAnsi="Times New Roman" w:eastAsia="宋体" w:cs="Times New Roman"/>
                      <w:color w:val="auto"/>
                      <w:lang w:eastAsia="zh-CN"/>
                    </w:rPr>
                    <w:t>，</w:t>
                  </w:r>
                  <w:r>
                    <w:rPr>
                      <w:rFonts w:hint="default" w:ascii="Times New Roman" w:hAnsi="Times New Roman" w:eastAsia="宋体" w:cs="Times New Roman"/>
                      <w:b w:val="0"/>
                      <w:bCs/>
                      <w:color w:val="auto"/>
                      <w:lang w:val="en-US" w:eastAsia="zh-CN"/>
                    </w:rPr>
                    <w:t>不属于</w:t>
                  </w:r>
                  <w:r>
                    <w:rPr>
                      <w:rFonts w:hint="default" w:ascii="Times New Roman" w:hAnsi="Times New Roman" w:eastAsia="宋体" w:cs="Times New Roman"/>
                      <w:b w:val="0"/>
                      <w:bCs/>
                      <w:color w:val="auto"/>
                    </w:rPr>
                    <w:t>具有物理化学危险特性的固体废物</w:t>
                  </w:r>
                </w:p>
              </w:tc>
              <w:tc>
                <w:tcPr>
                  <w:tcW w:w="532" w:type="pct"/>
                  <w:tcBorders>
                    <w:tl2br w:val="nil"/>
                    <w:tr2bl w:val="nil"/>
                  </w:tcBorders>
                  <w:vAlign w:val="center"/>
                </w:tcPr>
                <w:p w14:paraId="04197ED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73A5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5BB26B5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w:t>
                  </w:r>
                </w:p>
              </w:tc>
              <w:tc>
                <w:tcPr>
                  <w:tcW w:w="2637" w:type="pct"/>
                  <w:tcBorders>
                    <w:tl2br w:val="nil"/>
                    <w:tr2bl w:val="nil"/>
                  </w:tcBorders>
                  <w:vAlign w:val="center"/>
                </w:tcPr>
                <w:p w14:paraId="66CDF9C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5.1.3 应根据固体废物的特性设置必要的防扬撒、防渗漏、防腐蚀设施，配备废气处理、废水处理、噪声控制等污染防治设施，按要求对主要环境影响指标进行在线监测。</w:t>
                  </w:r>
                </w:p>
              </w:tc>
              <w:tc>
                <w:tcPr>
                  <w:tcW w:w="1416" w:type="pct"/>
                  <w:tcBorders>
                    <w:tl2br w:val="nil"/>
                    <w:tr2bl w:val="nil"/>
                  </w:tcBorders>
                  <w:vAlign w:val="center"/>
                </w:tcPr>
                <w:p w14:paraId="06F3E7B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本项目使用的建筑垃圾建设密闭仓库进行储存，采取防雨、防渗等措施，并采取干雾抑尘装置抑尘，本环评设置了相应的污染监测计划</w:t>
                  </w:r>
                </w:p>
              </w:tc>
              <w:tc>
                <w:tcPr>
                  <w:tcW w:w="532" w:type="pct"/>
                  <w:tcBorders>
                    <w:tl2br w:val="nil"/>
                    <w:tr2bl w:val="nil"/>
                  </w:tcBorders>
                  <w:vAlign w:val="center"/>
                </w:tcPr>
                <w:p w14:paraId="560E0A1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2E1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3B8275F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w:t>
                  </w:r>
                </w:p>
              </w:tc>
              <w:tc>
                <w:tcPr>
                  <w:tcW w:w="2637" w:type="pct"/>
                  <w:tcBorders>
                    <w:tl2br w:val="nil"/>
                    <w:tr2bl w:val="nil"/>
                  </w:tcBorders>
                  <w:vAlign w:val="center"/>
                </w:tcPr>
                <w:p w14:paraId="16F39CF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5.1.4产生粉尘和有毒有害气体的作业区应采取除尘和有毒有害气体收集措施。扬尘点应设置吸尘罩和收尘设备，有毒有害气体逸散区应设置吸附(吸收)转化装置，保证作业区粉尘、有害气体浓度满足GBZ2.1的要求。</w:t>
                  </w:r>
                </w:p>
              </w:tc>
              <w:tc>
                <w:tcPr>
                  <w:tcW w:w="1416" w:type="pct"/>
                  <w:tcBorders>
                    <w:tl2br w:val="nil"/>
                    <w:tr2bl w:val="nil"/>
                  </w:tcBorders>
                  <w:vAlign w:val="center"/>
                </w:tcPr>
                <w:p w14:paraId="1AD926E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本项目产生的废气主要为粉尘，破碎筛分、投料、搅拌废气采取布袋除尘器处理，装卸等粉尘采取干雾抑尘方式处理，无有毒有害气体产生</w:t>
                  </w:r>
                </w:p>
              </w:tc>
              <w:tc>
                <w:tcPr>
                  <w:tcW w:w="532" w:type="pct"/>
                  <w:tcBorders>
                    <w:tl2br w:val="nil"/>
                    <w:tr2bl w:val="nil"/>
                  </w:tcBorders>
                  <w:vAlign w:val="center"/>
                </w:tcPr>
                <w:p w14:paraId="17B5C20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297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13A4606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w:t>
                  </w:r>
                </w:p>
              </w:tc>
              <w:tc>
                <w:tcPr>
                  <w:tcW w:w="2637" w:type="pct"/>
                  <w:tcBorders>
                    <w:tl2br w:val="nil"/>
                    <w:tr2bl w:val="nil"/>
                  </w:tcBorders>
                  <w:vAlign w:val="center"/>
                </w:tcPr>
                <w:p w14:paraId="241363E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5.1.5 应采取大气污染控制措施,大气污染物排放应满足特定行业排放(控制)标准的要求。没有特定行业污染排放(控制)标准的，应满足GB16297的要求，特征污染物排放(控制)应满足环境影响评价要求。</w:t>
                  </w:r>
                </w:p>
              </w:tc>
              <w:tc>
                <w:tcPr>
                  <w:tcW w:w="1416" w:type="pct"/>
                  <w:tcBorders>
                    <w:tl2br w:val="nil"/>
                    <w:tr2bl w:val="nil"/>
                  </w:tcBorders>
                  <w:vAlign w:val="center"/>
                </w:tcPr>
                <w:p w14:paraId="16ED556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项目废气排放满足</w:t>
                  </w:r>
                  <w:r>
                    <w:rPr>
                      <w:rFonts w:hint="default" w:ascii="Times New Roman" w:hAnsi="Times New Roman" w:eastAsia="宋体" w:cs="Times New Roman"/>
                      <w:b w:val="0"/>
                      <w:bCs/>
                      <w:color w:val="auto"/>
                      <w:lang w:val="en-US" w:eastAsia="zh-CN"/>
                    </w:rPr>
                    <w:t>GB16297-1996</w:t>
                  </w:r>
                  <w:r>
                    <w:rPr>
                      <w:rFonts w:hint="default" w:ascii="Times New Roman" w:hAnsi="Times New Roman" w:eastAsia="宋体" w:cs="Times New Roman"/>
                      <w:b w:val="0"/>
                      <w:bCs/>
                      <w:color w:val="auto"/>
                    </w:rPr>
                    <w:t>和DB34/3576中限值要求</w:t>
                  </w:r>
                </w:p>
              </w:tc>
              <w:tc>
                <w:tcPr>
                  <w:tcW w:w="532" w:type="pct"/>
                  <w:tcBorders>
                    <w:tl2br w:val="nil"/>
                    <w:tr2bl w:val="nil"/>
                  </w:tcBorders>
                  <w:vAlign w:val="center"/>
                </w:tcPr>
                <w:p w14:paraId="29F18C1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741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6D1E8A39">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lang w:val="en-US" w:eastAsia="zh-CN"/>
                    </w:rPr>
                    <w:t>6</w:t>
                  </w:r>
                </w:p>
              </w:tc>
              <w:tc>
                <w:tcPr>
                  <w:tcW w:w="2637" w:type="pct"/>
                  <w:tcBorders>
                    <w:tl2br w:val="nil"/>
                    <w:tr2bl w:val="nil"/>
                  </w:tcBorders>
                  <w:vAlign w:val="center"/>
                </w:tcPr>
                <w:p w14:paraId="47A99EA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5.1.8应防止噪声污染。设备运转时厂界噪声应符合GB12348的要求，作业车间噪声应符合GBZ2.2的要求。</w:t>
                  </w:r>
                </w:p>
              </w:tc>
              <w:tc>
                <w:tcPr>
                  <w:tcW w:w="1416" w:type="pct"/>
                  <w:tcBorders>
                    <w:tl2br w:val="nil"/>
                    <w:tr2bl w:val="nil"/>
                  </w:tcBorders>
                  <w:vAlign w:val="center"/>
                </w:tcPr>
                <w:p w14:paraId="513910F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本项目选用低噪声设备、采取隔声、基础减震等方式进行降噪，厂界噪声可满足GB12348中2类标准限值要求</w:t>
                  </w:r>
                </w:p>
              </w:tc>
              <w:tc>
                <w:tcPr>
                  <w:tcW w:w="532" w:type="pct"/>
                  <w:tcBorders>
                    <w:tl2br w:val="nil"/>
                    <w:tr2bl w:val="nil"/>
                  </w:tcBorders>
                  <w:vAlign w:val="center"/>
                </w:tcPr>
                <w:p w14:paraId="154C9D7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3C3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67F8B003">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lang w:val="en-US" w:eastAsia="zh-CN"/>
                    </w:rPr>
                    <w:t>7</w:t>
                  </w:r>
                </w:p>
              </w:tc>
              <w:tc>
                <w:tcPr>
                  <w:tcW w:w="2637" w:type="pct"/>
                  <w:tcBorders>
                    <w:tl2br w:val="nil"/>
                    <w:tr2bl w:val="nil"/>
                  </w:tcBorders>
                  <w:vAlign w:val="center"/>
                </w:tcPr>
                <w:p w14:paraId="4A8553D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5.1.9产生的污泥、底渣、废油类等固体废物应按照其管理属性分别处置。不能自行综合利用或处置的，应交给有相应资质和处理能力的企业进行综合利用或处置。</w:t>
                  </w:r>
                </w:p>
              </w:tc>
              <w:tc>
                <w:tcPr>
                  <w:tcW w:w="1416" w:type="pct"/>
                  <w:tcBorders>
                    <w:tl2br w:val="nil"/>
                    <w:tr2bl w:val="nil"/>
                  </w:tcBorders>
                  <w:vAlign w:val="center"/>
                </w:tcPr>
                <w:p w14:paraId="77EEE08E">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本项目产生的固废主要为除尘灰和沉淀池沉渣，均自行利用，全部回用于生产，分选过程产生的废金属、废塑料等固废外售综合利用</w:t>
                  </w:r>
                  <w:r>
                    <w:rPr>
                      <w:rFonts w:hint="default" w:ascii="Times New Roman" w:hAnsi="Times New Roman" w:eastAsia="宋体" w:cs="Times New Roman"/>
                      <w:b w:val="0"/>
                      <w:bCs/>
                      <w:color w:val="auto"/>
                      <w:lang w:eastAsia="zh-CN"/>
                    </w:rPr>
                    <w:t>，</w:t>
                  </w:r>
                  <w:r>
                    <w:rPr>
                      <w:rFonts w:hint="default" w:ascii="Times New Roman" w:hAnsi="Times New Roman" w:eastAsia="宋体" w:cs="Times New Roman"/>
                      <w:b w:val="0"/>
                      <w:bCs/>
                      <w:color w:val="auto"/>
                    </w:rPr>
                    <w:t>废木材</w:t>
                  </w:r>
                  <w:r>
                    <w:rPr>
                      <w:rFonts w:hint="default" w:ascii="Times New Roman" w:hAnsi="Times New Roman" w:eastAsia="宋体" w:cs="Times New Roman"/>
                      <w:b w:val="0"/>
                      <w:bCs/>
                      <w:color w:val="auto"/>
                      <w:lang w:val="en-US" w:eastAsia="zh-CN"/>
                    </w:rPr>
                    <w:t>用于RDF燃料制造</w:t>
                  </w:r>
                </w:p>
              </w:tc>
              <w:tc>
                <w:tcPr>
                  <w:tcW w:w="532" w:type="pct"/>
                  <w:tcBorders>
                    <w:tl2br w:val="nil"/>
                    <w:tr2bl w:val="nil"/>
                  </w:tcBorders>
                  <w:vAlign w:val="center"/>
                </w:tcPr>
                <w:p w14:paraId="2229AC4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5BDF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3" w:type="pct"/>
                  <w:tcBorders>
                    <w:tl2br w:val="nil"/>
                    <w:tr2bl w:val="nil"/>
                  </w:tcBorders>
                  <w:vAlign w:val="center"/>
                </w:tcPr>
                <w:p w14:paraId="63A31DC9">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lang w:val="en-US" w:eastAsia="zh-CN"/>
                    </w:rPr>
                    <w:t>8</w:t>
                  </w:r>
                </w:p>
              </w:tc>
              <w:tc>
                <w:tcPr>
                  <w:tcW w:w="2637" w:type="pct"/>
                  <w:tcBorders>
                    <w:tl2br w:val="nil"/>
                    <w:tr2bl w:val="nil"/>
                  </w:tcBorders>
                  <w:vAlign w:val="center"/>
                </w:tcPr>
                <w:p w14:paraId="03BA889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 固体废物建材利用污染防治技术要求</w:t>
                  </w:r>
                </w:p>
                <w:p w14:paraId="26175AF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6.1固体废物建材利用设施应配备必要的废气处理、防止或降低噪声与粉尘处理等污染防治装置</w:t>
                  </w:r>
                </w:p>
                <w:p w14:paraId="690928C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6.3 利用固体废物生产砖瓦、轻骨料、集料、玻璃、陶瓷、陶粒、路基材料等建材过程的污染控制执行相关行业污染物排放标准,相关产品中有害物质含量参照 GB 30760的要求执行。</w:t>
                  </w:r>
                </w:p>
              </w:tc>
              <w:tc>
                <w:tcPr>
                  <w:tcW w:w="1416" w:type="pct"/>
                  <w:tcBorders>
                    <w:tl2br w:val="nil"/>
                    <w:tr2bl w:val="nil"/>
                  </w:tcBorders>
                  <w:vAlign w:val="center"/>
                </w:tcPr>
                <w:p w14:paraId="1F6DD72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本项目选用低噪声设备、采取隔声、基础减震等方式进行降噪，针对产生的粉尘采用布袋除尘和干雾抑尘处理，项目生产废水全部回用不外排</w:t>
                  </w:r>
                </w:p>
              </w:tc>
              <w:tc>
                <w:tcPr>
                  <w:tcW w:w="532" w:type="pct"/>
                  <w:tcBorders>
                    <w:tl2br w:val="nil"/>
                    <w:tr2bl w:val="nil"/>
                  </w:tcBorders>
                  <w:vAlign w:val="center"/>
                </w:tcPr>
                <w:p w14:paraId="53E38E8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bl>
          <w:p w14:paraId="1F2404A2">
            <w:pPr>
              <w:ind w:firstLine="482"/>
              <w:rPr>
                <w:rFonts w:hint="default" w:ascii="Times New Roman" w:hAnsi="Times New Roman" w:eastAsia="宋体" w:cs="Times New Roman"/>
                <w:b/>
                <w:color w:val="auto"/>
              </w:rPr>
            </w:pPr>
            <w:r>
              <w:rPr>
                <w:rFonts w:hint="default" w:ascii="Times New Roman" w:hAnsi="Times New Roman" w:eastAsia="宋体" w:cs="Times New Roman"/>
                <w:b/>
                <w:color w:val="auto"/>
              </w:rPr>
              <w:t>（1</w:t>
            </w:r>
            <w:r>
              <w:rPr>
                <w:rFonts w:hint="default" w:ascii="Times New Roman" w:hAnsi="Times New Roman" w:eastAsia="宋体" w:cs="Times New Roman"/>
                <w:b/>
                <w:color w:val="auto"/>
                <w:lang w:val="en-US" w:eastAsia="zh-CN"/>
              </w:rPr>
              <w:t>0</w:t>
            </w:r>
            <w:r>
              <w:rPr>
                <w:rFonts w:hint="default" w:ascii="Times New Roman" w:hAnsi="Times New Roman" w:eastAsia="宋体" w:cs="Times New Roman"/>
                <w:b/>
                <w:color w:val="auto"/>
              </w:rPr>
              <w:t>）与《中华人民共和国固体废物污染环境防治法》（2020年4月29日修订）符合性分析</w:t>
            </w:r>
          </w:p>
          <w:p w14:paraId="43D28388">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表1-1</w:t>
            </w:r>
            <w:r>
              <w:rPr>
                <w:rFonts w:hint="default" w:ascii="Times New Roman" w:hAnsi="Times New Roman" w:eastAsia="宋体" w:cs="Times New Roman"/>
                <w:b/>
                <w:color w:val="auto"/>
                <w:sz w:val="21"/>
                <w:szCs w:val="21"/>
                <w:lang w:val="en-US" w:eastAsia="zh-CN"/>
              </w:rPr>
              <w:t>2</w:t>
            </w:r>
            <w:r>
              <w:rPr>
                <w:rFonts w:hint="default" w:ascii="Times New Roman" w:hAnsi="Times New Roman" w:eastAsia="宋体" w:cs="Times New Roman"/>
                <w:b/>
                <w:color w:val="auto"/>
                <w:sz w:val="21"/>
                <w:szCs w:val="21"/>
              </w:rPr>
              <w:t xml:space="preserve">  与《中华人民共和国固体废物污染环境防治法》符合性分析</w:t>
            </w:r>
          </w:p>
          <w:tbl>
            <w:tblPr>
              <w:tblStyle w:val="34"/>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4765"/>
              <w:gridCol w:w="2522"/>
              <w:gridCol w:w="948"/>
            </w:tblGrid>
            <w:tr w14:paraId="0A55B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7E0CD996">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序号</w:t>
                  </w:r>
                </w:p>
              </w:tc>
              <w:tc>
                <w:tcPr>
                  <w:tcW w:w="2675" w:type="pct"/>
                  <w:tcBorders>
                    <w:tl2br w:val="nil"/>
                    <w:tr2bl w:val="nil"/>
                  </w:tcBorders>
                  <w:vAlign w:val="center"/>
                </w:tcPr>
                <w:p w14:paraId="4E043FE2">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文件要求</w:t>
                  </w:r>
                </w:p>
              </w:tc>
              <w:tc>
                <w:tcPr>
                  <w:tcW w:w="1416" w:type="pct"/>
                  <w:tcBorders>
                    <w:tl2br w:val="nil"/>
                    <w:tr2bl w:val="nil"/>
                  </w:tcBorders>
                  <w:vAlign w:val="center"/>
                </w:tcPr>
                <w:p w14:paraId="1413ACA0">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本项目情况</w:t>
                  </w:r>
                </w:p>
              </w:tc>
              <w:tc>
                <w:tcPr>
                  <w:tcW w:w="532" w:type="pct"/>
                  <w:tcBorders>
                    <w:tl2br w:val="nil"/>
                    <w:tr2bl w:val="nil"/>
                  </w:tcBorders>
                  <w:vAlign w:val="center"/>
                </w:tcPr>
                <w:p w14:paraId="51D242B3">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符合性</w:t>
                  </w:r>
                </w:p>
              </w:tc>
            </w:tr>
            <w:tr w14:paraId="7814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16987A2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w:t>
                  </w:r>
                </w:p>
              </w:tc>
              <w:tc>
                <w:tcPr>
                  <w:tcW w:w="2675" w:type="pct"/>
                  <w:tcBorders>
                    <w:tl2br w:val="nil"/>
                    <w:tr2bl w:val="nil"/>
                  </w:tcBorders>
                  <w:vAlign w:val="center"/>
                </w:tcPr>
                <w:p w14:paraId="72934F8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第四条固体废物污染环境防治坚持减量化、资源化和无害化的原则。</w:t>
                  </w:r>
                </w:p>
                <w:p w14:paraId="185F100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任何单位和个人都应当采取措施，减少固体废物的产生量，促进固体废物的综合利用，降低固体废物的危害性。</w:t>
                  </w:r>
                </w:p>
              </w:tc>
              <w:tc>
                <w:tcPr>
                  <w:tcW w:w="1416" w:type="pct"/>
                  <w:tcBorders>
                    <w:tl2br w:val="nil"/>
                    <w:tr2bl w:val="nil"/>
                  </w:tcBorders>
                  <w:vAlign w:val="center"/>
                </w:tcPr>
                <w:p w14:paraId="11F71E6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本项目为一般固废资源化利用项目，项目利用</w:t>
                  </w:r>
                  <w:r>
                    <w:rPr>
                      <w:rFonts w:hint="default" w:ascii="Times New Roman" w:hAnsi="Times New Roman" w:eastAsia="宋体" w:cs="Times New Roman"/>
                      <w:b w:val="0"/>
                      <w:bCs/>
                      <w:color w:val="auto"/>
                      <w:lang w:val="en-US" w:eastAsia="zh-CN"/>
                    </w:rPr>
                    <w:t>建筑垃圾</w:t>
                  </w:r>
                  <w:r>
                    <w:rPr>
                      <w:rFonts w:hint="default" w:ascii="Times New Roman" w:hAnsi="Times New Roman" w:eastAsia="宋体" w:cs="Times New Roman"/>
                      <w:b w:val="0"/>
                      <w:bCs/>
                      <w:color w:val="auto"/>
                    </w:rPr>
                    <w:t>作为原料生产水稳材料和</w:t>
                  </w:r>
                  <w:r>
                    <w:rPr>
                      <w:rFonts w:hint="default" w:ascii="Times New Roman" w:hAnsi="Times New Roman" w:eastAsia="宋体" w:cs="Times New Roman"/>
                      <w:b w:val="0"/>
                      <w:bCs/>
                      <w:color w:val="auto"/>
                      <w:lang w:val="en-US" w:eastAsia="zh-CN"/>
                    </w:rPr>
                    <w:t>RDF燃料</w:t>
                  </w:r>
                  <w:r>
                    <w:rPr>
                      <w:rFonts w:hint="default" w:ascii="Times New Roman" w:hAnsi="Times New Roman" w:eastAsia="宋体" w:cs="Times New Roman"/>
                      <w:b w:val="0"/>
                      <w:bCs/>
                      <w:color w:val="auto"/>
                    </w:rPr>
                    <w:t>。</w:t>
                  </w:r>
                </w:p>
              </w:tc>
              <w:tc>
                <w:tcPr>
                  <w:tcW w:w="532" w:type="pct"/>
                  <w:tcBorders>
                    <w:tl2br w:val="nil"/>
                    <w:tr2bl w:val="nil"/>
                  </w:tcBorders>
                  <w:vAlign w:val="center"/>
                </w:tcPr>
                <w:p w14:paraId="50556BC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41D61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3B0434F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w:t>
                  </w:r>
                </w:p>
              </w:tc>
              <w:tc>
                <w:tcPr>
                  <w:tcW w:w="2675" w:type="pct"/>
                  <w:tcBorders>
                    <w:tl2br w:val="nil"/>
                    <w:tr2bl w:val="nil"/>
                  </w:tcBorders>
                  <w:vAlign w:val="center"/>
                </w:tcPr>
                <w:p w14:paraId="2B7056E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第五条固体废物污染环境防治坚持污染担责的原则。</w:t>
                  </w:r>
                </w:p>
                <w:p w14:paraId="0FC187E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产生、收集、贮存、运输、利用、处置固体废物的单位和个人，应当采取措施，防止或者减少固体废物对环境的污染，对所造成的环境污染依法承担责任。</w:t>
                  </w:r>
                </w:p>
              </w:tc>
              <w:tc>
                <w:tcPr>
                  <w:tcW w:w="1416" w:type="pct"/>
                  <w:tcBorders>
                    <w:tl2br w:val="nil"/>
                    <w:tr2bl w:val="nil"/>
                  </w:tcBorders>
                  <w:vAlign w:val="center"/>
                </w:tcPr>
                <w:p w14:paraId="0E864E3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本项目涉及固废运输、贮存和利用，运输过程采用防扬尘、防渗漏措施，贮存采用密闭库房贮存，并采取相应的防渗措施，利用过程针对各产尘点采取相应除尘措施。</w:t>
                  </w:r>
                </w:p>
              </w:tc>
              <w:tc>
                <w:tcPr>
                  <w:tcW w:w="532" w:type="pct"/>
                  <w:tcBorders>
                    <w:tl2br w:val="nil"/>
                    <w:tr2bl w:val="nil"/>
                  </w:tcBorders>
                  <w:vAlign w:val="center"/>
                </w:tcPr>
                <w:p w14:paraId="5172F2B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61402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4D4E366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w:t>
                  </w:r>
                </w:p>
              </w:tc>
              <w:tc>
                <w:tcPr>
                  <w:tcW w:w="2675" w:type="pct"/>
                  <w:tcBorders>
                    <w:tl2br w:val="nil"/>
                    <w:tr2bl w:val="nil"/>
                  </w:tcBorders>
                  <w:vAlign w:val="center"/>
                </w:tcPr>
                <w:p w14:paraId="4C89B38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第十七条建设产生、贮存、利用、处置固体废物的项目，应当依法进行环境影响评价，并遵守国家有关建设项目环境保护管理的规定。</w:t>
                  </w:r>
                </w:p>
              </w:tc>
              <w:tc>
                <w:tcPr>
                  <w:tcW w:w="1416" w:type="pct"/>
                  <w:tcBorders>
                    <w:tl2br w:val="nil"/>
                    <w:tr2bl w:val="nil"/>
                  </w:tcBorders>
                  <w:vAlign w:val="center"/>
                </w:tcPr>
                <w:p w14:paraId="59BA39E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正在办理环境影响评价手续</w:t>
                  </w:r>
                </w:p>
              </w:tc>
              <w:tc>
                <w:tcPr>
                  <w:tcW w:w="532" w:type="pct"/>
                  <w:tcBorders>
                    <w:tl2br w:val="nil"/>
                    <w:tr2bl w:val="nil"/>
                  </w:tcBorders>
                  <w:vAlign w:val="center"/>
                </w:tcPr>
                <w:p w14:paraId="584B712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2573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74B12CF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w:t>
                  </w:r>
                </w:p>
              </w:tc>
              <w:tc>
                <w:tcPr>
                  <w:tcW w:w="2675" w:type="pct"/>
                  <w:tcBorders>
                    <w:tl2br w:val="nil"/>
                    <w:tr2bl w:val="nil"/>
                  </w:tcBorders>
                  <w:vAlign w:val="center"/>
                </w:tcPr>
                <w:p w14:paraId="4C172FA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第十八条建设项目的环境影响评价文件确定需要配套建设的固体废物污染环境防治设施，应当与主体工程同时设计、同时施工、同时投入使用。建设项目的初步设计，应当按照环境保护设计规范的要求，将固体废物污染环境防治内容纳入环境影响评价文件，落实防治固体废物污染环境和破坏生态的措施以及固体废物污染环境防治设施投资概算。</w:t>
                  </w:r>
                </w:p>
              </w:tc>
              <w:tc>
                <w:tcPr>
                  <w:tcW w:w="1416" w:type="pct"/>
                  <w:tcBorders>
                    <w:tl2br w:val="nil"/>
                    <w:tr2bl w:val="nil"/>
                  </w:tcBorders>
                  <w:vAlign w:val="center"/>
                </w:tcPr>
                <w:p w14:paraId="308C531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本项目严格落实三同时要求，针对项目使用或产生的固废，执行相应的环保措施并落实</w:t>
                  </w:r>
                </w:p>
              </w:tc>
              <w:tc>
                <w:tcPr>
                  <w:tcW w:w="532" w:type="pct"/>
                  <w:tcBorders>
                    <w:tl2br w:val="nil"/>
                    <w:tr2bl w:val="nil"/>
                  </w:tcBorders>
                  <w:vAlign w:val="center"/>
                </w:tcPr>
                <w:p w14:paraId="125D6EE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AB7E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5BAC4FD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w:t>
                  </w:r>
                </w:p>
              </w:tc>
              <w:tc>
                <w:tcPr>
                  <w:tcW w:w="2675" w:type="pct"/>
                  <w:tcBorders>
                    <w:tl2br w:val="nil"/>
                    <w:tr2bl w:val="nil"/>
                  </w:tcBorders>
                  <w:vAlign w:val="center"/>
                </w:tcPr>
                <w:p w14:paraId="7C80E4A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第二十条产生、收集、贮存、运输、利用、处置固体废物的单位和其他生产经营者，应当采取防扬散、防流失、防渗漏或者其他防止污染环境的措施，不得擅自倾倒、堆放、丢弃、遗撒固体废物。</w:t>
                  </w:r>
                </w:p>
              </w:tc>
              <w:tc>
                <w:tcPr>
                  <w:tcW w:w="1416" w:type="pct"/>
                  <w:tcBorders>
                    <w:tl2br w:val="nil"/>
                    <w:tr2bl w:val="nil"/>
                  </w:tcBorders>
                  <w:vAlign w:val="center"/>
                </w:tcPr>
                <w:p w14:paraId="77D158F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本项目固废运输过程采用防扬尘、防渗漏措施，贮存采用密闭库房贮存，并采取相应的防渗措施，不擅自倾倒、遗弃固废</w:t>
                  </w:r>
                </w:p>
              </w:tc>
              <w:tc>
                <w:tcPr>
                  <w:tcW w:w="532" w:type="pct"/>
                  <w:tcBorders>
                    <w:tl2br w:val="nil"/>
                    <w:tr2bl w:val="nil"/>
                  </w:tcBorders>
                  <w:vAlign w:val="center"/>
                </w:tcPr>
                <w:p w14:paraId="354F352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7EBA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3D4FB2D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w:t>
                  </w:r>
                </w:p>
              </w:tc>
              <w:tc>
                <w:tcPr>
                  <w:tcW w:w="2675" w:type="pct"/>
                  <w:tcBorders>
                    <w:tl2br w:val="nil"/>
                    <w:tr2bl w:val="nil"/>
                  </w:tcBorders>
                  <w:vAlign w:val="center"/>
                </w:tcPr>
                <w:p w14:paraId="358DA41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第二十一条在生态保护红线区域、永久基本农田集中区域和其他需要特别保护的区域内，禁止建设工业固体废物、危险废物集中贮存、利用、处置的设施、场所和生活垃圾填埋场。</w:t>
                  </w:r>
                </w:p>
              </w:tc>
              <w:tc>
                <w:tcPr>
                  <w:tcW w:w="1416" w:type="pct"/>
                  <w:tcBorders>
                    <w:tl2br w:val="nil"/>
                    <w:tr2bl w:val="nil"/>
                  </w:tcBorders>
                  <w:vAlign w:val="center"/>
                </w:tcPr>
                <w:p w14:paraId="15DC33F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本项目位于</w:t>
                  </w:r>
                  <w:r>
                    <w:rPr>
                      <w:rFonts w:hint="default" w:ascii="Times New Roman" w:hAnsi="Times New Roman" w:eastAsia="宋体" w:cs="Times New Roman"/>
                      <w:b w:val="0"/>
                      <w:bCs/>
                      <w:color w:val="auto"/>
                      <w:lang w:val="en-US" w:eastAsia="zh-CN"/>
                    </w:rPr>
                    <w:t>池州市东至县尧渡镇</w:t>
                  </w:r>
                  <w:r>
                    <w:rPr>
                      <w:rFonts w:hint="default" w:ascii="Times New Roman" w:hAnsi="Times New Roman" w:eastAsia="宋体" w:cs="Times New Roman"/>
                      <w:b w:val="0"/>
                      <w:bCs/>
                      <w:color w:val="auto"/>
                    </w:rPr>
                    <w:t>，</w:t>
                  </w:r>
                  <w:r>
                    <w:rPr>
                      <w:rFonts w:hint="default" w:ascii="Times New Roman" w:hAnsi="Times New Roman" w:eastAsia="宋体" w:cs="Times New Roman"/>
                      <w:b w:val="0"/>
                      <w:bCs/>
                      <w:color w:val="auto"/>
                      <w:lang w:val="en-US" w:eastAsia="zh-CN"/>
                    </w:rPr>
                    <w:t>项目为建筑垃圾资源化利用项目，</w:t>
                  </w:r>
                  <w:r>
                    <w:rPr>
                      <w:rFonts w:hint="default" w:ascii="Times New Roman" w:hAnsi="Times New Roman" w:eastAsia="宋体" w:cs="Times New Roman"/>
                      <w:b w:val="0"/>
                      <w:bCs/>
                      <w:color w:val="auto"/>
                    </w:rPr>
                    <w:t>用地为</w:t>
                  </w:r>
                  <w:r>
                    <w:rPr>
                      <w:rFonts w:hint="default" w:ascii="Times New Roman" w:hAnsi="Times New Roman" w:eastAsia="宋体" w:cs="Times New Roman"/>
                      <w:b w:val="0"/>
                      <w:bCs/>
                      <w:color w:val="auto"/>
                      <w:lang w:val="en-US" w:eastAsia="zh-CN"/>
                    </w:rPr>
                    <w:t>工业</w:t>
                  </w:r>
                  <w:r>
                    <w:rPr>
                      <w:rFonts w:hint="default" w:ascii="Times New Roman" w:hAnsi="Times New Roman" w:eastAsia="宋体" w:cs="Times New Roman"/>
                      <w:b w:val="0"/>
                      <w:bCs/>
                      <w:color w:val="auto"/>
                    </w:rPr>
                    <w:t>用地，不涉及永久基本农田和生态保护红线</w:t>
                  </w:r>
                </w:p>
              </w:tc>
              <w:tc>
                <w:tcPr>
                  <w:tcW w:w="532" w:type="pct"/>
                  <w:tcBorders>
                    <w:tl2br w:val="nil"/>
                    <w:tr2bl w:val="nil"/>
                  </w:tcBorders>
                  <w:vAlign w:val="center"/>
                </w:tcPr>
                <w:p w14:paraId="3BC1392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bl>
          <w:p w14:paraId="265F49C3">
            <w:pPr>
              <w:ind w:firstLine="482"/>
              <w:rPr>
                <w:rFonts w:hint="default" w:ascii="Times New Roman" w:hAnsi="Times New Roman" w:eastAsia="宋体" w:cs="Times New Roman"/>
                <w:b/>
                <w:color w:val="auto"/>
              </w:rPr>
            </w:pPr>
            <w:r>
              <w:rPr>
                <w:rFonts w:hint="default" w:ascii="Times New Roman" w:hAnsi="Times New Roman" w:eastAsia="宋体" w:cs="Times New Roman"/>
                <w:b/>
                <w:color w:val="auto"/>
              </w:rPr>
              <w:t>（1</w:t>
            </w:r>
            <w:r>
              <w:rPr>
                <w:rFonts w:hint="default" w:ascii="Times New Roman" w:hAnsi="Times New Roman" w:eastAsia="宋体" w:cs="Times New Roman"/>
                <w:b/>
                <w:color w:val="auto"/>
                <w:lang w:val="en-US" w:eastAsia="zh-CN"/>
              </w:rPr>
              <w:t>1</w:t>
            </w:r>
            <w:r>
              <w:rPr>
                <w:rFonts w:hint="default" w:ascii="Times New Roman" w:hAnsi="Times New Roman" w:eastAsia="宋体" w:cs="Times New Roman"/>
                <w:b/>
                <w:color w:val="auto"/>
              </w:rPr>
              <w:t>）与《建筑废弃物再生工厂设计标准》（GB51322-2018）符合性分析</w:t>
            </w:r>
          </w:p>
          <w:p w14:paraId="309D7D15">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表1-1</w:t>
            </w:r>
            <w:r>
              <w:rPr>
                <w:rFonts w:hint="default" w:ascii="Times New Roman" w:hAnsi="Times New Roman" w:eastAsia="宋体" w:cs="Times New Roman"/>
                <w:b/>
                <w:color w:val="auto"/>
                <w:sz w:val="21"/>
                <w:szCs w:val="21"/>
                <w:lang w:val="en-US" w:eastAsia="zh-CN"/>
              </w:rPr>
              <w:t>3</w:t>
            </w:r>
            <w:r>
              <w:rPr>
                <w:rFonts w:hint="default" w:ascii="Times New Roman" w:hAnsi="Times New Roman" w:eastAsia="宋体" w:cs="Times New Roman"/>
                <w:b/>
                <w:color w:val="auto"/>
                <w:sz w:val="21"/>
                <w:szCs w:val="21"/>
              </w:rPr>
              <w:t xml:space="preserve">  与《建筑废弃物再生工厂设计标准》符合性分析</w:t>
            </w:r>
          </w:p>
          <w:tbl>
            <w:tblPr>
              <w:tblStyle w:val="34"/>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4770"/>
              <w:gridCol w:w="2522"/>
              <w:gridCol w:w="948"/>
            </w:tblGrid>
            <w:tr w14:paraId="7B1D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24D44DCC">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序号</w:t>
                  </w:r>
                </w:p>
              </w:tc>
              <w:tc>
                <w:tcPr>
                  <w:tcW w:w="2678" w:type="pct"/>
                  <w:tcBorders>
                    <w:tl2br w:val="nil"/>
                    <w:tr2bl w:val="nil"/>
                  </w:tcBorders>
                  <w:vAlign w:val="center"/>
                </w:tcPr>
                <w:p w14:paraId="7FB9434D">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文件要求</w:t>
                  </w:r>
                </w:p>
              </w:tc>
              <w:tc>
                <w:tcPr>
                  <w:tcW w:w="1416" w:type="pct"/>
                  <w:tcBorders>
                    <w:tl2br w:val="nil"/>
                    <w:tr2bl w:val="nil"/>
                  </w:tcBorders>
                  <w:vAlign w:val="center"/>
                </w:tcPr>
                <w:p w14:paraId="0157EA05">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本项目情况</w:t>
                  </w:r>
                </w:p>
              </w:tc>
              <w:tc>
                <w:tcPr>
                  <w:tcW w:w="532" w:type="pct"/>
                  <w:tcBorders>
                    <w:tl2br w:val="nil"/>
                    <w:tr2bl w:val="nil"/>
                  </w:tcBorders>
                  <w:vAlign w:val="center"/>
                </w:tcPr>
                <w:p w14:paraId="24B97DD6">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符合性</w:t>
                  </w:r>
                </w:p>
              </w:tc>
            </w:tr>
            <w:tr w14:paraId="70A0C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2C5A36C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w:t>
                  </w:r>
                </w:p>
              </w:tc>
              <w:tc>
                <w:tcPr>
                  <w:tcW w:w="2678" w:type="pct"/>
                  <w:tcBorders>
                    <w:tl2br w:val="nil"/>
                    <w:tr2bl w:val="nil"/>
                  </w:tcBorders>
                  <w:vAlign w:val="center"/>
                </w:tcPr>
                <w:p w14:paraId="1BF5117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3.0.1 建筑废弃物再生工厂设计应对处置区域内建筑废弃物进行组分分析。</w:t>
                  </w:r>
                </w:p>
                <w:p w14:paraId="23AAF40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3.0.2建筑废弃物再生工厂设计应对建筑废弃物各组分提出相应的处置方案。</w:t>
                  </w:r>
                </w:p>
                <w:p w14:paraId="706020B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3.0.3建筑废弃物再生工厂建设规模，应根据处置区域范围内的建筑废弃物存量、增量以及城市规划进行调查分析，并应依据建筑废弃物的组分分析，综合建设条件、市场需求、国家及地方政策等因素，经技术经济比较后确定。</w:t>
                  </w:r>
                </w:p>
              </w:tc>
              <w:tc>
                <w:tcPr>
                  <w:tcW w:w="1416" w:type="pct"/>
                  <w:tcBorders>
                    <w:tl2br w:val="nil"/>
                    <w:tr2bl w:val="nil"/>
                  </w:tcBorders>
                  <w:vAlign w:val="center"/>
                </w:tcPr>
                <w:p w14:paraId="32D499A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本项目建筑垃圾来源于东至县，</w:t>
                  </w:r>
                  <w:r>
                    <w:rPr>
                      <w:rFonts w:hint="default" w:ascii="Times New Roman" w:hAnsi="Times New Roman" w:eastAsia="宋体" w:cs="Times New Roman"/>
                      <w:b w:val="0"/>
                      <w:bCs/>
                      <w:color w:val="auto"/>
                    </w:rPr>
                    <w:t>建筑垃圾进厂后进行分选，分选产生的废弃物外售处置，建筑垃圾用于骨料生产，</w:t>
                  </w:r>
                  <w:r>
                    <w:rPr>
                      <w:rFonts w:hint="default" w:ascii="Times New Roman" w:hAnsi="Times New Roman" w:eastAsia="宋体" w:cs="Times New Roman"/>
                      <w:b w:val="0"/>
                      <w:bCs/>
                      <w:color w:val="auto"/>
                      <w:lang w:val="en-US" w:eastAsia="zh-CN"/>
                    </w:rPr>
                    <w:t>东至县</w:t>
                  </w:r>
                  <w:r>
                    <w:rPr>
                      <w:rFonts w:hint="default" w:ascii="Times New Roman" w:hAnsi="Times New Roman" w:eastAsia="宋体" w:cs="Times New Roman"/>
                      <w:b w:val="0"/>
                      <w:bCs/>
                      <w:color w:val="auto"/>
                    </w:rPr>
                    <w:t>建筑垃圾产生量可满足本项目需求</w:t>
                  </w:r>
                </w:p>
              </w:tc>
              <w:tc>
                <w:tcPr>
                  <w:tcW w:w="532" w:type="pct"/>
                  <w:tcBorders>
                    <w:tl2br w:val="nil"/>
                    <w:tr2bl w:val="nil"/>
                  </w:tcBorders>
                  <w:vAlign w:val="center"/>
                </w:tcPr>
                <w:p w14:paraId="211653F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21EC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6230806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w:t>
                  </w:r>
                </w:p>
              </w:tc>
              <w:tc>
                <w:tcPr>
                  <w:tcW w:w="2678" w:type="pct"/>
                  <w:tcBorders>
                    <w:tl2br w:val="nil"/>
                    <w:tr2bl w:val="nil"/>
                  </w:tcBorders>
                  <w:vAlign w:val="center"/>
                </w:tcPr>
                <w:p w14:paraId="79BB87B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4.2.1厂址选择应满足工业布局和区域建设规划的要求，并应符合前期工作的有关规定。</w:t>
                  </w:r>
                </w:p>
                <w:p w14:paraId="2A52B1E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4.2.2厂址选择宜靠近建筑废弃物的供应区域，且应对建设规模、物流、供电、供水、企业协作条件、场地现有设施、环境保护等因素进行综合技术经济比较后确定。</w:t>
                  </w:r>
                </w:p>
                <w:p w14:paraId="417FC1C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4.2.5厂址应位于城镇和居住区全年最小频率风向的上风侧。厂址不应选在窝风地段。</w:t>
                  </w:r>
                </w:p>
                <w:p w14:paraId="5D391D5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4.2.6厂址应选择在土石方开挖工程量少、工程地质和水文地质条件较好的地带，并应避开山洪、滑坡、泥石流等地质灾害易发地段。</w:t>
                  </w:r>
                </w:p>
              </w:tc>
              <w:tc>
                <w:tcPr>
                  <w:tcW w:w="1416" w:type="pct"/>
                  <w:tcBorders>
                    <w:tl2br w:val="nil"/>
                    <w:tr2bl w:val="nil"/>
                  </w:tcBorders>
                  <w:vAlign w:val="center"/>
                </w:tcPr>
                <w:p w14:paraId="7326B791">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本项目已取得建设用地规划许可证，项目用地为</w:t>
                  </w:r>
                  <w:r>
                    <w:rPr>
                      <w:rFonts w:hint="default" w:ascii="Times New Roman" w:hAnsi="Times New Roman" w:eastAsia="宋体" w:cs="Times New Roman"/>
                      <w:b w:val="0"/>
                      <w:bCs/>
                      <w:color w:val="auto"/>
                      <w:lang w:val="en-US" w:eastAsia="zh-CN"/>
                    </w:rPr>
                    <w:t>工业</w:t>
                  </w:r>
                  <w:r>
                    <w:rPr>
                      <w:rFonts w:hint="default" w:ascii="Times New Roman" w:hAnsi="Times New Roman" w:eastAsia="宋体" w:cs="Times New Roman"/>
                      <w:b w:val="0"/>
                      <w:bCs/>
                      <w:color w:val="auto"/>
                    </w:rPr>
                    <w:t>用地。项目位于</w:t>
                  </w:r>
                  <w:r>
                    <w:rPr>
                      <w:rFonts w:hint="default" w:ascii="Times New Roman" w:hAnsi="Times New Roman" w:eastAsia="宋体" w:cs="Times New Roman"/>
                      <w:b w:val="0"/>
                      <w:bCs/>
                      <w:color w:val="auto"/>
                      <w:lang w:val="en-US" w:eastAsia="zh-CN"/>
                    </w:rPr>
                    <w:t>尧渡镇</w:t>
                  </w:r>
                  <w:r>
                    <w:rPr>
                      <w:rFonts w:hint="default" w:ascii="Times New Roman" w:hAnsi="Times New Roman" w:eastAsia="宋体" w:cs="Times New Roman"/>
                      <w:b w:val="0"/>
                      <w:bCs/>
                      <w:color w:val="auto"/>
                    </w:rPr>
                    <w:t>，</w:t>
                  </w:r>
                  <w:r>
                    <w:rPr>
                      <w:rFonts w:hint="default" w:ascii="Times New Roman" w:hAnsi="Times New Roman" w:eastAsia="宋体" w:cs="Times New Roman"/>
                      <w:b w:val="0"/>
                      <w:bCs/>
                      <w:color w:val="auto"/>
                      <w:lang w:val="en-US" w:eastAsia="zh-CN"/>
                    </w:rPr>
                    <w:t>区域</w:t>
                  </w:r>
                  <w:r>
                    <w:rPr>
                      <w:rFonts w:hint="default" w:ascii="Times New Roman" w:hAnsi="Times New Roman" w:eastAsia="宋体" w:cs="Times New Roman"/>
                      <w:b w:val="0"/>
                      <w:bCs/>
                      <w:color w:val="auto"/>
                    </w:rPr>
                    <w:t>基础设施完善可满足本项目需求。</w:t>
                  </w:r>
                  <w:r>
                    <w:rPr>
                      <w:rFonts w:hint="default" w:ascii="Times New Roman" w:hAnsi="Times New Roman" w:eastAsia="宋体" w:cs="Times New Roman"/>
                      <w:b w:val="0"/>
                      <w:bCs/>
                      <w:color w:val="auto"/>
                      <w:lang w:val="en-US" w:eastAsia="zh-CN"/>
                    </w:rPr>
                    <w:t>东至县</w:t>
                  </w:r>
                  <w:r>
                    <w:rPr>
                      <w:rFonts w:hint="default" w:ascii="Times New Roman" w:hAnsi="Times New Roman" w:eastAsia="宋体" w:cs="Times New Roman"/>
                      <w:b w:val="0"/>
                      <w:bCs/>
                      <w:color w:val="auto"/>
                    </w:rPr>
                    <w:t>主导风向为东北风，不在城镇和居住区上风向，项目所在地不属于地质灾害易发区</w:t>
                  </w:r>
                </w:p>
              </w:tc>
              <w:tc>
                <w:tcPr>
                  <w:tcW w:w="532" w:type="pct"/>
                  <w:tcBorders>
                    <w:tl2br w:val="nil"/>
                    <w:tr2bl w:val="nil"/>
                  </w:tcBorders>
                  <w:vAlign w:val="center"/>
                </w:tcPr>
                <w:p w14:paraId="2F5D1B4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06565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0305205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w:t>
                  </w:r>
                </w:p>
              </w:tc>
              <w:tc>
                <w:tcPr>
                  <w:tcW w:w="2678" w:type="pct"/>
                  <w:tcBorders>
                    <w:tl2br w:val="nil"/>
                    <w:tr2bl w:val="nil"/>
                  </w:tcBorders>
                  <w:vAlign w:val="center"/>
                </w:tcPr>
                <w:p w14:paraId="76B6D90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4.3.3建(构)筑物应满足实际生产需要，并应按功能合理设置分区，生产、办公、生活等辅助设施宜集中设置、综合利用。</w:t>
                  </w:r>
                </w:p>
                <w:p w14:paraId="5FB02A6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4.3.4建(构)筑物的防火间距应符合现行国家标准《建筑设计防火规范》GB50016的有关规定。</w:t>
                  </w:r>
                </w:p>
                <w:p w14:paraId="0457619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4.3.5破碎、筛分、粉磨车间等产生高噪声的生产设施，与相邻建(构)物的防噪声间距应符合现行国家标准《工业企业噪声控制设计规范》GB/T50087的有关规定。</w:t>
                  </w:r>
                </w:p>
              </w:tc>
              <w:tc>
                <w:tcPr>
                  <w:tcW w:w="1416" w:type="pct"/>
                  <w:tcBorders>
                    <w:tl2br w:val="nil"/>
                    <w:tr2bl w:val="nil"/>
                  </w:tcBorders>
                  <w:vAlign w:val="center"/>
                </w:tcPr>
                <w:p w14:paraId="2747FC8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本项目建设包含生产区和生活区，项目建筑物设计按照规范要求执行，项目高噪声设备采取厂房隔声、基础减震等方式进行控制，厂界噪声可满足《工业企业厂界噪声排放标准》（GB12348-2008）中2类标准限值要求</w:t>
                  </w:r>
                </w:p>
              </w:tc>
              <w:tc>
                <w:tcPr>
                  <w:tcW w:w="532" w:type="pct"/>
                  <w:tcBorders>
                    <w:tl2br w:val="nil"/>
                    <w:tr2bl w:val="nil"/>
                  </w:tcBorders>
                  <w:vAlign w:val="center"/>
                </w:tcPr>
                <w:p w14:paraId="0FB0A27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05826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2" w:type="pct"/>
                  <w:tcBorders>
                    <w:tl2br w:val="nil"/>
                    <w:tr2bl w:val="nil"/>
                  </w:tcBorders>
                  <w:vAlign w:val="center"/>
                </w:tcPr>
                <w:p w14:paraId="38C0CC6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w:t>
                  </w:r>
                </w:p>
              </w:tc>
              <w:tc>
                <w:tcPr>
                  <w:tcW w:w="2678" w:type="pct"/>
                  <w:tcBorders>
                    <w:tl2br w:val="nil"/>
                    <w:tr2bl w:val="nil"/>
                  </w:tcBorders>
                  <w:vAlign w:val="center"/>
                </w:tcPr>
                <w:p w14:paraId="576F092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1各储库的储存能力应满足建筑废弃物大批量集中进场的要求，并应满足生产对储存量及大型车辆装卸、运输的要求；</w:t>
                  </w:r>
                </w:p>
                <w:p w14:paraId="59BDEBD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2成品库的场地应满足物料进行装(卸)车、倒堆储存及转运的要求，并应具有装(卸)车位及储存场地。</w:t>
                  </w:r>
                </w:p>
              </w:tc>
              <w:tc>
                <w:tcPr>
                  <w:tcW w:w="1416" w:type="pct"/>
                  <w:tcBorders>
                    <w:tl2br w:val="nil"/>
                    <w:tr2bl w:val="nil"/>
                  </w:tcBorders>
                  <w:vAlign w:val="center"/>
                </w:tcPr>
                <w:p w14:paraId="660C669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厂区设置各类原料储存的密闭仓库，各仓库大小可满足原料储存及周转需求，厂区场地满足物料进行装(卸)车、倒堆储存及转运的要求</w:t>
                  </w:r>
                </w:p>
              </w:tc>
              <w:tc>
                <w:tcPr>
                  <w:tcW w:w="532" w:type="pct"/>
                  <w:tcBorders>
                    <w:tl2br w:val="nil"/>
                    <w:tr2bl w:val="nil"/>
                  </w:tcBorders>
                  <w:vAlign w:val="center"/>
                </w:tcPr>
                <w:p w14:paraId="04C7F15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F36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7765BF7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w:t>
                  </w:r>
                </w:p>
              </w:tc>
              <w:tc>
                <w:tcPr>
                  <w:tcW w:w="2678" w:type="pct"/>
                  <w:tcBorders>
                    <w:tl2br w:val="nil"/>
                    <w:tr2bl w:val="nil"/>
                  </w:tcBorders>
                  <w:vAlign w:val="center"/>
                </w:tcPr>
                <w:p w14:paraId="15701D7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4.3.9办公及生活设施应根据需要设置，宜利用厂区周围的服务设施。厂区办公楼、宿舍的布置应满足天然采光和自然通风的要求，并应满足对外联系方便的要求。食堂、浴室等生活设施应集中布置。</w:t>
                  </w:r>
                </w:p>
              </w:tc>
              <w:tc>
                <w:tcPr>
                  <w:tcW w:w="1416" w:type="pct"/>
                  <w:tcBorders>
                    <w:tl2br w:val="nil"/>
                    <w:tr2bl w:val="nil"/>
                  </w:tcBorders>
                  <w:vAlign w:val="center"/>
                </w:tcPr>
                <w:p w14:paraId="092820A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本项目不设食宿，办公楼位于厂区西侧，满足天然采光和自然通风的要求</w:t>
                  </w:r>
                </w:p>
              </w:tc>
              <w:tc>
                <w:tcPr>
                  <w:tcW w:w="532" w:type="pct"/>
                  <w:tcBorders>
                    <w:tl2br w:val="nil"/>
                    <w:tr2bl w:val="nil"/>
                  </w:tcBorders>
                  <w:vAlign w:val="center"/>
                </w:tcPr>
                <w:p w14:paraId="63794AC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7FA0A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33E1D95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w:t>
                  </w:r>
                </w:p>
              </w:tc>
              <w:tc>
                <w:tcPr>
                  <w:tcW w:w="2678" w:type="pct"/>
                  <w:tcBorders>
                    <w:tl2br w:val="nil"/>
                    <w:tr2bl w:val="nil"/>
                  </w:tcBorders>
                  <w:vAlign w:val="center"/>
                </w:tcPr>
                <w:p w14:paraId="7A5BACC1">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5.1.1建筑废弃物处置工艺设计应根据废弃物来源与组分、产品方案、设计规模，经多方案综合比较，择优确定。</w:t>
                  </w:r>
                </w:p>
                <w:p w14:paraId="29FF534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5.1.2 工厂处置宜包括预处理、分选分离、破碎筛分、骨料整形、轻物质资源化等工艺系统。</w:t>
                  </w:r>
                </w:p>
                <w:p w14:paraId="432A019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5.1.3建筑废弃物处置的工艺流程中，必须设计轻物质分选工艺。</w:t>
                  </w:r>
                </w:p>
                <w:p w14:paraId="3D8BC5F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5.1.4处置工艺宜根据再生产品质量要求设计均化工序。</w:t>
                  </w:r>
                </w:p>
                <w:p w14:paraId="363557F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5.1.5 处置工艺宜根据产品要求设计骨料整形工艺。</w:t>
                  </w:r>
                </w:p>
              </w:tc>
              <w:tc>
                <w:tcPr>
                  <w:tcW w:w="1416" w:type="pct"/>
                  <w:tcBorders>
                    <w:tl2br w:val="nil"/>
                    <w:tr2bl w:val="nil"/>
                  </w:tcBorders>
                  <w:vAlign w:val="center"/>
                </w:tcPr>
                <w:p w14:paraId="377D498C">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本项目建筑垃圾采用智能分选、磁选、破碎、筛分工艺进行处理，智能分选包含了轻物质分选工艺。骨料根据产品要求分不同尺寸分别用于水稳和</w:t>
                  </w:r>
                  <w:r>
                    <w:rPr>
                      <w:rFonts w:hint="default" w:ascii="Times New Roman" w:hAnsi="Times New Roman" w:eastAsia="宋体" w:cs="Times New Roman"/>
                      <w:b w:val="0"/>
                      <w:bCs/>
                      <w:color w:val="auto"/>
                      <w:lang w:val="en-US" w:eastAsia="zh-CN"/>
                    </w:rPr>
                    <w:t>RDF燃料制造</w:t>
                  </w:r>
                </w:p>
              </w:tc>
              <w:tc>
                <w:tcPr>
                  <w:tcW w:w="532" w:type="pct"/>
                  <w:tcBorders>
                    <w:tl2br w:val="nil"/>
                    <w:tr2bl w:val="nil"/>
                  </w:tcBorders>
                  <w:vAlign w:val="center"/>
                </w:tcPr>
                <w:p w14:paraId="5C7B420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06F6A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50896BF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7</w:t>
                  </w:r>
                </w:p>
              </w:tc>
              <w:tc>
                <w:tcPr>
                  <w:tcW w:w="2678" w:type="pct"/>
                  <w:tcBorders>
                    <w:tl2br w:val="nil"/>
                    <w:tr2bl w:val="nil"/>
                  </w:tcBorders>
                  <w:vAlign w:val="center"/>
                </w:tcPr>
                <w:p w14:paraId="42FFD41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5.2.1建筑废弃物预处理应设置预处理区，并应配备大块废弃物破碎处理设施与人工分拣设施。预处理作业区占地面积应根据产能计算确定。</w:t>
                  </w:r>
                </w:p>
                <w:p w14:paraId="6B78961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5.2.2建筑废弃物预处理应具备消毒、降尘、分类、粗破、拣选、排水功能。</w:t>
                  </w:r>
                </w:p>
                <w:p w14:paraId="0C23472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5.2.3建筑废弃物预处理区降尘宜采用水喷淋法或区域降尘法，宜布置在卸料区与上料区，同时应配备照明、监控系统。</w:t>
                  </w:r>
                </w:p>
                <w:p w14:paraId="406E5A3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5.2.4建筑废弃物应根据来源不同分类存放，并应根据物料特性配备运输设备。</w:t>
                  </w:r>
                </w:p>
                <w:p w14:paraId="648709A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5.2.5大块废弃物破碎宜选用液压锤或液压剪。</w:t>
                  </w:r>
                </w:p>
              </w:tc>
              <w:tc>
                <w:tcPr>
                  <w:tcW w:w="1416" w:type="pct"/>
                  <w:tcBorders>
                    <w:tl2br w:val="nil"/>
                    <w:tr2bl w:val="nil"/>
                  </w:tcBorders>
                  <w:vAlign w:val="center"/>
                </w:tcPr>
                <w:p w14:paraId="2B893AA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本项目为建筑垃圾处理项目，建筑垃圾进厂后采用智能分选机进行分选，然后</w:t>
                  </w:r>
                  <w:r>
                    <w:rPr>
                      <w:rFonts w:hint="default" w:ascii="Times New Roman" w:hAnsi="Times New Roman" w:eastAsia="宋体" w:cs="Times New Roman"/>
                      <w:b w:val="0"/>
                      <w:bCs/>
                      <w:color w:val="auto"/>
                      <w:lang w:eastAsia="zh-CN"/>
                    </w:rPr>
                    <w:t>再</w:t>
                  </w:r>
                  <w:r>
                    <w:rPr>
                      <w:rFonts w:hint="default" w:ascii="Times New Roman" w:hAnsi="Times New Roman" w:eastAsia="宋体" w:cs="Times New Roman"/>
                      <w:b w:val="0"/>
                      <w:bCs/>
                      <w:color w:val="auto"/>
                    </w:rPr>
                    <w:t>进行破碎筛分等处理，针对各产尘区域设置了干雾抑尘或布袋除尘处理方式，并配有照明灯系统。建筑垃圾设置单独的建筑垃圾库贮存，采用</w:t>
                  </w:r>
                  <w:r>
                    <w:rPr>
                      <w:rFonts w:hint="default" w:ascii="Times New Roman" w:hAnsi="Times New Roman" w:eastAsia="宋体" w:cs="Times New Roman"/>
                      <w:b w:val="0"/>
                      <w:bCs/>
                      <w:color w:val="auto"/>
                      <w:lang w:val="en-US" w:eastAsia="zh-CN"/>
                    </w:rPr>
                    <w:t>反击式</w:t>
                  </w:r>
                  <w:r>
                    <w:rPr>
                      <w:rFonts w:hint="default" w:ascii="Times New Roman" w:hAnsi="Times New Roman" w:eastAsia="宋体" w:cs="Times New Roman"/>
                      <w:b w:val="0"/>
                      <w:bCs/>
                      <w:color w:val="auto"/>
                    </w:rPr>
                    <w:t>破碎机进行破碎</w:t>
                  </w:r>
                </w:p>
              </w:tc>
              <w:tc>
                <w:tcPr>
                  <w:tcW w:w="532" w:type="pct"/>
                  <w:tcBorders>
                    <w:tl2br w:val="nil"/>
                    <w:tr2bl w:val="nil"/>
                  </w:tcBorders>
                  <w:vAlign w:val="center"/>
                </w:tcPr>
                <w:p w14:paraId="4A9D133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6F66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3F15ABA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w:t>
                  </w:r>
                </w:p>
              </w:tc>
              <w:tc>
                <w:tcPr>
                  <w:tcW w:w="2678" w:type="pct"/>
                  <w:tcBorders>
                    <w:tl2br w:val="nil"/>
                    <w:tr2bl w:val="nil"/>
                  </w:tcBorders>
                  <w:vAlign w:val="center"/>
                </w:tcPr>
                <w:p w14:paraId="3D67A56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5.3.1分选分离工艺流程宜包括除土、分选废金属、分选轻物质、砖混分离、沥青-骨料分离、粉体回收等环节。</w:t>
                  </w:r>
                </w:p>
                <w:p w14:paraId="4C41119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5.3.2分选分离工艺宜采用干法工艺。</w:t>
                  </w:r>
                </w:p>
                <w:p w14:paraId="774BEDD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5.3.3分选工艺应根据建筑废弃物组分的不同特性，采用筛选、磁选、风选、浮选、光电分选等方法。</w:t>
                  </w:r>
                </w:p>
                <w:p w14:paraId="36F16A11">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5.3.4设计分选工艺时，宜在一级破碎之后设置人工拣选平台。人工拣选平台应水平布置于皮带两侧，且宜与地面标高相同；人工拣选平台高出地面时，应在平台边缘设置安全防护栏；拣选平台宽度不宜小于800mm,长度不宜小于6m,防护栏高度不应小于1200mm。</w:t>
                  </w:r>
                </w:p>
                <w:p w14:paraId="667ED0E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5.3.5人工拣选宜采用平皮带，皮带宽度不宜超过1400mm,带速宜为0.2m/s~0.5m/s。</w:t>
                  </w:r>
                </w:p>
              </w:tc>
              <w:tc>
                <w:tcPr>
                  <w:tcW w:w="1416" w:type="pct"/>
                  <w:tcBorders>
                    <w:tl2br w:val="nil"/>
                    <w:tr2bl w:val="nil"/>
                  </w:tcBorders>
                  <w:vAlign w:val="center"/>
                </w:tcPr>
                <w:p w14:paraId="2A225AF6">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本项目建筑垃圾预处理包含智能分选和磁选工艺，可有效筛选出建筑垃圾内的轻物质、木材、金属等废物。本项目人工拣选平台高出地面时，应在平台边缘设置安全防护栏</w:t>
                  </w:r>
                  <w:r>
                    <w:rPr>
                      <w:rFonts w:hint="default" w:ascii="Times New Roman" w:hAnsi="Times New Roman" w:eastAsia="宋体" w:cs="Times New Roman"/>
                      <w:b w:val="0"/>
                      <w:bCs/>
                      <w:color w:val="auto"/>
                      <w:lang w:eastAsia="zh-CN"/>
                    </w:rPr>
                    <w:t>，</w:t>
                  </w:r>
                  <w:r>
                    <w:rPr>
                      <w:rFonts w:hint="default" w:ascii="Times New Roman" w:hAnsi="Times New Roman" w:eastAsia="宋体" w:cs="Times New Roman"/>
                      <w:b w:val="0"/>
                      <w:bCs/>
                      <w:color w:val="auto"/>
                      <w:lang w:val="en-US" w:eastAsia="zh-CN"/>
                    </w:rPr>
                    <w:t>符合设计标准要求</w:t>
                  </w:r>
                </w:p>
              </w:tc>
              <w:tc>
                <w:tcPr>
                  <w:tcW w:w="532" w:type="pct"/>
                  <w:tcBorders>
                    <w:tl2br w:val="nil"/>
                    <w:tr2bl w:val="nil"/>
                  </w:tcBorders>
                  <w:vAlign w:val="center"/>
                </w:tcPr>
                <w:p w14:paraId="030845B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53F25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46463851">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9</w:t>
                  </w:r>
                </w:p>
              </w:tc>
              <w:tc>
                <w:tcPr>
                  <w:tcW w:w="2678" w:type="pct"/>
                  <w:tcBorders>
                    <w:tl2br w:val="nil"/>
                    <w:tr2bl w:val="nil"/>
                  </w:tcBorders>
                  <w:vAlign w:val="center"/>
                </w:tcPr>
                <w:p w14:paraId="0EEB488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5.4.1破碎工艺应根据建筑废弃物状态及再生产品的质量要求采用一级、二级或多级破碎，并应符合下列规定：</w:t>
                  </w:r>
                </w:p>
                <w:p w14:paraId="734A395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 以砖为主的建筑废弃物应根据再生产品的技术要求，宜选用一级或二级破碎；</w:t>
                  </w:r>
                </w:p>
                <w:p w14:paraId="018761D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 以混凝土为主的建筑废弃物应根据再生产品技术要求，宜选用二级或三级破碎；</w:t>
                  </w:r>
                </w:p>
                <w:p w14:paraId="41C1C38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3破碎设备的类型应根据再生骨料的质量要求而确定。</w:t>
                  </w:r>
                </w:p>
                <w:p w14:paraId="4177225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5.4.2 各级破碎工艺之后必须设置除铁工艺。</w:t>
                  </w:r>
                </w:p>
                <w:p w14:paraId="126DDC3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5.4.3筛分工艺应根据再生材料的质量要求，采用一级、二级或多级筛分。</w:t>
                  </w:r>
                </w:p>
              </w:tc>
              <w:tc>
                <w:tcPr>
                  <w:tcW w:w="1416" w:type="pct"/>
                  <w:tcBorders>
                    <w:tl2br w:val="nil"/>
                    <w:tr2bl w:val="nil"/>
                  </w:tcBorders>
                  <w:vAlign w:val="center"/>
                </w:tcPr>
                <w:p w14:paraId="1BA61E0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本项目产品包含水稳料</w:t>
                  </w:r>
                  <w:r>
                    <w:rPr>
                      <w:rFonts w:hint="default" w:ascii="Times New Roman" w:hAnsi="Times New Roman" w:eastAsia="宋体" w:cs="Times New Roman"/>
                      <w:b w:val="0"/>
                      <w:bCs/>
                      <w:color w:val="auto"/>
                      <w:lang w:val="en-US" w:eastAsia="zh-CN"/>
                    </w:rPr>
                    <w:t>和RDF燃料</w:t>
                  </w:r>
                  <w:r>
                    <w:rPr>
                      <w:rFonts w:hint="default" w:ascii="Times New Roman" w:hAnsi="Times New Roman" w:eastAsia="宋体" w:cs="Times New Roman"/>
                      <w:b w:val="0"/>
                      <w:bCs/>
                      <w:color w:val="auto"/>
                    </w:rPr>
                    <w:t>，骨料采用二级破碎和筛分方式进行处置，且设有分选和磁选工艺</w:t>
                  </w:r>
                </w:p>
              </w:tc>
              <w:tc>
                <w:tcPr>
                  <w:tcW w:w="532" w:type="pct"/>
                  <w:tcBorders>
                    <w:tl2br w:val="nil"/>
                    <w:tr2bl w:val="nil"/>
                  </w:tcBorders>
                  <w:vAlign w:val="center"/>
                </w:tcPr>
                <w:p w14:paraId="4EDB73B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B75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13D305A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10</w:t>
                  </w:r>
                </w:p>
              </w:tc>
              <w:tc>
                <w:tcPr>
                  <w:tcW w:w="2678" w:type="pct"/>
                  <w:tcBorders>
                    <w:tl2br w:val="nil"/>
                    <w:tr2bl w:val="nil"/>
                  </w:tcBorders>
                  <w:vAlign w:val="center"/>
                </w:tcPr>
                <w:p w14:paraId="218D5E4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5.7.1回收物处置应包括废金属回收处置与轻物质回收处置。</w:t>
                  </w:r>
                </w:p>
                <w:p w14:paraId="47672FA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5.7.2废金属回收处置系统中应配置废金属打包设备。</w:t>
                  </w:r>
                </w:p>
                <w:p w14:paraId="5C9CBDD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5.7.3轻物质回收应分类储存，储库面积应根据轻物质的容重及储存期确定。</w:t>
                  </w:r>
                </w:p>
                <w:p w14:paraId="042AB6B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5.7.4轻物质宜经轻物质资源化系统处理。当工厂未设计轻物质资源化系统时，应将废弃轻物质回收打包，并交给专业机构处置。</w:t>
                  </w:r>
                </w:p>
                <w:p w14:paraId="75B088B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5.7.5轻物质不得作为废弃物丢弃。</w:t>
                  </w:r>
                </w:p>
              </w:tc>
              <w:tc>
                <w:tcPr>
                  <w:tcW w:w="1416" w:type="pct"/>
                  <w:tcBorders>
                    <w:tl2br w:val="nil"/>
                    <w:tr2bl w:val="nil"/>
                  </w:tcBorders>
                  <w:vAlign w:val="center"/>
                </w:tcPr>
                <w:p w14:paraId="107A709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本项目设有非金属回收工艺，轻物质、木材</w:t>
                  </w:r>
                  <w:r>
                    <w:rPr>
                      <w:rFonts w:hint="default" w:ascii="Times New Roman" w:hAnsi="Times New Roman" w:eastAsia="宋体" w:cs="Times New Roman"/>
                      <w:b w:val="0"/>
                      <w:bCs/>
                      <w:color w:val="auto"/>
                      <w:lang w:val="en-US" w:eastAsia="zh-CN"/>
                    </w:rPr>
                    <w:t>用于RDF燃料制造。</w:t>
                  </w:r>
                  <w:r>
                    <w:rPr>
                      <w:rFonts w:hint="default" w:ascii="Times New Roman" w:hAnsi="Times New Roman" w:eastAsia="宋体" w:cs="Times New Roman"/>
                      <w:b w:val="0"/>
                      <w:bCs/>
                      <w:color w:val="auto"/>
                    </w:rPr>
                    <w:t>回收的废物分类储存并外售物质回收单位处置</w:t>
                  </w:r>
                </w:p>
              </w:tc>
              <w:tc>
                <w:tcPr>
                  <w:tcW w:w="532" w:type="pct"/>
                  <w:tcBorders>
                    <w:tl2br w:val="nil"/>
                    <w:tr2bl w:val="nil"/>
                  </w:tcBorders>
                  <w:vAlign w:val="center"/>
                </w:tcPr>
                <w:p w14:paraId="443EE21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2B613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264C10F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11</w:t>
                  </w:r>
                </w:p>
              </w:tc>
              <w:tc>
                <w:tcPr>
                  <w:tcW w:w="2678" w:type="pct"/>
                  <w:tcBorders>
                    <w:tl2br w:val="nil"/>
                    <w:tr2bl w:val="nil"/>
                  </w:tcBorders>
                  <w:vAlign w:val="center"/>
                </w:tcPr>
                <w:p w14:paraId="4F341173">
                  <w:pPr>
                    <w:pStyle w:val="62"/>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5.8.1 再生材料应按产品性质和用途，分区、分类储存，不得混杂。</w:t>
                  </w:r>
                </w:p>
                <w:p w14:paraId="1B8E3F52">
                  <w:pPr>
                    <w:spacing w:line="240"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5.8.2 再生材料储存区应靠近相应的生产区，不宜进行二次倒运。</w:t>
                  </w:r>
                </w:p>
                <w:p w14:paraId="3B1FFEC3">
                  <w:pPr>
                    <w:spacing w:line="240"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5.8.3粉体材料应按粒度及活性状况分类，罐装或袋装储存，储存条件应干燥，储存区应采取防潮、防混料措施。</w:t>
                  </w:r>
                </w:p>
              </w:tc>
              <w:tc>
                <w:tcPr>
                  <w:tcW w:w="1416" w:type="pct"/>
                  <w:tcBorders>
                    <w:tl2br w:val="nil"/>
                    <w:tr2bl w:val="nil"/>
                  </w:tcBorders>
                  <w:vAlign w:val="center"/>
                </w:tcPr>
                <w:p w14:paraId="557D4DB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再生骨料设置仓库进行储存，再生骨料库位于车间西北侧，靠近制砖和水稳生产车间，储存条件干燥</w:t>
                  </w:r>
                </w:p>
              </w:tc>
              <w:tc>
                <w:tcPr>
                  <w:tcW w:w="532" w:type="pct"/>
                  <w:tcBorders>
                    <w:tl2br w:val="nil"/>
                    <w:tr2bl w:val="nil"/>
                  </w:tcBorders>
                  <w:vAlign w:val="center"/>
                </w:tcPr>
                <w:p w14:paraId="431C2FC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7635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4CCC296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12</w:t>
                  </w:r>
                </w:p>
              </w:tc>
              <w:tc>
                <w:tcPr>
                  <w:tcW w:w="2678" w:type="pct"/>
                  <w:tcBorders>
                    <w:tl2br w:val="nil"/>
                    <w:tr2bl w:val="nil"/>
                  </w:tcBorders>
                  <w:vAlign w:val="center"/>
                </w:tcPr>
                <w:p w14:paraId="4F5CE2E1">
                  <w:pPr>
                    <w:spacing w:line="240"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6.1.1再生混凝土用再生粗骨料和再生细骨料的技术指标，应符合现行国家标准《混凝土用再生粗骨料》GB/T 25177和《混凝土和砂浆用再生细骨料》GB/T 25176的有关规定。</w:t>
                  </w:r>
                </w:p>
                <w:p w14:paraId="3978ADC0">
                  <w:pPr>
                    <w:spacing w:line="240"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6.1.2再生干混砂浆用再生细骨料的技术指标，应符合现行国家标准《混凝土和砂浆用再生细骨料》GB/T 25176的有关规定。</w:t>
                  </w:r>
                </w:p>
              </w:tc>
              <w:tc>
                <w:tcPr>
                  <w:tcW w:w="1416" w:type="pct"/>
                  <w:tcBorders>
                    <w:tl2br w:val="nil"/>
                    <w:tr2bl w:val="nil"/>
                  </w:tcBorders>
                  <w:vAlign w:val="center"/>
                </w:tcPr>
                <w:p w14:paraId="65AE7AA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按照相关要求执行</w:t>
                  </w:r>
                </w:p>
              </w:tc>
              <w:tc>
                <w:tcPr>
                  <w:tcW w:w="532" w:type="pct"/>
                  <w:tcBorders>
                    <w:tl2br w:val="nil"/>
                    <w:tr2bl w:val="nil"/>
                  </w:tcBorders>
                  <w:vAlign w:val="center"/>
                </w:tcPr>
                <w:p w14:paraId="71A586E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60CC1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2" w:type="pct"/>
                  <w:tcBorders>
                    <w:tl2br w:val="nil"/>
                    <w:tr2bl w:val="nil"/>
                  </w:tcBorders>
                  <w:vAlign w:val="center"/>
                </w:tcPr>
                <w:p w14:paraId="7599544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13</w:t>
                  </w:r>
                </w:p>
              </w:tc>
              <w:tc>
                <w:tcPr>
                  <w:tcW w:w="2678" w:type="pct"/>
                  <w:tcBorders>
                    <w:tl2br w:val="nil"/>
                    <w:tr2bl w:val="nil"/>
                  </w:tcBorders>
                  <w:vAlign w:val="center"/>
                </w:tcPr>
                <w:p w14:paraId="1643F141">
                  <w:pPr>
                    <w:spacing w:line="240"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6.2.1混凝土搅拌系统的设计，应符合现行国家标准《建筑施工机械与设备 混凝土搅拌站(楼)》GB/T10171的有关规定。</w:t>
                  </w:r>
                </w:p>
                <w:p w14:paraId="478B1804">
                  <w:pPr>
                    <w:spacing w:line="240"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6.2.2 再生混凝土搅拌系统中，水泥、掺合料等粉体材料应设置专用、独立的储存-供料-称量系统。</w:t>
                  </w:r>
                </w:p>
                <w:p w14:paraId="3E251D48">
                  <w:pPr>
                    <w:spacing w:line="240"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6.2.3粉体材料在称重和搅拌之间应设置粉料预均化设施。</w:t>
                  </w:r>
                </w:p>
              </w:tc>
              <w:tc>
                <w:tcPr>
                  <w:tcW w:w="1416" w:type="pct"/>
                  <w:tcBorders>
                    <w:tl2br w:val="nil"/>
                    <w:tr2bl w:val="nil"/>
                  </w:tcBorders>
                  <w:vAlign w:val="center"/>
                </w:tcPr>
                <w:p w14:paraId="30E1261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水泥粉料设置单独的筒仓储存及供料系统，并设置预均化设施</w:t>
                  </w:r>
                </w:p>
              </w:tc>
              <w:tc>
                <w:tcPr>
                  <w:tcW w:w="532" w:type="pct"/>
                  <w:tcBorders>
                    <w:tl2br w:val="nil"/>
                    <w:tr2bl w:val="nil"/>
                  </w:tcBorders>
                  <w:vAlign w:val="center"/>
                </w:tcPr>
                <w:p w14:paraId="487F903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bl>
          <w:p w14:paraId="6DE3A365">
            <w:pPr>
              <w:ind w:firstLine="482"/>
              <w:rPr>
                <w:rFonts w:hint="default" w:ascii="Times New Roman" w:hAnsi="Times New Roman" w:eastAsia="宋体" w:cs="Times New Roman"/>
                <w:b/>
                <w:color w:val="auto"/>
              </w:rPr>
            </w:pPr>
            <w:r>
              <w:rPr>
                <w:rFonts w:hint="default" w:ascii="Times New Roman" w:hAnsi="Times New Roman" w:eastAsia="宋体" w:cs="Times New Roman"/>
                <w:b/>
                <w:color w:val="auto"/>
              </w:rPr>
              <w:t>（1</w:t>
            </w:r>
            <w:r>
              <w:rPr>
                <w:rFonts w:hint="default" w:ascii="Times New Roman" w:hAnsi="Times New Roman" w:eastAsia="宋体" w:cs="Times New Roman"/>
                <w:b/>
                <w:color w:val="auto"/>
                <w:lang w:val="en-US" w:eastAsia="zh-CN"/>
              </w:rPr>
              <w:t>2</w:t>
            </w:r>
            <w:r>
              <w:rPr>
                <w:rFonts w:hint="default" w:ascii="Times New Roman" w:hAnsi="Times New Roman" w:eastAsia="宋体" w:cs="Times New Roman"/>
                <w:b/>
                <w:color w:val="auto"/>
              </w:rPr>
              <w:t>）与《建筑垃圾处理技术标准》（CJJ/T134-2019）符合性分析</w:t>
            </w:r>
          </w:p>
          <w:p w14:paraId="51003973">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表1-1</w:t>
            </w:r>
            <w:r>
              <w:rPr>
                <w:rFonts w:hint="default" w:ascii="Times New Roman" w:hAnsi="Times New Roman" w:eastAsia="宋体" w:cs="Times New Roman"/>
                <w:b/>
                <w:color w:val="auto"/>
                <w:sz w:val="21"/>
                <w:szCs w:val="21"/>
                <w:lang w:val="en-US" w:eastAsia="zh-CN"/>
              </w:rPr>
              <w:t>4</w:t>
            </w:r>
            <w:r>
              <w:rPr>
                <w:rFonts w:hint="default" w:ascii="Times New Roman" w:hAnsi="Times New Roman" w:eastAsia="宋体" w:cs="Times New Roman"/>
                <w:b/>
                <w:color w:val="auto"/>
                <w:sz w:val="21"/>
                <w:szCs w:val="21"/>
              </w:rPr>
              <w:t xml:space="preserve">  与《建筑垃圾处理技术标准》符合性分析</w:t>
            </w:r>
          </w:p>
          <w:tbl>
            <w:tblPr>
              <w:tblStyle w:val="34"/>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4765"/>
              <w:gridCol w:w="2522"/>
              <w:gridCol w:w="948"/>
            </w:tblGrid>
            <w:tr w14:paraId="73A3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10A8D004">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序号</w:t>
                  </w:r>
                </w:p>
              </w:tc>
              <w:tc>
                <w:tcPr>
                  <w:tcW w:w="2675" w:type="pct"/>
                  <w:tcBorders>
                    <w:tl2br w:val="nil"/>
                    <w:tr2bl w:val="nil"/>
                  </w:tcBorders>
                  <w:vAlign w:val="center"/>
                </w:tcPr>
                <w:p w14:paraId="3740D7C2">
                  <w:pPr>
                    <w:pStyle w:val="62"/>
                    <w:jc w:val="center"/>
                    <w:rPr>
                      <w:rFonts w:hint="default" w:ascii="Times New Roman" w:hAnsi="Times New Roman" w:eastAsia="宋体" w:cs="Times New Roman"/>
                      <w:color w:val="auto"/>
                    </w:rPr>
                  </w:pPr>
                  <w:r>
                    <w:rPr>
                      <w:rFonts w:hint="default" w:ascii="Times New Roman" w:hAnsi="Times New Roman" w:eastAsia="宋体" w:cs="Times New Roman"/>
                      <w:color w:val="auto"/>
                    </w:rPr>
                    <w:t>文件要求</w:t>
                  </w:r>
                </w:p>
              </w:tc>
              <w:tc>
                <w:tcPr>
                  <w:tcW w:w="1416" w:type="pct"/>
                  <w:tcBorders>
                    <w:tl2br w:val="nil"/>
                    <w:tr2bl w:val="nil"/>
                  </w:tcBorders>
                  <w:vAlign w:val="center"/>
                </w:tcPr>
                <w:p w14:paraId="4DA2110E">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本项目情况</w:t>
                  </w:r>
                </w:p>
              </w:tc>
              <w:tc>
                <w:tcPr>
                  <w:tcW w:w="532" w:type="pct"/>
                  <w:tcBorders>
                    <w:tl2br w:val="nil"/>
                    <w:tr2bl w:val="nil"/>
                  </w:tcBorders>
                  <w:vAlign w:val="center"/>
                </w:tcPr>
                <w:p w14:paraId="5D752F49">
                  <w:pPr>
                    <w:pStyle w:val="62"/>
                    <w:rPr>
                      <w:rFonts w:hint="default" w:ascii="Times New Roman" w:hAnsi="Times New Roman" w:eastAsia="宋体" w:cs="Times New Roman"/>
                      <w:color w:val="auto"/>
                    </w:rPr>
                  </w:pPr>
                  <w:r>
                    <w:rPr>
                      <w:rFonts w:hint="default" w:ascii="Times New Roman" w:hAnsi="Times New Roman" w:eastAsia="宋体" w:cs="Times New Roman"/>
                      <w:color w:val="auto"/>
                    </w:rPr>
                    <w:t>符合性</w:t>
                  </w:r>
                </w:p>
              </w:tc>
            </w:tr>
            <w:tr w14:paraId="6DDA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7092628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w:t>
                  </w:r>
                </w:p>
              </w:tc>
              <w:tc>
                <w:tcPr>
                  <w:tcW w:w="2675" w:type="pct"/>
                  <w:tcBorders>
                    <w:tl2br w:val="nil"/>
                    <w:tr2bl w:val="nil"/>
                  </w:tcBorders>
                  <w:vAlign w:val="center"/>
                </w:tcPr>
                <w:p w14:paraId="3ADB3CF2">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3.0.2建筑垃圾应从源头分类。按照工程渣土、工程泥浆、工程垃圾、拆除垃圾和装修垃圾，应分类收集、分类运输、分类处理处置。</w:t>
                  </w:r>
                </w:p>
                <w:p w14:paraId="07BDF0A6">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3.0.3工程渣土、工程泥浆、工程垃圾和拆除垃圾应优先就地利用。</w:t>
                  </w:r>
                </w:p>
                <w:p w14:paraId="1CC5D6E4">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3.0.4拆除垃圾和装修垃圾宜按金属、木材、塑料、其他等分类收集、分类运输、分类处理处置。</w:t>
                  </w:r>
                </w:p>
              </w:tc>
              <w:tc>
                <w:tcPr>
                  <w:tcW w:w="1416" w:type="pct"/>
                  <w:tcBorders>
                    <w:tl2br w:val="nil"/>
                    <w:tr2bl w:val="nil"/>
                  </w:tcBorders>
                  <w:vAlign w:val="center"/>
                </w:tcPr>
                <w:p w14:paraId="6CD1A059">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本项目处置的建筑垃圾包含</w:t>
                  </w:r>
                  <w:r>
                    <w:rPr>
                      <w:rFonts w:hint="default" w:ascii="Times New Roman" w:hAnsi="Times New Roman" w:eastAsia="宋体" w:cs="Times New Roman"/>
                      <w:b w:val="0"/>
                      <w:bCs/>
                      <w:color w:val="auto"/>
                      <w:lang w:val="en-US" w:eastAsia="zh-CN"/>
                    </w:rPr>
                    <w:t>拆除</w:t>
                  </w:r>
                  <w:r>
                    <w:rPr>
                      <w:rFonts w:hint="default" w:ascii="Times New Roman" w:hAnsi="Times New Roman" w:eastAsia="宋体" w:cs="Times New Roman"/>
                      <w:b w:val="0"/>
                      <w:bCs/>
                      <w:color w:val="auto"/>
                    </w:rPr>
                    <w:t>垃圾和装修垃圾，不包含危险废物，建筑垃圾来源于</w:t>
                  </w:r>
                  <w:r>
                    <w:rPr>
                      <w:rFonts w:hint="default" w:ascii="Times New Roman" w:hAnsi="Times New Roman" w:eastAsia="宋体" w:cs="Times New Roman"/>
                      <w:b w:val="0"/>
                      <w:bCs/>
                      <w:color w:val="auto"/>
                      <w:lang w:val="en-US" w:eastAsia="zh-CN"/>
                    </w:rPr>
                    <w:t>东至县</w:t>
                  </w:r>
                  <w:r>
                    <w:rPr>
                      <w:rFonts w:hint="default" w:ascii="Times New Roman" w:hAnsi="Times New Roman" w:eastAsia="宋体" w:cs="Times New Roman"/>
                      <w:b w:val="0"/>
                      <w:bCs/>
                      <w:color w:val="auto"/>
                    </w:rPr>
                    <w:t>范围内，建筑垃圾进厂后进行分选、除铁，将垃圾中的金属筛选出来后外售综合利用</w:t>
                  </w:r>
                  <w:r>
                    <w:rPr>
                      <w:rFonts w:hint="default" w:ascii="Times New Roman" w:hAnsi="Times New Roman" w:eastAsia="宋体" w:cs="Times New Roman"/>
                      <w:b w:val="0"/>
                      <w:bCs/>
                      <w:color w:val="auto"/>
                      <w:lang w:eastAsia="zh-CN"/>
                    </w:rPr>
                    <w:t>，</w:t>
                  </w:r>
                  <w:r>
                    <w:rPr>
                      <w:rFonts w:hint="default" w:ascii="Times New Roman" w:hAnsi="Times New Roman" w:eastAsia="宋体" w:cs="Times New Roman"/>
                      <w:b w:val="0"/>
                      <w:bCs/>
                      <w:color w:val="auto"/>
                    </w:rPr>
                    <w:t>木材、轻物质</w:t>
                  </w:r>
                  <w:r>
                    <w:rPr>
                      <w:rFonts w:hint="default" w:ascii="Times New Roman" w:hAnsi="Times New Roman" w:eastAsia="宋体" w:cs="Times New Roman"/>
                      <w:b w:val="0"/>
                      <w:bCs/>
                      <w:color w:val="auto"/>
                      <w:lang w:val="en-US" w:eastAsia="zh-CN"/>
                    </w:rPr>
                    <w:t>用于RDF燃料制造工艺。</w:t>
                  </w:r>
                </w:p>
              </w:tc>
              <w:tc>
                <w:tcPr>
                  <w:tcW w:w="532" w:type="pct"/>
                  <w:tcBorders>
                    <w:tl2br w:val="nil"/>
                    <w:tr2bl w:val="nil"/>
                  </w:tcBorders>
                  <w:vAlign w:val="center"/>
                </w:tcPr>
                <w:p w14:paraId="4101670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2CF96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66C5241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w:t>
                  </w:r>
                </w:p>
              </w:tc>
              <w:tc>
                <w:tcPr>
                  <w:tcW w:w="2675" w:type="pct"/>
                  <w:tcBorders>
                    <w:tl2br w:val="nil"/>
                    <w:tr2bl w:val="nil"/>
                  </w:tcBorders>
                  <w:vAlign w:val="center"/>
                </w:tcPr>
                <w:p w14:paraId="3405BA74">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5.0.4资源化利用和填埋处置工程选址应符合下列规定：</w:t>
                  </w:r>
                </w:p>
                <w:p w14:paraId="5ACECDE7">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1应符合当地城市总体规划、环境卫生设施专项规划以及国家现行有关标准的规定。</w:t>
                  </w:r>
                </w:p>
                <w:p w14:paraId="4ABE07FC">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2应与当地的大气防护、水土资源保护、自然保护及生态平衡要求相一致。</w:t>
                  </w:r>
                </w:p>
                <w:p w14:paraId="77452C0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3工程地质与水文地质条件应满足设施建设和运行的要求，不应选在发震断层、滑坡、泥石流、沼泽、流沙及采矿陷落区等地区。</w:t>
                  </w:r>
                </w:p>
                <w:p w14:paraId="33B8094D">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4应交通方便、运距合理，并应综合建筑垃圾处理厂的服务区域、建筑垃圾收集运输能力、产品出路、预留发展等因素。</w:t>
                  </w:r>
                </w:p>
                <w:p w14:paraId="36499E53">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5应有良好的电力、给水和排水条件。</w:t>
                  </w:r>
                </w:p>
                <w:p w14:paraId="0BF9BF7F">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6应位于地下水贫乏地区、环境保护目标区域的地下水</w:t>
                  </w:r>
                  <w:r>
                    <w:rPr>
                      <w:rFonts w:hint="eastAsia" w:ascii="Times New Roman" w:hAnsi="Times New Roman" w:eastAsia="宋体" w:cs="Times New Roman"/>
                      <w:b w:val="0"/>
                      <w:bCs/>
                      <w:color w:val="auto"/>
                      <w:lang w:eastAsia="zh-CN"/>
                    </w:rPr>
                    <w:t>流向</w:t>
                  </w:r>
                  <w:r>
                    <w:rPr>
                      <w:rFonts w:hint="default" w:ascii="Times New Roman" w:hAnsi="Times New Roman" w:eastAsia="宋体" w:cs="Times New Roman"/>
                      <w:b w:val="0"/>
                      <w:bCs/>
                      <w:color w:val="auto"/>
                    </w:rPr>
                    <w:t>下游地区，及夏季主导风向下风向。</w:t>
                  </w:r>
                </w:p>
              </w:tc>
              <w:tc>
                <w:tcPr>
                  <w:tcW w:w="1416" w:type="pct"/>
                  <w:tcBorders>
                    <w:tl2br w:val="nil"/>
                    <w:tr2bl w:val="nil"/>
                  </w:tcBorders>
                  <w:vAlign w:val="center"/>
                </w:tcPr>
                <w:p w14:paraId="07342B4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本项目位于</w:t>
                  </w:r>
                  <w:r>
                    <w:rPr>
                      <w:rFonts w:hint="default" w:ascii="Times New Roman" w:hAnsi="Times New Roman" w:eastAsia="宋体" w:cs="Times New Roman"/>
                      <w:b w:val="0"/>
                      <w:bCs/>
                      <w:color w:val="auto"/>
                      <w:lang w:val="en-US" w:eastAsia="zh-CN"/>
                    </w:rPr>
                    <w:t>池州市东至县尧渡镇建东村</w:t>
                  </w:r>
                  <w:r>
                    <w:rPr>
                      <w:rFonts w:hint="default" w:ascii="Times New Roman" w:hAnsi="Times New Roman" w:eastAsia="宋体" w:cs="Times New Roman"/>
                      <w:b w:val="0"/>
                      <w:bCs/>
                      <w:color w:val="auto"/>
                    </w:rPr>
                    <w:t>，项目用地为</w:t>
                  </w:r>
                  <w:r>
                    <w:rPr>
                      <w:rFonts w:hint="default" w:ascii="Times New Roman" w:hAnsi="Times New Roman" w:eastAsia="宋体" w:cs="Times New Roman"/>
                      <w:b w:val="0"/>
                      <w:bCs/>
                      <w:color w:val="auto"/>
                      <w:lang w:val="en-US" w:eastAsia="zh-CN"/>
                    </w:rPr>
                    <w:t>工业</w:t>
                  </w:r>
                  <w:r>
                    <w:rPr>
                      <w:rFonts w:hint="default" w:ascii="Times New Roman" w:hAnsi="Times New Roman" w:eastAsia="宋体" w:cs="Times New Roman"/>
                      <w:b w:val="0"/>
                      <w:bCs/>
                      <w:color w:val="auto"/>
                    </w:rPr>
                    <w:t>用地，且建设单位已取得建设用地规划许可证，项目符合国土空间规划要求，项目选址不在发震断层、滑坡、泥石流、沼泽、流沙及采矿陷落区等地区，项目</w:t>
                  </w:r>
                  <w:r>
                    <w:rPr>
                      <w:rFonts w:hint="default" w:ascii="Times New Roman" w:hAnsi="Times New Roman" w:eastAsia="宋体" w:cs="Times New Roman"/>
                      <w:b w:val="0"/>
                      <w:bCs/>
                      <w:color w:val="auto"/>
                      <w:lang w:val="en-US" w:eastAsia="zh-CN"/>
                    </w:rPr>
                    <w:t>南</w:t>
                  </w:r>
                  <w:r>
                    <w:rPr>
                      <w:rFonts w:hint="default" w:ascii="Times New Roman" w:hAnsi="Times New Roman" w:eastAsia="宋体" w:cs="Times New Roman"/>
                      <w:b w:val="0"/>
                      <w:bCs/>
                      <w:color w:val="auto"/>
                    </w:rPr>
                    <w:t>侧为</w:t>
                  </w:r>
                  <w:r>
                    <w:rPr>
                      <w:rFonts w:hint="default" w:ascii="Times New Roman" w:hAnsi="Times New Roman" w:eastAsia="宋体" w:cs="Times New Roman"/>
                      <w:b w:val="0"/>
                      <w:bCs/>
                      <w:color w:val="auto"/>
                      <w:lang w:val="en-US" w:eastAsia="zh-CN"/>
                    </w:rPr>
                    <w:t>G530国道</w:t>
                  </w:r>
                  <w:r>
                    <w:rPr>
                      <w:rFonts w:hint="default" w:ascii="Times New Roman" w:hAnsi="Times New Roman" w:eastAsia="宋体" w:cs="Times New Roman"/>
                      <w:b w:val="0"/>
                      <w:bCs/>
                      <w:color w:val="auto"/>
                    </w:rPr>
                    <w:t>，交通便利，项目选址位于村庄主导风向下风向。</w:t>
                  </w:r>
                </w:p>
              </w:tc>
              <w:tc>
                <w:tcPr>
                  <w:tcW w:w="532" w:type="pct"/>
                  <w:tcBorders>
                    <w:tl2br w:val="nil"/>
                    <w:tr2bl w:val="nil"/>
                  </w:tcBorders>
                  <w:vAlign w:val="center"/>
                </w:tcPr>
                <w:p w14:paraId="776D08D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7150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76E46F1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w:t>
                  </w:r>
                </w:p>
              </w:tc>
              <w:tc>
                <w:tcPr>
                  <w:tcW w:w="2675" w:type="pct"/>
                  <w:tcBorders>
                    <w:tl2br w:val="nil"/>
                    <w:tr2bl w:val="nil"/>
                  </w:tcBorders>
                  <w:vAlign w:val="center"/>
                </w:tcPr>
                <w:p w14:paraId="348664FA">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资源化处理工程应包括计量设施、预处理系统、资源化利用系统、原料及成品贮存系统、通风除尘系统、污水处理系统、厂区道路、地基处理、防洪等。6.1.3辅助设施构成应包括进厂(场)道路、供配电、给排水设施、生活和行政办公管理设施、设备维修、消防和安全卫生设施、车辆冲洗、通信、信息化及监控、应急设施(包括建筑垃圾临时存放、紧急照明)等。</w:t>
                  </w:r>
                </w:p>
              </w:tc>
              <w:tc>
                <w:tcPr>
                  <w:tcW w:w="1416" w:type="pct"/>
                  <w:tcBorders>
                    <w:tl2br w:val="nil"/>
                    <w:tr2bl w:val="nil"/>
                  </w:tcBorders>
                  <w:vAlign w:val="center"/>
                </w:tcPr>
                <w:p w14:paraId="22DC977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本项目包含原料贮存系统，建筑垃圾预处理系统（智能分选、磁选），资源化利用系统（骨料再生制</w:t>
                  </w:r>
                  <w:r>
                    <w:rPr>
                      <w:rFonts w:hint="default" w:ascii="Times New Roman" w:hAnsi="Times New Roman" w:eastAsia="宋体" w:cs="Times New Roman"/>
                      <w:b w:val="0"/>
                      <w:bCs/>
                      <w:color w:val="auto"/>
                      <w:lang w:val="en-US" w:eastAsia="zh-CN"/>
                    </w:rPr>
                    <w:t>RDF燃料</w:t>
                  </w:r>
                  <w:r>
                    <w:rPr>
                      <w:rFonts w:hint="default" w:ascii="Times New Roman" w:hAnsi="Times New Roman" w:eastAsia="宋体" w:cs="Times New Roman"/>
                      <w:b w:val="0"/>
                      <w:bCs/>
                      <w:color w:val="auto"/>
                    </w:rPr>
                    <w:t>、制水稳）和计量系统，同时包含配套的公辅工程。项目辅助工程包含道路、给排水、办公楼等工程</w:t>
                  </w:r>
                </w:p>
              </w:tc>
              <w:tc>
                <w:tcPr>
                  <w:tcW w:w="532" w:type="pct"/>
                  <w:tcBorders>
                    <w:tl2br w:val="nil"/>
                    <w:tr2bl w:val="nil"/>
                  </w:tcBorders>
                  <w:vAlign w:val="center"/>
                </w:tcPr>
                <w:p w14:paraId="03ABCFD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397A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43F4573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w:t>
                  </w:r>
                </w:p>
              </w:tc>
              <w:tc>
                <w:tcPr>
                  <w:tcW w:w="2675" w:type="pct"/>
                  <w:tcBorders>
                    <w:tl2br w:val="nil"/>
                    <w:tr2bl w:val="nil"/>
                  </w:tcBorders>
                  <w:vAlign w:val="center"/>
                </w:tcPr>
                <w:p w14:paraId="0FC2AABB">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6.3.3道路应符合下列规定：</w:t>
                  </w:r>
                </w:p>
                <w:p w14:paraId="3A1C81E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主要道路当为双向通行时，宽度不宜小于7m;当为单向通行时，宽度不宜小于4m。坡道中心圆曲线半径不宜小于15m,纵坡不应大于8%。圆曲线处道路的加宽应根据通行车型确定。宜设置应急停车场，应急停车场可设在厂区物流出入口附近。</w:t>
                  </w:r>
                </w:p>
                <w:p w14:paraId="72B15190">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2道路应满足全天候使用并做好排水措施。</w:t>
                  </w:r>
                </w:p>
                <w:p w14:paraId="1792F3C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3主干道路面宜采用水泥混凝土或沥青混凝土。</w:t>
                  </w:r>
                </w:p>
              </w:tc>
              <w:tc>
                <w:tcPr>
                  <w:tcW w:w="1416" w:type="pct"/>
                  <w:tcBorders>
                    <w:tl2br w:val="nil"/>
                    <w:tr2bl w:val="nil"/>
                  </w:tcBorders>
                  <w:vAlign w:val="center"/>
                </w:tcPr>
                <w:p w14:paraId="7B9FEE4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本项目场内运输道路采用双向车道，宽度为8m，并设有雨水管道及阀门，主干道为水泥混凝土路面</w:t>
                  </w:r>
                </w:p>
              </w:tc>
              <w:tc>
                <w:tcPr>
                  <w:tcW w:w="532" w:type="pct"/>
                  <w:tcBorders>
                    <w:tl2br w:val="nil"/>
                    <w:tr2bl w:val="nil"/>
                  </w:tcBorders>
                  <w:vAlign w:val="center"/>
                </w:tcPr>
                <w:p w14:paraId="41857F8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6585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1A8072A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w:t>
                  </w:r>
                </w:p>
              </w:tc>
              <w:tc>
                <w:tcPr>
                  <w:tcW w:w="2675" w:type="pct"/>
                  <w:tcBorders>
                    <w:tl2br w:val="nil"/>
                    <w:tr2bl w:val="nil"/>
                  </w:tcBorders>
                  <w:vAlign w:val="center"/>
                </w:tcPr>
                <w:p w14:paraId="4CBC4C1C">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7.1.4建筑垃圾运输车厢盖和集装箱盖宜采用机械密闭装置，开启、关闭动作应平稳灵活，车厢与集装箱底部宜采取防渗措施。7.1.5建筑垃圾运输工具应容貌整洁、标志齐全，车厢、集装箱、车辆底盘、车轮、船舶无大块泥沙等附着物。</w:t>
                  </w:r>
                </w:p>
                <w:p w14:paraId="6EC0B246">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7.1.6建筑垃圾装载高度最高点应低于车厢栏板高度0.15m以上，车辆装载完毕后，厢盖应关闭到位，装载量不得超过车辆额定载重量。</w:t>
                  </w:r>
                </w:p>
              </w:tc>
              <w:tc>
                <w:tcPr>
                  <w:tcW w:w="1416" w:type="pct"/>
                  <w:tcBorders>
                    <w:tl2br w:val="nil"/>
                    <w:tr2bl w:val="nil"/>
                  </w:tcBorders>
                  <w:vAlign w:val="center"/>
                </w:tcPr>
                <w:p w14:paraId="71841B0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建筑垃圾采用密闭车辆运输，项目运输的建筑垃圾均为干垃圾，且采取密闭运输，无渗滤液产生，建筑垃圾运输工具做到容貌整洁、标志齐全，车厢、集装箱、车辆底盘、车轮、船舶无大块泥沙等附着物</w:t>
                  </w:r>
                </w:p>
              </w:tc>
              <w:tc>
                <w:tcPr>
                  <w:tcW w:w="532" w:type="pct"/>
                  <w:tcBorders>
                    <w:tl2br w:val="nil"/>
                    <w:tr2bl w:val="nil"/>
                  </w:tcBorders>
                  <w:vAlign w:val="center"/>
                </w:tcPr>
                <w:p w14:paraId="740E595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00B42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5373398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w:t>
                  </w:r>
                </w:p>
              </w:tc>
              <w:tc>
                <w:tcPr>
                  <w:tcW w:w="2675" w:type="pct"/>
                  <w:tcBorders>
                    <w:tl2br w:val="nil"/>
                    <w:tr2bl w:val="nil"/>
                  </w:tcBorders>
                  <w:vAlign w:val="center"/>
                </w:tcPr>
                <w:p w14:paraId="06731BEF">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8.1.1建筑垃圾资源化可采用就地利用、分散处理、集中处理等模式，宜优先就地利用。</w:t>
                  </w:r>
                </w:p>
                <w:p w14:paraId="0903472A">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8.1.2建筑垃圾应按成分进行资源化利用。土类建筑垃圾可作为制砖和道路工程等用原料；废旧混凝土、碎砖瓦等宜作为再生建材用原料；废沥青宜作为再生沥青原料；废金属、木材、塑料、纸张、玻璃、橡胶等，宜由有关专业企业作为原料直接利用或再生。</w:t>
                  </w:r>
                </w:p>
                <w:p w14:paraId="5DCDD798">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8.1.3进入固定式资源化厂的建筑垃圾宜以废旧混凝土、碎砖瓦等为主，进厂物料粒径宜小于lm,大于1m的物料宜先预破碎。</w:t>
                  </w:r>
                </w:p>
                <w:p w14:paraId="3CD4CB0B">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8.1.4应根据处理规模配备原料和产品堆场，原料堆场贮存时间不宜小于30d,制品堆场贮存时间不应小于各类产品的最低</w:t>
                  </w:r>
                  <w:r>
                    <w:rPr>
                      <w:rFonts w:hint="default" w:ascii="Times New Roman" w:hAnsi="Times New Roman" w:eastAsia="宋体" w:cs="Times New Roman"/>
                      <w:b w:val="0"/>
                      <w:bCs/>
                      <w:color w:val="auto"/>
                      <w:lang w:eastAsia="zh-CN"/>
                    </w:rPr>
                    <w:t>养</w:t>
                  </w:r>
                  <w:r>
                    <w:rPr>
                      <w:rFonts w:hint="default" w:ascii="Times New Roman" w:hAnsi="Times New Roman" w:eastAsia="宋体" w:cs="Times New Roman"/>
                      <w:b w:val="0"/>
                      <w:bCs/>
                      <w:color w:val="auto"/>
                    </w:rPr>
                    <w:t>护期，骨料堆场不宜小于15d。</w:t>
                  </w:r>
                </w:p>
                <w:p w14:paraId="4A7E4341">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8.1.5建筑垃圾原料贮存堆场应保证堆体的安全稳定性，并应采取防尘措施，可根据后续工艺进行预湿；建筑垃圾卸料、上料及处理过程中易产生扬尘的环节应采取抑尘、降尘及除尘措施。</w:t>
                  </w:r>
                </w:p>
              </w:tc>
              <w:tc>
                <w:tcPr>
                  <w:tcW w:w="1416" w:type="pct"/>
                  <w:tcBorders>
                    <w:tl2br w:val="nil"/>
                    <w:tr2bl w:val="nil"/>
                  </w:tcBorders>
                  <w:vAlign w:val="center"/>
                </w:tcPr>
                <w:p w14:paraId="68E701C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本项目处置的建筑垃圾主要包含拆出垃圾和装修垃圾，不涉及废沥青等危险废物，项目建筑垃圾为集中处置后进行资源化利用，建筑垃圾破碎筛分后制成骨料用于</w:t>
                  </w:r>
                  <w:r>
                    <w:rPr>
                      <w:rFonts w:hint="default" w:ascii="Times New Roman" w:hAnsi="Times New Roman" w:eastAsia="宋体" w:cs="Times New Roman"/>
                      <w:b w:val="0"/>
                      <w:bCs/>
                      <w:color w:val="auto"/>
                      <w:lang w:val="en-US" w:eastAsia="zh-CN"/>
                    </w:rPr>
                    <w:t>RDF燃料</w:t>
                  </w:r>
                  <w:r>
                    <w:rPr>
                      <w:rFonts w:hint="default" w:ascii="Times New Roman" w:hAnsi="Times New Roman" w:eastAsia="宋体" w:cs="Times New Roman"/>
                      <w:b w:val="0"/>
                      <w:bCs/>
                      <w:color w:val="auto"/>
                    </w:rPr>
                    <w:t>和水稳料的生产，建筑垃圾库设置</w:t>
                  </w:r>
                  <w:r>
                    <w:rPr>
                      <w:rFonts w:hint="default" w:ascii="Times New Roman" w:hAnsi="Times New Roman" w:eastAsia="宋体" w:cs="Times New Roman"/>
                      <w:b w:val="0"/>
                      <w:bCs/>
                      <w:color w:val="auto"/>
                      <w:lang w:val="en-US" w:eastAsia="zh-CN"/>
                    </w:rPr>
                    <w:t>干雾</w:t>
                  </w:r>
                  <w:r>
                    <w:rPr>
                      <w:rFonts w:hint="default" w:ascii="Times New Roman" w:hAnsi="Times New Roman" w:eastAsia="宋体" w:cs="Times New Roman"/>
                      <w:b w:val="0"/>
                      <w:bCs/>
                      <w:color w:val="auto"/>
                    </w:rPr>
                    <w:t>抑尘等方式抑尘。</w:t>
                  </w:r>
                </w:p>
              </w:tc>
              <w:tc>
                <w:tcPr>
                  <w:tcW w:w="532" w:type="pct"/>
                  <w:tcBorders>
                    <w:tl2br w:val="nil"/>
                    <w:tr2bl w:val="nil"/>
                  </w:tcBorders>
                  <w:vAlign w:val="center"/>
                </w:tcPr>
                <w:p w14:paraId="013C487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01DD1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197F582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7</w:t>
                  </w:r>
                </w:p>
              </w:tc>
              <w:tc>
                <w:tcPr>
                  <w:tcW w:w="2675" w:type="pct"/>
                  <w:tcBorders>
                    <w:tl2br w:val="nil"/>
                    <w:tr2bl w:val="nil"/>
                  </w:tcBorders>
                  <w:vAlign w:val="center"/>
                </w:tcPr>
                <w:p w14:paraId="4566C01A">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8.2.1再生处理前应对建筑垃圾进行预处理，可包括分类、预湿及大块物料简单破碎。</w:t>
                  </w:r>
                </w:p>
                <w:p w14:paraId="11E47968">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8.2.2再生处理应符合下列规定：</w:t>
                  </w:r>
                </w:p>
                <w:p w14:paraId="05123F63">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1处理系统应主要包括破碎、筛分、分选等工艺，具体工艺路线应根据建筑垃圾特点和再生产品性能要求确定。</w:t>
                  </w:r>
                </w:p>
                <w:p w14:paraId="281659B6">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2破碎设备应具备可调节破碎出料尺寸功能，可多种破碎设备组合运用。破碎工艺宜设置检修平台或智能控制系统。</w:t>
                  </w:r>
                </w:p>
                <w:p w14:paraId="7C7C5D0D">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3分选宜以机械分选为主、人工分选为辅。</w:t>
                  </w:r>
                </w:p>
                <w:p w14:paraId="4A0AB5E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8.2.3应合理布置生产线，减少物料传输距离。应合理利用地势势能和传输带提升动能，设计生产线工艺高程。</w:t>
                  </w:r>
                </w:p>
                <w:p w14:paraId="17F24F31">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8.2.4再生处理工艺应根据进厂物料特性、资源化利用工艺、产品形式与出路等综合确定，可分为固定式和移动式两种，固定式处理工艺流程可按本标准附录A的规定，移动式处理工艺流程可按本标准附录B的规定。处理工艺应包括给料、除土、破碎、筛分、分选、粉磨、输送、贮存、除尘、降噪、废水处理等工序，各工序配置宜根据原料与产品确定。</w:t>
                  </w:r>
                </w:p>
              </w:tc>
              <w:tc>
                <w:tcPr>
                  <w:tcW w:w="1416" w:type="pct"/>
                  <w:tcBorders>
                    <w:tl2br w:val="nil"/>
                    <w:tr2bl w:val="nil"/>
                  </w:tcBorders>
                  <w:vAlign w:val="center"/>
                </w:tcPr>
                <w:p w14:paraId="45D4DB9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建筑垃圾处理工艺包含分选、磁选、破碎、筛分等工艺，项目分选采用智能分选机，采用颚式破碎机和反击式破碎机进行破碎，采用固定式方式进行处理</w:t>
                  </w:r>
                </w:p>
              </w:tc>
              <w:tc>
                <w:tcPr>
                  <w:tcW w:w="532" w:type="pct"/>
                  <w:tcBorders>
                    <w:tl2br w:val="nil"/>
                    <w:tr2bl w:val="nil"/>
                  </w:tcBorders>
                  <w:vAlign w:val="center"/>
                </w:tcPr>
                <w:p w14:paraId="11F868E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115B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1A0FEA4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w:t>
                  </w:r>
                </w:p>
              </w:tc>
              <w:tc>
                <w:tcPr>
                  <w:tcW w:w="2675" w:type="pct"/>
                  <w:tcBorders>
                    <w:tl2br w:val="nil"/>
                    <w:tr2bl w:val="nil"/>
                  </w:tcBorders>
                  <w:vAlign w:val="center"/>
                </w:tcPr>
                <w:p w14:paraId="6F9B28F1">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8.2.5给料系统应符合下列规定：</w:t>
                  </w:r>
                </w:p>
                <w:p w14:paraId="2E7E8828">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1工艺流程中设置预筛分环节的，建筑垃圾原料应给至预筛分设备。</w:t>
                  </w:r>
                </w:p>
                <w:p w14:paraId="473A41D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2工艺流程中未设置预筛分环节的，建筑垃圾原料应给至一级破碎设备。给料应结合除土工艺进行，宜采用棒条式振动给料方式。给料机应保证机械刚度和间隙可调。</w:t>
                  </w:r>
                </w:p>
                <w:p w14:paraId="20FDCB99">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3给料口规格尺寸和给料速度应保证后续生产的连续稳定并与设计能力相匹配。</w:t>
                  </w:r>
                </w:p>
                <w:p w14:paraId="43788047">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8.2.6除土系统应符合下列规定：</w:t>
                  </w:r>
                </w:p>
                <w:p w14:paraId="00DDF984">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1工艺流程中设置预筛分环节的，除土应结合预筛分进行。</w:t>
                  </w:r>
                </w:p>
                <w:p w14:paraId="5EB9E8A3">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2工艺流程中未设置预筛分环节的，除土应结合一级破碎给料进行。</w:t>
                  </w:r>
                </w:p>
                <w:p w14:paraId="1D1E8B16">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3预筛分设备宜选用重型筛，筛网孔径应根据除土需要和产品规格设计进行选择。</w:t>
                  </w:r>
                </w:p>
              </w:tc>
              <w:tc>
                <w:tcPr>
                  <w:tcW w:w="1416" w:type="pct"/>
                  <w:tcBorders>
                    <w:tl2br w:val="nil"/>
                    <w:tr2bl w:val="nil"/>
                  </w:tcBorders>
                  <w:vAlign w:val="center"/>
                </w:tcPr>
                <w:p w14:paraId="37CA901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本项目未设置预筛分工序，建筑垃圾经智能分选后进入一级破碎工序再进行细碎筛分处理。破碎机能力可满足本项目生产需求</w:t>
                  </w:r>
                </w:p>
              </w:tc>
              <w:tc>
                <w:tcPr>
                  <w:tcW w:w="532" w:type="pct"/>
                  <w:tcBorders>
                    <w:tl2br w:val="nil"/>
                    <w:tr2bl w:val="nil"/>
                  </w:tcBorders>
                  <w:vAlign w:val="center"/>
                </w:tcPr>
                <w:p w14:paraId="710614D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59AD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03E5139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9</w:t>
                  </w:r>
                </w:p>
              </w:tc>
              <w:tc>
                <w:tcPr>
                  <w:tcW w:w="2675" w:type="pct"/>
                  <w:tcBorders>
                    <w:tl2br w:val="nil"/>
                    <w:tr2bl w:val="nil"/>
                  </w:tcBorders>
                  <w:vAlign w:val="center"/>
                </w:tcPr>
                <w:p w14:paraId="062D8A62">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8.2.7破碎系统应符合下列规定：</w:t>
                  </w:r>
                </w:p>
                <w:p w14:paraId="1C22951D">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心1应根据产品需求选择一级、二级或以上破碎。2一级破碎设备可采用颚式破碎机或反击式破碎机，二级破碎设备可采用反击式破碎机或锤式破碎机。</w:t>
                  </w:r>
                </w:p>
                <w:p w14:paraId="75BF4642">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3在每级破碎过程中，宜通过闭路流程使大粒径的物料返回破碎机再次破碎。</w:t>
                  </w:r>
                </w:p>
                <w:p w14:paraId="45F7522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4破碎设备应采取防尘和降噪措施。</w:t>
                  </w:r>
                </w:p>
                <w:p w14:paraId="3C188075">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8.2.8筛分系统应符合下列规定：</w:t>
                  </w:r>
                </w:p>
                <w:p w14:paraId="1304E8DD">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1筛分宜采用振动筛。</w:t>
                  </w:r>
                </w:p>
                <w:p w14:paraId="3E663064">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2筛网孔径选择应与产品规格设计相适应。</w:t>
                  </w:r>
                </w:p>
                <w:p w14:paraId="715B3874">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3筛分设备应采取防尘和降噪措施。</w:t>
                  </w:r>
                </w:p>
              </w:tc>
              <w:tc>
                <w:tcPr>
                  <w:tcW w:w="1416" w:type="pct"/>
                  <w:tcBorders>
                    <w:tl2br w:val="nil"/>
                    <w:tr2bl w:val="nil"/>
                  </w:tcBorders>
                  <w:vAlign w:val="center"/>
                </w:tcPr>
                <w:p w14:paraId="5391A8F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建筑垃圾破碎采用颚式破碎机和反击式破碎机，破碎机落料点设置密闭集气罩收集粉尘至除尘器处理，破碎机基础减振、厂房隔声进行降噪。筛分设备基础减震、厂房隔声降噪，粉尘同破碎粉尘一同进入除尘器进行处理</w:t>
                  </w:r>
                </w:p>
              </w:tc>
              <w:tc>
                <w:tcPr>
                  <w:tcW w:w="532" w:type="pct"/>
                  <w:tcBorders>
                    <w:tl2br w:val="nil"/>
                    <w:tr2bl w:val="nil"/>
                  </w:tcBorders>
                  <w:vAlign w:val="center"/>
                </w:tcPr>
                <w:p w14:paraId="160BB1B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12FA1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79405A2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10</w:t>
                  </w:r>
                </w:p>
              </w:tc>
              <w:tc>
                <w:tcPr>
                  <w:tcW w:w="2675" w:type="pct"/>
                  <w:tcBorders>
                    <w:tl2br w:val="nil"/>
                    <w:tr2bl w:val="nil"/>
                  </w:tcBorders>
                  <w:vAlign w:val="center"/>
                </w:tcPr>
                <w:p w14:paraId="34CFFB23">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8.2.9分选系统应符合下列规定：</w:t>
                  </w:r>
                </w:p>
                <w:p w14:paraId="29E24D8D">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1分选应根据处理对象特点和产品性能要求合理选择。</w:t>
                  </w:r>
                </w:p>
                <w:p w14:paraId="69C5D9E9">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2应有磁选分离装置，将钢筋、铁屑等金属物质分离。</w:t>
                  </w:r>
                </w:p>
                <w:p w14:paraId="6645A89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3可采用风选或水选将木材、塑料、纸片等轻物质分离。</w:t>
                  </w:r>
                </w:p>
                <w:p w14:paraId="1962A199">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4宜设置人工分选平台，将不易破碎的大块轻质物料及少量金属选出，人工分选平台宜设置在预筛分或一级破碎后的物料传送阶段。</w:t>
                  </w:r>
                </w:p>
                <w:p w14:paraId="77DE2925">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5磁选和轻物质分选可多处设置。</w:t>
                  </w:r>
                </w:p>
                <w:p w14:paraId="20DD63FC">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6轻物质分选率不应低于95%。</w:t>
                  </w:r>
                </w:p>
                <w:p w14:paraId="6851719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7分选出的杂物应集中收集、分类堆放。</w:t>
                  </w:r>
                </w:p>
              </w:tc>
              <w:tc>
                <w:tcPr>
                  <w:tcW w:w="1416" w:type="pct"/>
                  <w:tcBorders>
                    <w:tl2br w:val="nil"/>
                    <w:tr2bl w:val="nil"/>
                  </w:tcBorders>
                  <w:vAlign w:val="center"/>
                </w:tcPr>
                <w:p w14:paraId="1780A7A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本项目分选系统采用智能分选机进行分选，同时设置磁选机去除建筑垃圾内的金属物质，项目不设置人工分选。分选出的轻物质、木材、金属等废弃物分区堆放后再外售物资回收单位处置</w:t>
                  </w:r>
                </w:p>
              </w:tc>
              <w:tc>
                <w:tcPr>
                  <w:tcW w:w="532" w:type="pct"/>
                  <w:tcBorders>
                    <w:tl2br w:val="nil"/>
                    <w:tr2bl w:val="nil"/>
                  </w:tcBorders>
                  <w:vAlign w:val="center"/>
                </w:tcPr>
                <w:p w14:paraId="3DAC385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5541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1FFBED4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11</w:t>
                  </w:r>
                </w:p>
              </w:tc>
              <w:tc>
                <w:tcPr>
                  <w:tcW w:w="2675" w:type="pct"/>
                  <w:tcBorders>
                    <w:tl2br w:val="nil"/>
                    <w:tr2bl w:val="nil"/>
                  </w:tcBorders>
                  <w:vAlign w:val="center"/>
                </w:tcPr>
                <w:p w14:paraId="1ECBC412">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8.2.12产品贮存应符合下列规定：</w:t>
                  </w:r>
                </w:p>
                <w:p w14:paraId="0A2DAE40">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1再生骨料堆场布置应与筛分环节相协调，堆场大小应与贮存量相匹配。</w:t>
                  </w:r>
                </w:p>
                <w:p w14:paraId="15827A36">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2应按不同类别、规格分别存放。</w:t>
                  </w:r>
                </w:p>
                <w:p w14:paraId="49971C7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3再生粉体贮存应封闭。</w:t>
                  </w:r>
                </w:p>
              </w:tc>
              <w:tc>
                <w:tcPr>
                  <w:tcW w:w="1416" w:type="pct"/>
                  <w:tcBorders>
                    <w:tl2br w:val="nil"/>
                    <w:tr2bl w:val="nil"/>
                  </w:tcBorders>
                  <w:vAlign w:val="center"/>
                </w:tcPr>
                <w:p w14:paraId="5133C222">
                  <w:pPr>
                    <w:pStyle w:val="62"/>
                    <w:rPr>
                      <w:rFonts w:hint="default" w:ascii="Times New Roman" w:hAnsi="Times New Roman" w:eastAsia="宋体" w:cs="Times New Roman"/>
                      <w:color w:val="auto"/>
                      <w:lang w:val="en-US" w:eastAsia="zh-CN"/>
                    </w:rPr>
                  </w:pPr>
                  <w:r>
                    <w:rPr>
                      <w:rFonts w:hint="default" w:ascii="Times New Roman" w:hAnsi="Times New Roman" w:eastAsia="宋体" w:cs="Times New Roman"/>
                      <w:b w:val="0"/>
                      <w:bCs/>
                      <w:color w:val="auto"/>
                    </w:rPr>
                    <w:t>再生骨料包含0-5mm，5-10mm，</w:t>
                  </w:r>
                  <w:r>
                    <w:rPr>
                      <w:rFonts w:hint="default" w:ascii="Times New Roman" w:hAnsi="Times New Roman" w:eastAsia="宋体" w:cs="Times New Roman"/>
                      <w:b w:val="0"/>
                      <w:bCs/>
                      <w:color w:val="auto"/>
                      <w:lang w:val="en-US" w:eastAsia="zh-CN"/>
                    </w:rPr>
                    <w:t>10</w:t>
                  </w:r>
                  <w:r>
                    <w:rPr>
                      <w:rFonts w:hint="default" w:ascii="Times New Roman" w:hAnsi="Times New Roman" w:eastAsia="宋体" w:cs="Times New Roman"/>
                      <w:b w:val="0"/>
                      <w:bCs/>
                      <w:color w:val="auto"/>
                    </w:rPr>
                    <w:t>-</w:t>
                  </w:r>
                  <w:r>
                    <w:rPr>
                      <w:rFonts w:hint="default" w:ascii="Times New Roman" w:hAnsi="Times New Roman" w:eastAsia="宋体" w:cs="Times New Roman"/>
                      <w:b w:val="0"/>
                      <w:bCs/>
                      <w:color w:val="auto"/>
                      <w:lang w:val="en-US" w:eastAsia="zh-CN"/>
                    </w:rPr>
                    <w:t>25</w:t>
                  </w:r>
                  <w:r>
                    <w:rPr>
                      <w:rFonts w:hint="default" w:ascii="Times New Roman" w:hAnsi="Times New Roman" w:eastAsia="宋体" w:cs="Times New Roman"/>
                      <w:b w:val="0"/>
                      <w:bCs/>
                      <w:color w:val="auto"/>
                    </w:rPr>
                    <w:t>mm三种粒径，</w:t>
                  </w:r>
                  <w:r>
                    <w:rPr>
                      <w:rFonts w:hint="default" w:ascii="Times New Roman" w:hAnsi="Times New Roman" w:eastAsia="宋体" w:cs="Times New Roman"/>
                      <w:b w:val="0"/>
                      <w:bCs/>
                      <w:color w:val="auto"/>
                      <w:lang w:val="en-US" w:eastAsia="zh-CN"/>
                    </w:rPr>
                    <w:t>骨料存储区位于密闭生产车间内</w:t>
                  </w:r>
                </w:p>
                <w:p w14:paraId="30344820">
                  <w:pPr>
                    <w:pStyle w:val="62"/>
                    <w:rPr>
                      <w:rFonts w:hint="default" w:ascii="Times New Roman" w:hAnsi="Times New Roman" w:eastAsia="宋体" w:cs="Times New Roman"/>
                      <w:color w:val="auto"/>
                      <w:lang w:val="en-US" w:eastAsia="zh-CN"/>
                    </w:rPr>
                  </w:pPr>
                </w:p>
              </w:tc>
              <w:tc>
                <w:tcPr>
                  <w:tcW w:w="532" w:type="pct"/>
                  <w:tcBorders>
                    <w:tl2br w:val="nil"/>
                    <w:tr2bl w:val="nil"/>
                  </w:tcBorders>
                  <w:vAlign w:val="center"/>
                </w:tcPr>
                <w:p w14:paraId="68A9CD9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7E1B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3B60FC5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12</w:t>
                  </w:r>
                </w:p>
              </w:tc>
              <w:tc>
                <w:tcPr>
                  <w:tcW w:w="2675" w:type="pct"/>
                  <w:tcBorders>
                    <w:tl2br w:val="nil"/>
                    <w:tr2bl w:val="nil"/>
                  </w:tcBorders>
                  <w:vAlign w:val="center"/>
                </w:tcPr>
                <w:p w14:paraId="12BD6CFA">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8.2.14噪声控制应符合下列规定：</w:t>
                  </w:r>
                </w:p>
                <w:p w14:paraId="080A5E5B">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1应优</w:t>
                  </w:r>
                  <w:r>
                    <w:rPr>
                      <w:rFonts w:hint="default" w:ascii="Times New Roman" w:hAnsi="Times New Roman" w:eastAsia="宋体" w:cs="Times New Roman"/>
                      <w:b w:val="0"/>
                      <w:bCs/>
                      <w:color w:val="auto"/>
                      <w:lang w:val="en-US" w:eastAsia="zh-CN"/>
                    </w:rPr>
                    <w:t>先</w:t>
                  </w:r>
                  <w:r>
                    <w:rPr>
                      <w:rFonts w:hint="default" w:ascii="Times New Roman" w:hAnsi="Times New Roman" w:eastAsia="宋体" w:cs="Times New Roman"/>
                      <w:b w:val="0"/>
                      <w:bCs/>
                      <w:color w:val="auto"/>
                    </w:rPr>
                    <w:t>选用噪声值低的建筑垃圾处理设备，同时应在设备处设置隔声设施，设施内宜采用多孔吸声材料。</w:t>
                  </w:r>
                </w:p>
                <w:p w14:paraId="10D290FE">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2固定式处理主要破碎设备可采用下沉式设计。</w:t>
                  </w:r>
                </w:p>
                <w:p w14:paraId="79112222">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3封闭车间宜采用少窗结构，所用门窗宜选用双层或多层隔声门窗，内壁表面宜装饰吸音材料。</w:t>
                  </w:r>
                </w:p>
                <w:p w14:paraId="21576598">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4应合理设置绿化和围墙。</w:t>
                  </w:r>
                </w:p>
                <w:p w14:paraId="30E139C8">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5可利用建筑物合理布局，阻隔声波传播，高噪声源应在厂区中央尽量远离敏感点。</w:t>
                  </w:r>
                </w:p>
                <w:p w14:paraId="4B728506">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6作业场所噪声控制指标应符合现行国家标准《工业企业噪声控制设计规范》GB/T50087的规定。</w:t>
                  </w:r>
                </w:p>
              </w:tc>
              <w:tc>
                <w:tcPr>
                  <w:tcW w:w="1416" w:type="pct"/>
                  <w:tcBorders>
                    <w:tl2br w:val="nil"/>
                    <w:tr2bl w:val="nil"/>
                  </w:tcBorders>
                  <w:vAlign w:val="center"/>
                </w:tcPr>
                <w:p w14:paraId="0366091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本项目选用低噪声设备，同时将设备</w:t>
                  </w:r>
                  <w:r>
                    <w:rPr>
                      <w:rFonts w:hint="default" w:ascii="Times New Roman" w:hAnsi="Times New Roman" w:eastAsia="宋体" w:cs="Times New Roman"/>
                      <w:b w:val="0"/>
                      <w:bCs/>
                      <w:color w:val="auto"/>
                      <w:lang w:eastAsia="zh-CN"/>
                    </w:rPr>
                    <w:t>置于</w:t>
                  </w:r>
                  <w:r>
                    <w:rPr>
                      <w:rFonts w:hint="default" w:ascii="Times New Roman" w:hAnsi="Times New Roman" w:eastAsia="宋体" w:cs="Times New Roman"/>
                      <w:b w:val="0"/>
                      <w:bCs/>
                      <w:color w:val="auto"/>
                    </w:rPr>
                    <w:t>厂房内，通过厂房隔声，并进行相应的绿化，厂界噪声可满足《工业企业厂界环境噪声排放标准》（GB12348-2008）中2类标准限值要求</w:t>
                  </w:r>
                </w:p>
              </w:tc>
              <w:tc>
                <w:tcPr>
                  <w:tcW w:w="532" w:type="pct"/>
                  <w:tcBorders>
                    <w:tl2br w:val="nil"/>
                    <w:tr2bl w:val="nil"/>
                  </w:tcBorders>
                  <w:vAlign w:val="center"/>
                </w:tcPr>
                <w:p w14:paraId="7C770C3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5C81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09FD434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13</w:t>
                  </w:r>
                </w:p>
              </w:tc>
              <w:tc>
                <w:tcPr>
                  <w:tcW w:w="2675" w:type="pct"/>
                  <w:tcBorders>
                    <w:tl2br w:val="nil"/>
                    <w:tr2bl w:val="nil"/>
                  </w:tcBorders>
                  <w:vAlign w:val="center"/>
                </w:tcPr>
                <w:p w14:paraId="540AE99C">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8.4.1道路用再生级配骨料和再生骨料无机混合料应符合</w:t>
                  </w:r>
                  <w:r>
                    <w:rPr>
                      <w:rFonts w:hint="default" w:ascii="Times New Roman" w:hAnsi="Times New Roman" w:eastAsia="宋体" w:cs="Times New Roman"/>
                      <w:b w:val="0"/>
                      <w:bCs/>
                      <w:color w:val="auto"/>
                      <w:lang w:eastAsia="zh-CN"/>
                    </w:rPr>
                    <w:t>下列</w:t>
                  </w:r>
                  <w:r>
                    <w:rPr>
                      <w:rFonts w:hint="default" w:ascii="Times New Roman" w:hAnsi="Times New Roman" w:eastAsia="宋体" w:cs="Times New Roman"/>
                      <w:b w:val="0"/>
                      <w:bCs/>
                      <w:color w:val="auto"/>
                    </w:rPr>
                    <w:t>规定：</w:t>
                  </w:r>
                </w:p>
                <w:p w14:paraId="41B0F850">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建筑垃圾再生骨料、再生粉体可作为再生级配骨料直接应用于道路工程，也可制成再生骨料无机混合料应用于道路工程。用于道路路面基层时，其最大粒径不应大于31.5mm,用于道路路面底基层时，其最大粒径不应大于37.5mm。再生级配骨料与再生骨料无机混合料应符合现行行业标准《道路用建筑垃圾再生骨料无机混合料》JC/T2281的规定。</w:t>
                  </w:r>
                </w:p>
                <w:p w14:paraId="3D32EB75">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2道路路床用建筑垃圾再生骨料的最大粒径不宜超过80mm。</w:t>
                  </w:r>
                </w:p>
                <w:p w14:paraId="657FAB89">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3再生骨料无机混合料按无机结合料的种类可分为水泥稳定、石灰粉煤灰稳定、水泥粉煤灰稳定三类。</w:t>
                  </w:r>
                </w:p>
              </w:tc>
              <w:tc>
                <w:tcPr>
                  <w:tcW w:w="1416" w:type="pct"/>
                  <w:tcBorders>
                    <w:tl2br w:val="nil"/>
                    <w:tr2bl w:val="nil"/>
                  </w:tcBorders>
                  <w:vAlign w:val="center"/>
                </w:tcPr>
                <w:p w14:paraId="6DE4A44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本项目再生骨料粒径为0-</w:t>
                  </w:r>
                  <w:r>
                    <w:rPr>
                      <w:rFonts w:hint="default" w:ascii="Times New Roman" w:hAnsi="Times New Roman" w:eastAsia="宋体" w:cs="Times New Roman"/>
                      <w:b w:val="0"/>
                      <w:bCs/>
                      <w:color w:val="auto"/>
                      <w:lang w:val="en-US" w:eastAsia="zh-CN"/>
                    </w:rPr>
                    <w:t>25</w:t>
                  </w:r>
                  <w:r>
                    <w:rPr>
                      <w:rFonts w:hint="default" w:ascii="Times New Roman" w:hAnsi="Times New Roman" w:eastAsia="宋体" w:cs="Times New Roman"/>
                      <w:b w:val="0"/>
                      <w:bCs/>
                      <w:color w:val="auto"/>
                    </w:rPr>
                    <w:t>mm，用于水稳料，满足要求</w:t>
                  </w:r>
                </w:p>
              </w:tc>
              <w:tc>
                <w:tcPr>
                  <w:tcW w:w="532" w:type="pct"/>
                  <w:tcBorders>
                    <w:tl2br w:val="nil"/>
                    <w:tr2bl w:val="nil"/>
                  </w:tcBorders>
                  <w:vAlign w:val="center"/>
                </w:tcPr>
                <w:p w14:paraId="777EF4C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4BF8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729C7EF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14</w:t>
                  </w:r>
                </w:p>
              </w:tc>
              <w:tc>
                <w:tcPr>
                  <w:tcW w:w="2675" w:type="pct"/>
                  <w:tcBorders>
                    <w:tl2br w:val="nil"/>
                    <w:tr2bl w:val="nil"/>
                  </w:tcBorders>
                  <w:vAlign w:val="center"/>
                </w:tcPr>
                <w:p w14:paraId="78C03959">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12.1.1资源化利用和填埋处置工程应有雨、污分流设施，</w:t>
                  </w:r>
                  <w:r>
                    <w:rPr>
                      <w:rFonts w:hint="default" w:ascii="Times New Roman" w:hAnsi="Times New Roman" w:eastAsia="宋体" w:cs="Times New Roman"/>
                      <w:b w:val="0"/>
                      <w:bCs/>
                      <w:color w:val="auto"/>
                      <w:lang w:eastAsia="zh-CN"/>
                    </w:rPr>
                    <w:t>防止</w:t>
                  </w:r>
                  <w:r>
                    <w:rPr>
                      <w:rFonts w:hint="default" w:ascii="Times New Roman" w:hAnsi="Times New Roman" w:eastAsia="宋体" w:cs="Times New Roman"/>
                      <w:b w:val="0"/>
                      <w:bCs/>
                      <w:color w:val="auto"/>
                    </w:rPr>
                    <w:t>污染周边环境。</w:t>
                  </w:r>
                </w:p>
                <w:p w14:paraId="01650758">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12.1.2资源化处理工程应通过洒水降尘、封闭设备、局部抽吸等措施控制粉尘污染，并应符合下列规定：</w:t>
                  </w:r>
                </w:p>
                <w:p w14:paraId="1BD75FC3">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1雾化洒水降尘措施洒水强度和频率根据温度、面积、建筑垃圾物料性质、风速等条件设置。</w:t>
                  </w:r>
                </w:p>
                <w:p w14:paraId="30817670">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2局部抽吸换气次数不宜低于6次/h,含尘气体经过除尘装置处理后，排放应按现行国家标准《大气污染物综合排放标准》GB 16297规定执行。</w:t>
                  </w:r>
                </w:p>
              </w:tc>
              <w:tc>
                <w:tcPr>
                  <w:tcW w:w="1416" w:type="pct"/>
                  <w:tcBorders>
                    <w:tl2br w:val="nil"/>
                    <w:tr2bl w:val="nil"/>
                  </w:tcBorders>
                  <w:vAlign w:val="center"/>
                </w:tcPr>
                <w:p w14:paraId="71A9674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本项目采取雨污分流制，生产废水收集沉淀后循环利用。厂区设置干雾抑尘、布袋除尘等措施进行降尘，废气排放执行（DB34/3576-2020）（</w:t>
                  </w:r>
                  <w:r>
                    <w:rPr>
                      <w:rFonts w:hint="default" w:ascii="Times New Roman" w:hAnsi="Times New Roman" w:eastAsia="宋体" w:cs="Times New Roman"/>
                      <w:b w:val="0"/>
                      <w:bCs/>
                      <w:color w:val="auto"/>
                      <w:lang w:val="en-US" w:eastAsia="zh-CN"/>
                    </w:rPr>
                    <w:t>GB16297-1996</w:t>
                  </w:r>
                  <w:r>
                    <w:rPr>
                      <w:rFonts w:hint="default" w:ascii="Times New Roman" w:hAnsi="Times New Roman" w:eastAsia="宋体" w:cs="Times New Roman"/>
                      <w:b w:val="0"/>
                      <w:bCs/>
                      <w:color w:val="auto"/>
                    </w:rPr>
                    <w:t>）中限制要求</w:t>
                  </w:r>
                </w:p>
              </w:tc>
              <w:tc>
                <w:tcPr>
                  <w:tcW w:w="532" w:type="pct"/>
                  <w:tcBorders>
                    <w:tl2br w:val="nil"/>
                    <w:tr2bl w:val="nil"/>
                  </w:tcBorders>
                  <w:vAlign w:val="center"/>
                </w:tcPr>
                <w:p w14:paraId="0AED483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r w14:paraId="120A5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75" w:type="pct"/>
                  <w:tcBorders>
                    <w:tl2br w:val="nil"/>
                    <w:tr2bl w:val="nil"/>
                  </w:tcBorders>
                  <w:vAlign w:val="center"/>
                </w:tcPr>
                <w:p w14:paraId="285D39F1">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15</w:t>
                  </w:r>
                </w:p>
              </w:tc>
              <w:tc>
                <w:tcPr>
                  <w:tcW w:w="2675" w:type="pct"/>
                  <w:tcBorders>
                    <w:tl2br w:val="nil"/>
                    <w:tr2bl w:val="nil"/>
                  </w:tcBorders>
                  <w:vAlign w:val="center"/>
                </w:tcPr>
                <w:p w14:paraId="1B84AB32">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12.1.3建筑垃圾处理全过程噪声控制应符合下列规定：</w:t>
                  </w:r>
                </w:p>
                <w:p w14:paraId="4BA84C12">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1建筑垃圾收集、运输、处理系统应选取低噪声运输车辆，车辆在车厢开启、关闭、卸料时产生的噪声不应超过82dB(A);</w:t>
                  </w:r>
                </w:p>
                <w:p w14:paraId="127B1D24">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2宜通过建立缓冲带、设置噪声屏障或封闭车间控制处理</w:t>
                  </w:r>
                </w:p>
                <w:p w14:paraId="1819B650">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3资源化处理车间，宜采取隔声罩、隔声间或者在车间建筑内墙附加吸声材料等方式降低噪声；</w:t>
                  </w:r>
                </w:p>
                <w:p w14:paraId="2D73D270">
                  <w:pPr>
                    <w:pStyle w:val="62"/>
                    <w:jc w:val="left"/>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4场(厂)界噪声应符合现行国家标准《工业企业厂界环境噪声排放标准》GB 12348的规定。</w:t>
                  </w:r>
                </w:p>
              </w:tc>
              <w:tc>
                <w:tcPr>
                  <w:tcW w:w="1416" w:type="pct"/>
                  <w:tcBorders>
                    <w:tl2br w:val="nil"/>
                    <w:tr2bl w:val="nil"/>
                  </w:tcBorders>
                  <w:vAlign w:val="center"/>
                </w:tcPr>
                <w:p w14:paraId="4F5CCF1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本项目选用低噪声设备，设备基础进行减震，并将主要高噪声设备设置于厂房内，通过厂房隔声等措施后，厂界噪声可满足《工业企业厂界噪声环境排放标准》（GB12348-2008）中2类标准限值要求</w:t>
                  </w:r>
                </w:p>
              </w:tc>
              <w:tc>
                <w:tcPr>
                  <w:tcW w:w="532" w:type="pct"/>
                  <w:tcBorders>
                    <w:tl2br w:val="nil"/>
                    <w:tr2bl w:val="nil"/>
                  </w:tcBorders>
                  <w:vAlign w:val="center"/>
                </w:tcPr>
                <w:p w14:paraId="36811B8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符合</w:t>
                  </w:r>
                </w:p>
              </w:tc>
            </w:tr>
          </w:tbl>
          <w:p w14:paraId="4F85EBF9">
            <w:pPr>
              <w:keepNext/>
              <w:keepLines/>
              <w:numPr>
                <w:ilvl w:val="0"/>
                <w:numId w:val="3"/>
              </w:numPr>
              <w:ind w:firstLine="482"/>
              <w:jc w:val="left"/>
              <w:outlineLvl w:val="2"/>
              <w:rPr>
                <w:rFonts w:hint="default" w:ascii="Times New Roman" w:hAnsi="Times New Roman" w:eastAsia="宋体" w:cs="Times New Roman"/>
                <w:b/>
                <w:color w:val="auto"/>
              </w:rPr>
            </w:pPr>
            <w:r>
              <w:rPr>
                <w:rFonts w:hint="default" w:ascii="Times New Roman" w:hAnsi="Times New Roman" w:eastAsia="宋体" w:cs="Times New Roman"/>
                <w:b/>
                <w:color w:val="auto"/>
              </w:rPr>
              <w:t>与国务院关于印发《固体废物综合治理行动计划》的通知</w:t>
            </w:r>
            <w:r>
              <w:rPr>
                <w:rFonts w:hint="default" w:ascii="Times New Roman" w:hAnsi="Times New Roman" w:eastAsia="宋体" w:cs="Times New Roman"/>
                <w:b/>
                <w:color w:val="auto"/>
                <w:lang w:eastAsia="zh-CN"/>
              </w:rPr>
              <w:t>（国发〔2025〕14号）</w:t>
            </w:r>
            <w:r>
              <w:rPr>
                <w:rFonts w:hint="default" w:ascii="Times New Roman" w:hAnsi="Times New Roman" w:eastAsia="宋体" w:cs="Times New Roman"/>
                <w:b/>
                <w:color w:val="auto"/>
              </w:rPr>
              <w:t>符合性分析</w:t>
            </w:r>
          </w:p>
          <w:p w14:paraId="1090BF61">
            <w:pPr>
              <w:keepNext/>
              <w:keepLines/>
              <w:numPr>
                <w:ilvl w:val="0"/>
                <w:numId w:val="0"/>
              </w:numPr>
              <w:jc w:val="center"/>
              <w:outlineLvl w:val="2"/>
              <w:rPr>
                <w:rFonts w:hint="default" w:ascii="Times New Roman" w:hAnsi="Times New Roman" w:eastAsia="宋体" w:cs="Times New Roman"/>
                <w:b/>
                <w:color w:val="auto"/>
              </w:rPr>
            </w:pPr>
            <w:r>
              <w:rPr>
                <w:rFonts w:hint="default" w:ascii="Times New Roman" w:hAnsi="Times New Roman" w:eastAsia="宋体" w:cs="Times New Roman"/>
                <w:b/>
                <w:color w:val="auto"/>
                <w:sz w:val="21"/>
                <w:szCs w:val="21"/>
              </w:rPr>
              <w:t>表1-1</w:t>
            </w:r>
            <w:r>
              <w:rPr>
                <w:rFonts w:hint="default" w:ascii="Times New Roman" w:hAnsi="Times New Roman" w:eastAsia="宋体" w:cs="Times New Roman"/>
                <w:b/>
                <w:color w:val="auto"/>
                <w:sz w:val="21"/>
                <w:szCs w:val="21"/>
                <w:lang w:val="en-US" w:eastAsia="zh-CN"/>
              </w:rPr>
              <w:t>5</w:t>
            </w:r>
            <w:r>
              <w:rPr>
                <w:rFonts w:hint="default" w:ascii="Times New Roman" w:hAnsi="Times New Roman" w:eastAsia="宋体" w:cs="Times New Roman"/>
                <w:b/>
                <w:color w:val="auto"/>
                <w:sz w:val="21"/>
                <w:szCs w:val="21"/>
              </w:rPr>
              <w:t xml:space="preserve">  与《固体废物综合治理行动计划》符合性分析</w:t>
            </w:r>
          </w:p>
          <w:tbl>
            <w:tblPr>
              <w:tblStyle w:val="34"/>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4701"/>
              <w:gridCol w:w="2522"/>
              <w:gridCol w:w="948"/>
            </w:tblGrid>
            <w:tr w14:paraId="210B8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1" w:type="pct"/>
                  <w:tcBorders>
                    <w:tl2br w:val="nil"/>
                    <w:tr2bl w:val="nil"/>
                  </w:tcBorders>
                  <w:vAlign w:val="center"/>
                </w:tcPr>
                <w:p w14:paraId="159A2767">
                  <w:pPr>
                    <w:pStyle w:val="62"/>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2639" w:type="pct"/>
                  <w:tcBorders>
                    <w:tl2br w:val="nil"/>
                    <w:tr2bl w:val="nil"/>
                  </w:tcBorders>
                  <w:vAlign w:val="center"/>
                </w:tcPr>
                <w:p w14:paraId="0170D8B1">
                  <w:pPr>
                    <w:pStyle w:val="62"/>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文件要求</w:t>
                  </w:r>
                </w:p>
              </w:tc>
              <w:tc>
                <w:tcPr>
                  <w:tcW w:w="1416" w:type="pct"/>
                  <w:tcBorders>
                    <w:tl2br w:val="nil"/>
                    <w:tr2bl w:val="nil"/>
                  </w:tcBorders>
                  <w:vAlign w:val="center"/>
                </w:tcPr>
                <w:p w14:paraId="73C2621E">
                  <w:pPr>
                    <w:pStyle w:val="62"/>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本项目情况</w:t>
                  </w:r>
                </w:p>
              </w:tc>
              <w:tc>
                <w:tcPr>
                  <w:tcW w:w="532" w:type="pct"/>
                  <w:tcBorders>
                    <w:tl2br w:val="nil"/>
                    <w:tr2bl w:val="nil"/>
                  </w:tcBorders>
                  <w:vAlign w:val="center"/>
                </w:tcPr>
                <w:p w14:paraId="54DB9795">
                  <w:pPr>
                    <w:pStyle w:val="62"/>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符合性</w:t>
                  </w:r>
                </w:p>
              </w:tc>
            </w:tr>
            <w:tr w14:paraId="1F8C5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1" w:type="pct"/>
                  <w:tcBorders>
                    <w:tl2br w:val="nil"/>
                    <w:tr2bl w:val="nil"/>
                  </w:tcBorders>
                  <w:vAlign w:val="center"/>
                </w:tcPr>
                <w:p w14:paraId="309B9F04">
                  <w:pPr>
                    <w:pStyle w:val="62"/>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val="en-US" w:eastAsia="zh-CN"/>
                    </w:rPr>
                    <w:t>1</w:t>
                  </w:r>
                </w:p>
              </w:tc>
              <w:tc>
                <w:tcPr>
                  <w:tcW w:w="2639" w:type="pct"/>
                  <w:tcBorders>
                    <w:tl2br w:val="nil"/>
                    <w:tr2bl w:val="nil"/>
                  </w:tcBorders>
                  <w:vAlign w:val="center"/>
                </w:tcPr>
                <w:p w14:paraId="43B01D3A">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七）加强大宗固体废弃物综合利用。提升冶炼渣、尾矿、共伴生矿、赤泥、建筑垃圾综合利用能力，加强有价组分高效提取及整体利用，因地制宜推动煤矸石多元化利用。拓宽秸秆综合利用途径，提高秸秆还田科学化、规范化水平。推进畜禽养殖废弃物资源化利用。</w:t>
                  </w:r>
                </w:p>
              </w:tc>
              <w:tc>
                <w:tcPr>
                  <w:tcW w:w="1416" w:type="pct"/>
                  <w:tcBorders>
                    <w:tl2br w:val="nil"/>
                    <w:tr2bl w:val="nil"/>
                  </w:tcBorders>
                  <w:vAlign w:val="center"/>
                </w:tcPr>
                <w:p w14:paraId="52DF9586">
                  <w:pPr>
                    <w:pStyle w:val="62"/>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本项目</w:t>
                  </w:r>
                  <w:r>
                    <w:rPr>
                      <w:rFonts w:hint="default" w:ascii="Times New Roman" w:hAnsi="Times New Roman" w:eastAsia="宋体" w:cs="Times New Roman"/>
                      <w:b w:val="0"/>
                      <w:bCs/>
                      <w:color w:val="auto"/>
                      <w:sz w:val="21"/>
                      <w:szCs w:val="21"/>
                      <w:lang w:val="en-US" w:eastAsia="zh-CN"/>
                    </w:rPr>
                    <w:t>为</w:t>
                  </w:r>
                  <w:r>
                    <w:rPr>
                      <w:rFonts w:hint="default" w:ascii="Times New Roman" w:hAnsi="Times New Roman" w:eastAsia="宋体" w:cs="Times New Roman"/>
                      <w:b w:val="0"/>
                      <w:bCs/>
                      <w:color w:val="auto"/>
                      <w:sz w:val="21"/>
                      <w:szCs w:val="21"/>
                    </w:rPr>
                    <w:t>建筑垃圾</w:t>
                  </w:r>
                  <w:r>
                    <w:rPr>
                      <w:rFonts w:hint="default" w:ascii="Times New Roman" w:hAnsi="Times New Roman" w:eastAsia="宋体" w:cs="Times New Roman"/>
                      <w:b w:val="0"/>
                      <w:bCs/>
                      <w:color w:val="auto"/>
                      <w:sz w:val="21"/>
                      <w:szCs w:val="21"/>
                      <w:lang w:val="en-US" w:eastAsia="zh-CN"/>
                    </w:rPr>
                    <w:t>破碎再利用</w:t>
                  </w:r>
                  <w:r>
                    <w:rPr>
                      <w:rFonts w:hint="default" w:ascii="Times New Roman" w:hAnsi="Times New Roman" w:eastAsia="宋体" w:cs="Times New Roman"/>
                      <w:b w:val="0"/>
                      <w:bCs/>
                      <w:color w:val="auto"/>
                      <w:sz w:val="21"/>
                      <w:szCs w:val="21"/>
                    </w:rPr>
                    <w:t>，建筑垃圾先破碎筛分制成骨料，再用于水稳料</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RDF燃料</w:t>
                  </w:r>
                  <w:r>
                    <w:rPr>
                      <w:rFonts w:hint="default" w:ascii="Times New Roman" w:hAnsi="Times New Roman" w:eastAsia="宋体" w:cs="Times New Roman"/>
                      <w:b w:val="0"/>
                      <w:bCs/>
                      <w:color w:val="auto"/>
                      <w:sz w:val="21"/>
                      <w:szCs w:val="21"/>
                    </w:rPr>
                    <w:t>资源化利用</w:t>
                  </w:r>
                  <w:r>
                    <w:rPr>
                      <w:rFonts w:hint="default" w:ascii="Times New Roman" w:hAnsi="Times New Roman" w:eastAsia="宋体" w:cs="Times New Roman"/>
                      <w:b w:val="0"/>
                      <w:bCs/>
                      <w:color w:val="auto"/>
                      <w:sz w:val="21"/>
                      <w:szCs w:val="21"/>
                      <w:lang w:eastAsia="zh-CN"/>
                    </w:rPr>
                    <w:t>，</w:t>
                  </w:r>
                  <w:r>
                    <w:rPr>
                      <w:rFonts w:hint="default" w:ascii="Times New Roman" w:hAnsi="Times New Roman" w:eastAsia="宋体" w:cs="Times New Roman"/>
                      <w:b w:val="0"/>
                      <w:bCs/>
                      <w:color w:val="auto"/>
                      <w:sz w:val="21"/>
                      <w:szCs w:val="21"/>
                      <w:lang w:val="en-US" w:eastAsia="zh-CN"/>
                    </w:rPr>
                    <w:t>提升了建筑垃圾综合利用能力</w:t>
                  </w:r>
                </w:p>
              </w:tc>
              <w:tc>
                <w:tcPr>
                  <w:tcW w:w="532" w:type="pct"/>
                  <w:tcBorders>
                    <w:tl2br w:val="nil"/>
                    <w:tr2bl w:val="nil"/>
                  </w:tcBorders>
                  <w:vAlign w:val="center"/>
                </w:tcPr>
                <w:p w14:paraId="17C236B7">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符合</w:t>
                  </w:r>
                </w:p>
              </w:tc>
            </w:tr>
            <w:tr w14:paraId="68410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1" w:type="pct"/>
                  <w:tcBorders>
                    <w:tl2br w:val="nil"/>
                    <w:tr2bl w:val="nil"/>
                  </w:tcBorders>
                  <w:vAlign w:val="center"/>
                </w:tcPr>
                <w:p w14:paraId="47664124">
                  <w:pPr>
                    <w:pStyle w:val="62"/>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val="en-US" w:eastAsia="zh-CN"/>
                    </w:rPr>
                    <w:t>2</w:t>
                  </w:r>
                </w:p>
              </w:tc>
              <w:tc>
                <w:tcPr>
                  <w:tcW w:w="2639" w:type="pct"/>
                  <w:tcBorders>
                    <w:tl2br w:val="nil"/>
                    <w:tr2bl w:val="nil"/>
                  </w:tcBorders>
                  <w:vAlign w:val="center"/>
                </w:tcPr>
                <w:p w14:paraId="5EBBC0D1">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十）提升全过程无害化水平。加强大宗工业固体废物无害化预处理，降低贮存填埋量和环境污染风险。因地制宜确定生活垃圾处理方式，合理布局建设生活垃圾焚烧处理设施，鼓励在确保安全稳定运行前提下，协同处置城镇污水处理厂污泥和工业固体废物。新建生活垃圾焚烧项目应同步落实飞灰处理途径，逐步减少飞灰填埋量。优化污泥处理处置结构，压减填埋规模。</w:t>
                  </w:r>
                </w:p>
              </w:tc>
              <w:tc>
                <w:tcPr>
                  <w:tcW w:w="1416" w:type="pct"/>
                  <w:tcBorders>
                    <w:tl2br w:val="nil"/>
                    <w:tr2bl w:val="nil"/>
                  </w:tcBorders>
                  <w:vAlign w:val="center"/>
                </w:tcPr>
                <w:p w14:paraId="57066732">
                  <w:pPr>
                    <w:pStyle w:val="62"/>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本项目RDF燃料生产原料为污泥以及建筑垃圾的资源化利用。优化本地污泥处理处置结构，压减填埋规模</w:t>
                  </w:r>
                </w:p>
              </w:tc>
              <w:tc>
                <w:tcPr>
                  <w:tcW w:w="532" w:type="pct"/>
                  <w:tcBorders>
                    <w:tl2br w:val="nil"/>
                    <w:tr2bl w:val="nil"/>
                  </w:tcBorders>
                  <w:vAlign w:val="center"/>
                </w:tcPr>
                <w:p w14:paraId="516E6818">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符合</w:t>
                  </w:r>
                </w:p>
              </w:tc>
            </w:tr>
          </w:tbl>
          <w:p w14:paraId="32E5328D">
            <w:pPr>
              <w:keepNext/>
              <w:keepLines/>
              <w:ind w:firstLine="482"/>
              <w:jc w:val="left"/>
              <w:outlineLvl w:val="2"/>
              <w:rPr>
                <w:rFonts w:hint="default" w:ascii="Times New Roman" w:hAnsi="Times New Roman" w:eastAsia="宋体" w:cs="Times New Roman"/>
                <w:b/>
                <w:bCs/>
                <w:color w:val="auto"/>
                <w:szCs w:val="30"/>
              </w:rPr>
            </w:pPr>
            <w:r>
              <w:rPr>
                <w:rFonts w:hint="default" w:ascii="Times New Roman" w:hAnsi="Times New Roman" w:eastAsia="宋体" w:cs="Times New Roman"/>
                <w:b/>
                <w:bCs/>
                <w:color w:val="auto"/>
                <w:szCs w:val="30"/>
              </w:rPr>
              <w:t>5.选址合理性分析</w:t>
            </w:r>
          </w:p>
          <w:p w14:paraId="1DD119E6">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（1）环境相容性分析</w:t>
            </w:r>
          </w:p>
          <w:p w14:paraId="6F5BD4BA">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根据现场勘察，</w:t>
            </w:r>
            <w:r>
              <w:rPr>
                <w:rFonts w:hint="default" w:ascii="Times New Roman" w:hAnsi="Times New Roman" w:eastAsia="宋体" w:cs="Times New Roman"/>
                <w:color w:val="auto"/>
                <w:szCs w:val="22"/>
                <w:lang w:val="en-US" w:eastAsia="zh-CN"/>
              </w:rPr>
              <w:t>本项目建设地点位于尧渡镇滨河新区地块，南临创业南路（暂未建设），北临创业路</w:t>
            </w:r>
            <w:r>
              <w:rPr>
                <w:rFonts w:hint="default" w:ascii="Times New Roman" w:hAnsi="Times New Roman" w:eastAsia="宋体" w:cs="Times New Roman"/>
                <w:bCs/>
                <w:color w:val="auto"/>
                <w:lang w:eastAsia="zh-CN"/>
              </w:rPr>
              <w:t>。</w:t>
            </w:r>
            <w:r>
              <w:rPr>
                <w:rFonts w:hint="default" w:ascii="Times New Roman" w:hAnsi="Times New Roman" w:eastAsia="宋体" w:cs="Times New Roman"/>
                <w:bCs/>
                <w:color w:val="auto"/>
                <w:lang w:val="en-US" w:eastAsia="zh-CN"/>
              </w:rPr>
              <w:t>项目</w:t>
            </w:r>
            <w:r>
              <w:rPr>
                <w:rFonts w:hint="default" w:ascii="Times New Roman" w:hAnsi="Times New Roman" w:eastAsia="宋体" w:cs="Times New Roman"/>
                <w:color w:val="auto"/>
                <w:szCs w:val="22"/>
              </w:rPr>
              <w:t>不涉及国家和地方规定的风景名胜区、自然保护区、饮用水源保护区等区域，本项目废气主要为颗粒物，无生产废水外排，</w:t>
            </w:r>
            <w:r>
              <w:rPr>
                <w:rFonts w:hint="default" w:ascii="Times New Roman" w:hAnsi="Times New Roman" w:eastAsia="宋体" w:cs="Times New Roman"/>
                <w:color w:val="auto"/>
                <w:szCs w:val="22"/>
                <w:lang w:val="en-US" w:eastAsia="zh-CN"/>
              </w:rPr>
              <w:t>噪声可达标排放，对周边环境影响较小</w:t>
            </w:r>
            <w:r>
              <w:rPr>
                <w:rFonts w:hint="default" w:ascii="Times New Roman" w:hAnsi="Times New Roman" w:eastAsia="宋体" w:cs="Times New Roman"/>
                <w:color w:val="auto"/>
                <w:szCs w:val="22"/>
              </w:rPr>
              <w:t>。</w:t>
            </w:r>
          </w:p>
          <w:p w14:paraId="30FCC6B4">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（2）外部建设条件可行性</w:t>
            </w:r>
          </w:p>
          <w:p w14:paraId="6C5FA6DA">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本项目位于</w:t>
            </w:r>
            <w:r>
              <w:rPr>
                <w:rFonts w:hint="default" w:ascii="Times New Roman" w:hAnsi="Times New Roman" w:eastAsia="宋体" w:cs="Times New Roman"/>
                <w:color w:val="auto"/>
                <w:lang w:val="en-US" w:eastAsia="zh-CN"/>
              </w:rPr>
              <w:t>安徽省池州市东至县尧渡镇建东村</w:t>
            </w:r>
            <w:r>
              <w:rPr>
                <w:rFonts w:hint="default" w:ascii="Times New Roman" w:hAnsi="Times New Roman" w:eastAsia="宋体" w:cs="Times New Roman"/>
                <w:color w:val="auto"/>
                <w:szCs w:val="22"/>
              </w:rPr>
              <w:t>，</w:t>
            </w:r>
            <w:r>
              <w:rPr>
                <w:rFonts w:hint="default" w:ascii="Times New Roman" w:hAnsi="Times New Roman" w:eastAsia="宋体" w:cs="Times New Roman"/>
                <w:color w:val="auto"/>
                <w:szCs w:val="22"/>
                <w:lang w:eastAsia="zh-CN"/>
              </w:rPr>
              <w:t>项目</w:t>
            </w:r>
            <w:r>
              <w:rPr>
                <w:rFonts w:hint="default" w:ascii="Times New Roman" w:hAnsi="Times New Roman" w:eastAsia="宋体" w:cs="Times New Roman"/>
                <w:color w:val="auto"/>
                <w:szCs w:val="22"/>
                <w:lang w:val="en-US" w:eastAsia="zh-CN"/>
              </w:rPr>
              <w:t>南临创业南路（暂未建设），北临创业路。</w:t>
            </w:r>
            <w:r>
              <w:rPr>
                <w:rFonts w:hint="default" w:ascii="Times New Roman" w:hAnsi="Times New Roman" w:eastAsia="宋体" w:cs="Times New Roman"/>
                <w:color w:val="auto"/>
                <w:szCs w:val="22"/>
              </w:rPr>
              <w:t>交通便利，便于本项目各种物料的运输，</w:t>
            </w:r>
            <w:r>
              <w:rPr>
                <w:rFonts w:hint="default" w:ascii="Times New Roman" w:hAnsi="Times New Roman" w:eastAsia="宋体" w:cs="Times New Roman"/>
                <w:color w:val="auto"/>
                <w:szCs w:val="22"/>
                <w:lang w:val="en-US" w:eastAsia="zh-CN"/>
              </w:rPr>
              <w:t>区域</w:t>
            </w:r>
            <w:r>
              <w:rPr>
                <w:rFonts w:hint="default" w:ascii="Times New Roman" w:hAnsi="Times New Roman" w:eastAsia="宋体" w:cs="Times New Roman"/>
                <w:color w:val="auto"/>
                <w:szCs w:val="22"/>
              </w:rPr>
              <w:t>供水、供电等工程配套设施齐全，项目所在地基础能源充足，满足企业生产的需要，项目用地规划为</w:t>
            </w:r>
            <w:r>
              <w:rPr>
                <w:rFonts w:hint="default" w:ascii="Times New Roman" w:hAnsi="Times New Roman" w:eastAsia="宋体" w:cs="Times New Roman"/>
                <w:color w:val="auto"/>
                <w:szCs w:val="22"/>
                <w:lang w:val="en-US" w:eastAsia="zh-CN"/>
              </w:rPr>
              <w:t>建设</w:t>
            </w:r>
            <w:r>
              <w:rPr>
                <w:rFonts w:hint="default" w:ascii="Times New Roman" w:hAnsi="Times New Roman" w:eastAsia="宋体" w:cs="Times New Roman"/>
                <w:color w:val="auto"/>
                <w:szCs w:val="22"/>
              </w:rPr>
              <w:t>用地，符合规划要求。</w:t>
            </w:r>
          </w:p>
          <w:p w14:paraId="2C90F3A1">
            <w:pPr>
              <w:ind w:firstLine="480"/>
              <w:rPr>
                <w:rFonts w:hint="default" w:ascii="Times New Roman" w:hAnsi="Times New Roman" w:eastAsia="宋体" w:cs="Times New Roman"/>
                <w:color w:val="auto"/>
                <w:szCs w:val="22"/>
                <w:highlight w:val="yellow"/>
              </w:rPr>
            </w:pPr>
            <w:r>
              <w:rPr>
                <w:rFonts w:hint="default" w:ascii="Times New Roman" w:hAnsi="Times New Roman" w:eastAsia="宋体" w:cs="Times New Roman"/>
                <w:color w:val="auto"/>
                <w:szCs w:val="22"/>
              </w:rPr>
              <w:t>（3）</w:t>
            </w:r>
            <w:r>
              <w:rPr>
                <w:rFonts w:hint="default" w:ascii="Times New Roman" w:hAnsi="Times New Roman" w:eastAsia="宋体" w:cs="Times New Roman"/>
                <w:color w:val="auto"/>
                <w:szCs w:val="22"/>
                <w:highlight w:val="none"/>
              </w:rPr>
              <w:t>对外环境的影响</w:t>
            </w:r>
          </w:p>
          <w:p w14:paraId="4FDF39D5">
            <w:pPr>
              <w:ind w:firstLine="480"/>
              <w:rPr>
                <w:rFonts w:hint="default" w:ascii="Times New Roman" w:hAnsi="Times New Roman" w:eastAsia="宋体" w:cs="Times New Roman"/>
                <w:color w:val="auto"/>
                <w:szCs w:val="22"/>
              </w:rPr>
            </w:pPr>
            <w:r>
              <w:rPr>
                <w:rFonts w:hint="default" w:ascii="Times New Roman" w:hAnsi="Times New Roman" w:eastAsia="宋体" w:cs="Times New Roman"/>
                <w:bCs/>
                <w:color w:val="auto"/>
                <w:lang w:val="en-US" w:eastAsia="zh-CN"/>
              </w:rPr>
              <w:t>本项目为建筑垃圾资源化利用项目，包含装修垃圾和拆除垃圾，不含其他固废处置，建筑垃圾由建设单位运输，依托东至县现有道路进行运输，</w:t>
            </w:r>
            <w:r>
              <w:rPr>
                <w:rFonts w:hint="default" w:ascii="Times New Roman" w:hAnsi="Times New Roman" w:eastAsia="宋体" w:cs="Times New Roman"/>
                <w:color w:val="auto"/>
                <w:szCs w:val="30"/>
              </w:rPr>
              <w:t>项目建筑垃圾</w:t>
            </w:r>
            <w:r>
              <w:rPr>
                <w:rFonts w:hint="default" w:ascii="Times New Roman" w:hAnsi="Times New Roman" w:eastAsia="宋体" w:cs="Times New Roman"/>
                <w:color w:val="auto"/>
                <w:szCs w:val="30"/>
                <w:lang w:val="en-US" w:eastAsia="zh-CN"/>
              </w:rPr>
              <w:t>给料、</w:t>
            </w:r>
            <w:r>
              <w:rPr>
                <w:rFonts w:hint="default" w:ascii="Times New Roman" w:hAnsi="Times New Roman" w:eastAsia="宋体" w:cs="Times New Roman"/>
                <w:color w:val="auto"/>
                <w:szCs w:val="30"/>
              </w:rPr>
              <w:t>破碎、筛分过程产生的粉尘经一套布袋除尘器处理后通过</w:t>
            </w:r>
            <w:r>
              <w:rPr>
                <w:rFonts w:hint="default" w:ascii="Times New Roman" w:hAnsi="Times New Roman" w:eastAsia="宋体" w:cs="Times New Roman"/>
                <w:color w:val="auto"/>
                <w:szCs w:val="30"/>
                <w:lang w:eastAsia="zh-CN"/>
              </w:rPr>
              <w:t>1根</w:t>
            </w:r>
            <w:r>
              <w:rPr>
                <w:rFonts w:hint="default" w:ascii="Times New Roman" w:hAnsi="Times New Roman" w:eastAsia="宋体" w:cs="Times New Roman"/>
                <w:color w:val="auto"/>
                <w:szCs w:val="30"/>
              </w:rPr>
              <w:t>15m高排气筒（</w:t>
            </w:r>
            <w:r>
              <w:rPr>
                <w:rFonts w:hint="default" w:ascii="Times New Roman" w:hAnsi="Times New Roman" w:eastAsia="宋体" w:cs="Times New Roman"/>
                <w:color w:val="auto"/>
                <w:szCs w:val="30"/>
                <w:lang w:val="en-US" w:eastAsia="zh-CN"/>
              </w:rPr>
              <w:t>D</w:t>
            </w:r>
            <w:r>
              <w:rPr>
                <w:rFonts w:hint="default" w:ascii="Times New Roman" w:hAnsi="Times New Roman" w:eastAsia="宋体" w:cs="Times New Roman"/>
                <w:color w:val="auto"/>
                <w:szCs w:val="30"/>
              </w:rPr>
              <w:t>A001）排放</w:t>
            </w:r>
            <w:r>
              <w:rPr>
                <w:rFonts w:hint="default" w:ascii="Times New Roman" w:hAnsi="Times New Roman" w:eastAsia="宋体" w:cs="Times New Roman"/>
                <w:bCs/>
                <w:color w:val="auto"/>
              </w:rPr>
              <w:t>；</w:t>
            </w:r>
            <w:r>
              <w:rPr>
                <w:rFonts w:hint="default" w:ascii="Times New Roman" w:hAnsi="Times New Roman" w:eastAsia="宋体" w:cs="Times New Roman"/>
                <w:color w:val="auto"/>
                <w:szCs w:val="30"/>
              </w:rPr>
              <w:t>水稳投料、搅拌过程产生的粉尘经集气罩收集后通过1套布袋除尘器处理后通过</w:t>
            </w:r>
            <w:r>
              <w:rPr>
                <w:rFonts w:hint="default" w:ascii="Times New Roman" w:hAnsi="Times New Roman" w:eastAsia="宋体" w:cs="Times New Roman"/>
                <w:color w:val="auto"/>
                <w:szCs w:val="30"/>
                <w:lang w:eastAsia="zh-CN"/>
              </w:rPr>
              <w:t>1根</w:t>
            </w:r>
            <w:r>
              <w:rPr>
                <w:rFonts w:hint="default" w:ascii="Times New Roman" w:hAnsi="Times New Roman" w:eastAsia="宋体" w:cs="Times New Roman"/>
                <w:color w:val="auto"/>
                <w:szCs w:val="30"/>
              </w:rPr>
              <w:t>15m高排气筒（</w:t>
            </w:r>
            <w:r>
              <w:rPr>
                <w:rFonts w:hint="default" w:ascii="Times New Roman" w:hAnsi="Times New Roman" w:eastAsia="宋体" w:cs="Times New Roman"/>
                <w:color w:val="auto"/>
                <w:szCs w:val="30"/>
                <w:lang w:val="en-US" w:eastAsia="zh-CN"/>
              </w:rPr>
              <w:t>D</w:t>
            </w:r>
            <w:r>
              <w:rPr>
                <w:rFonts w:hint="default" w:ascii="Times New Roman" w:hAnsi="Times New Roman" w:eastAsia="宋体" w:cs="Times New Roman"/>
                <w:color w:val="auto"/>
                <w:szCs w:val="30"/>
              </w:rPr>
              <w:t>A002）排放。</w:t>
            </w:r>
            <w:r>
              <w:rPr>
                <w:rFonts w:hint="default" w:ascii="Times New Roman" w:hAnsi="Times New Roman" w:eastAsia="宋体" w:cs="Times New Roman"/>
                <w:color w:val="auto"/>
                <w:szCs w:val="30"/>
                <w:lang w:val="en-US" w:eastAsia="zh-CN"/>
              </w:rPr>
              <w:t>RDF燃料生产线破碎成型过程产生的粉尘</w:t>
            </w:r>
            <w:r>
              <w:rPr>
                <w:rFonts w:hint="default" w:ascii="Times New Roman" w:hAnsi="Times New Roman" w:eastAsia="宋体" w:cs="Times New Roman"/>
                <w:color w:val="auto"/>
                <w:szCs w:val="30"/>
              </w:rPr>
              <w:t>集气罩收集后通过1套布袋除尘器处理后通过</w:t>
            </w:r>
            <w:r>
              <w:rPr>
                <w:rFonts w:hint="default" w:ascii="Times New Roman" w:hAnsi="Times New Roman" w:eastAsia="宋体" w:cs="Times New Roman"/>
                <w:color w:val="auto"/>
                <w:szCs w:val="30"/>
                <w:lang w:eastAsia="zh-CN"/>
              </w:rPr>
              <w:t>1根</w:t>
            </w:r>
            <w:r>
              <w:rPr>
                <w:rFonts w:hint="default" w:ascii="Times New Roman" w:hAnsi="Times New Roman" w:eastAsia="宋体" w:cs="Times New Roman"/>
                <w:color w:val="auto"/>
                <w:szCs w:val="30"/>
              </w:rPr>
              <w:t>15m高排气筒（</w:t>
            </w:r>
            <w:r>
              <w:rPr>
                <w:rFonts w:hint="default" w:ascii="Times New Roman" w:hAnsi="Times New Roman" w:eastAsia="宋体" w:cs="Times New Roman"/>
                <w:color w:val="auto"/>
                <w:szCs w:val="30"/>
                <w:lang w:val="en-US" w:eastAsia="zh-CN"/>
              </w:rPr>
              <w:t>D</w:t>
            </w:r>
            <w:r>
              <w:rPr>
                <w:rFonts w:hint="default" w:ascii="Times New Roman" w:hAnsi="Times New Roman" w:eastAsia="宋体" w:cs="Times New Roman"/>
                <w:color w:val="auto"/>
                <w:szCs w:val="30"/>
              </w:rPr>
              <w:t>A00</w:t>
            </w:r>
            <w:r>
              <w:rPr>
                <w:rFonts w:hint="default" w:ascii="Times New Roman" w:hAnsi="Times New Roman" w:eastAsia="宋体" w:cs="Times New Roman"/>
                <w:color w:val="auto"/>
                <w:szCs w:val="30"/>
                <w:lang w:val="en-US" w:eastAsia="zh-CN"/>
              </w:rPr>
              <w:t>3</w:t>
            </w:r>
            <w:r>
              <w:rPr>
                <w:rFonts w:hint="default" w:ascii="Times New Roman" w:hAnsi="Times New Roman" w:eastAsia="宋体" w:cs="Times New Roman"/>
                <w:color w:val="auto"/>
                <w:szCs w:val="30"/>
              </w:rPr>
              <w:t>）排放</w:t>
            </w:r>
            <w:r>
              <w:rPr>
                <w:rFonts w:hint="default" w:ascii="Times New Roman" w:hAnsi="Times New Roman" w:eastAsia="宋体" w:cs="Times New Roman"/>
                <w:color w:val="auto"/>
                <w:szCs w:val="30"/>
                <w:lang w:eastAsia="zh-CN"/>
              </w:rPr>
              <w:t>，</w:t>
            </w:r>
            <w:r>
              <w:rPr>
                <w:rFonts w:hint="default" w:ascii="Times New Roman" w:hAnsi="Times New Roman" w:eastAsia="宋体" w:cs="Times New Roman"/>
                <w:color w:val="auto"/>
                <w:sz w:val="24"/>
                <w:szCs w:val="32"/>
                <w:highlight w:val="none"/>
                <w:lang w:val="en-US" w:eastAsia="zh-CN"/>
              </w:rPr>
              <w:t>污泥贮存恶臭和成型恶臭负压收集通过生物除臭塔后通过15m排气筒（DA004）排放。</w:t>
            </w:r>
            <w:r>
              <w:rPr>
                <w:rFonts w:hint="default" w:ascii="Times New Roman" w:hAnsi="Times New Roman" w:eastAsia="宋体" w:cs="Times New Roman"/>
                <w:color w:val="auto"/>
                <w:szCs w:val="30"/>
              </w:rPr>
              <w:t>项目装卸、运输等过程产生的粉尘采用干雾抑尘方式抑尘，水泥筒仓粉尘采用仓顶除尘器处理后排放。因此，项目各类废气均妥善处理、达标排放，对大气环境影响</w:t>
            </w:r>
            <w:r>
              <w:rPr>
                <w:rFonts w:hint="default" w:ascii="Times New Roman" w:hAnsi="Times New Roman" w:eastAsia="宋体" w:cs="Times New Roman"/>
                <w:color w:val="auto"/>
                <w:szCs w:val="30"/>
                <w:lang w:val="en-US" w:eastAsia="zh-CN"/>
              </w:rPr>
              <w:t>较小</w:t>
            </w:r>
            <w:r>
              <w:rPr>
                <w:rFonts w:hint="default" w:ascii="Times New Roman" w:hAnsi="Times New Roman" w:eastAsia="宋体" w:cs="Times New Roman"/>
                <w:color w:val="auto"/>
                <w:szCs w:val="22"/>
              </w:rPr>
              <w:t>，</w:t>
            </w:r>
            <w:r>
              <w:rPr>
                <w:rFonts w:hint="default" w:ascii="Times New Roman" w:hAnsi="Times New Roman" w:eastAsia="宋体" w:cs="Times New Roman"/>
                <w:color w:val="auto"/>
                <w:szCs w:val="22"/>
                <w:lang w:val="en-US" w:eastAsia="zh-CN"/>
              </w:rPr>
              <w:t>地面、搅拌机冲洗废水以及车辆冲洗水设置沉淀池沉淀后循环利用，</w:t>
            </w:r>
            <w:r>
              <w:rPr>
                <w:rFonts w:hint="default" w:ascii="Times New Roman" w:hAnsi="Times New Roman" w:eastAsia="宋体" w:cs="Times New Roman"/>
                <w:color w:val="auto"/>
                <w:szCs w:val="22"/>
              </w:rPr>
              <w:t>项目无生产废水外排，</w:t>
            </w:r>
            <w:r>
              <w:rPr>
                <w:rFonts w:hint="default" w:ascii="Times New Roman" w:hAnsi="Times New Roman" w:eastAsia="宋体" w:cs="Times New Roman"/>
                <w:color w:val="auto"/>
                <w:szCs w:val="21"/>
              </w:rPr>
              <w:t>本项目生活污水</w:t>
            </w:r>
            <w:r>
              <w:rPr>
                <w:rFonts w:hint="default" w:ascii="Times New Roman" w:hAnsi="Times New Roman" w:eastAsia="宋体" w:cs="Times New Roman"/>
                <w:color w:val="auto"/>
                <w:szCs w:val="21"/>
                <w:lang w:val="en-US" w:eastAsia="zh-CN"/>
              </w:rPr>
              <w:t>经化粪池处理后，排入收集池存放，采用槽罐车定期送至</w:t>
            </w:r>
            <w:r>
              <w:rPr>
                <w:rFonts w:hint="eastAsia" w:ascii="Times New Roman" w:hAnsi="Times New Roman" w:eastAsia="宋体" w:cs="Times New Roman"/>
                <w:color w:val="auto"/>
                <w:szCs w:val="21"/>
                <w:lang w:val="en-US" w:eastAsia="zh-CN"/>
              </w:rPr>
              <w:t>东至县国祯污水处理厂</w:t>
            </w:r>
            <w:r>
              <w:rPr>
                <w:rFonts w:hint="default" w:ascii="Times New Roman" w:hAnsi="Times New Roman" w:eastAsia="宋体" w:cs="Times New Roman"/>
                <w:color w:val="auto"/>
                <w:szCs w:val="21"/>
                <w:lang w:val="en-US" w:eastAsia="zh-CN"/>
              </w:rPr>
              <w:t>处置</w:t>
            </w:r>
            <w:r>
              <w:rPr>
                <w:rFonts w:hint="default" w:ascii="Times New Roman" w:hAnsi="Times New Roman" w:eastAsia="宋体" w:cs="Times New Roman"/>
                <w:color w:val="auto"/>
                <w:szCs w:val="22"/>
              </w:rPr>
              <w:t>，</w:t>
            </w:r>
            <w:r>
              <w:rPr>
                <w:rFonts w:hint="default" w:ascii="Times New Roman" w:hAnsi="Times New Roman" w:eastAsia="宋体" w:cs="Times New Roman"/>
                <w:color w:val="auto"/>
                <w:szCs w:val="22"/>
                <w:lang w:val="en-US" w:eastAsia="zh-CN"/>
              </w:rPr>
              <w:t>项目选用低噪声设备，同时采取隔声减震等措施，厂界噪声可达标排放，</w:t>
            </w:r>
            <w:r>
              <w:rPr>
                <w:rFonts w:hint="default" w:ascii="Times New Roman" w:hAnsi="Times New Roman" w:eastAsia="宋体" w:cs="Times New Roman"/>
                <w:color w:val="auto"/>
                <w:szCs w:val="22"/>
              </w:rPr>
              <w:t>不会对周边地表水造成影响。</w:t>
            </w:r>
          </w:p>
          <w:p w14:paraId="41BA921F">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（4）用地合理性分析</w:t>
            </w:r>
          </w:p>
          <w:p w14:paraId="2D847EC3">
            <w:pPr>
              <w:ind w:firstLine="480"/>
              <w:rPr>
                <w:rFonts w:hint="default" w:ascii="Times New Roman" w:hAnsi="Times New Roman" w:eastAsia="宋体" w:cs="Times New Roman"/>
                <w:bCs/>
                <w:color w:val="auto"/>
              </w:rPr>
            </w:pPr>
            <w:r>
              <w:rPr>
                <w:rFonts w:hint="default" w:ascii="Times New Roman" w:hAnsi="Times New Roman" w:eastAsia="宋体" w:cs="Times New Roman"/>
                <w:color w:val="auto"/>
                <w:szCs w:val="22"/>
              </w:rPr>
              <w:t>本项目位于</w:t>
            </w:r>
            <w:r>
              <w:rPr>
                <w:rFonts w:hint="default" w:ascii="Times New Roman" w:hAnsi="Times New Roman" w:eastAsia="宋体" w:cs="Times New Roman"/>
                <w:bCs/>
                <w:color w:val="auto"/>
                <w:lang w:eastAsia="zh-CN"/>
              </w:rPr>
              <w:t>安徽省池州市东至县尧渡镇建东村</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根据建设单位提供的不动产权证书，项</w:t>
            </w:r>
            <w:r>
              <w:rPr>
                <w:rFonts w:hint="default" w:ascii="Times New Roman" w:hAnsi="Times New Roman" w:eastAsia="宋体" w:cs="Times New Roman"/>
                <w:bCs/>
                <w:color w:val="auto"/>
                <w:lang w:val="en-US" w:eastAsia="zh-CN"/>
              </w:rPr>
              <w:t>目</w:t>
            </w:r>
            <w:r>
              <w:rPr>
                <w:rFonts w:hint="default" w:ascii="Times New Roman" w:hAnsi="Times New Roman" w:eastAsia="宋体" w:cs="Times New Roman"/>
                <w:bCs/>
                <w:color w:val="auto"/>
              </w:rPr>
              <w:t>用地性质为</w:t>
            </w:r>
            <w:r>
              <w:rPr>
                <w:rFonts w:hint="default" w:ascii="Times New Roman" w:hAnsi="Times New Roman" w:eastAsia="宋体" w:cs="Times New Roman"/>
                <w:bCs/>
                <w:color w:val="auto"/>
                <w:lang w:val="en-US" w:eastAsia="zh-CN"/>
              </w:rPr>
              <w:t>工业</w:t>
            </w:r>
            <w:r>
              <w:rPr>
                <w:rFonts w:hint="default" w:ascii="Times New Roman" w:hAnsi="Times New Roman" w:eastAsia="宋体" w:cs="Times New Roman"/>
                <w:bCs/>
                <w:color w:val="auto"/>
              </w:rPr>
              <w:t>用地，建设单位已取得</w:t>
            </w:r>
            <w:r>
              <w:rPr>
                <w:rFonts w:hint="default" w:ascii="Times New Roman" w:hAnsi="Times New Roman" w:eastAsia="宋体" w:cs="Times New Roman"/>
                <w:bCs/>
                <w:color w:val="auto"/>
                <w:lang w:val="en-US" w:eastAsia="zh-CN"/>
              </w:rPr>
              <w:t>东至县自然资源</w:t>
            </w:r>
            <w:r>
              <w:rPr>
                <w:rFonts w:hint="eastAsia" w:cs="Times New Roman"/>
                <w:bCs/>
                <w:color w:val="auto"/>
                <w:lang w:val="en-US" w:eastAsia="zh-CN"/>
              </w:rPr>
              <w:t>和</w:t>
            </w:r>
            <w:bookmarkStart w:id="86" w:name="_GoBack"/>
            <w:bookmarkEnd w:id="86"/>
            <w:r>
              <w:rPr>
                <w:rFonts w:hint="default" w:ascii="Times New Roman" w:hAnsi="Times New Roman" w:eastAsia="宋体" w:cs="Times New Roman"/>
                <w:bCs/>
                <w:color w:val="auto"/>
                <w:lang w:val="en-US" w:eastAsia="zh-CN"/>
              </w:rPr>
              <w:t>规划局出具的</w:t>
            </w:r>
            <w:r>
              <w:rPr>
                <w:rFonts w:hint="default" w:ascii="Times New Roman" w:hAnsi="Times New Roman" w:eastAsia="宋体" w:cs="Times New Roman"/>
                <w:bCs/>
                <w:color w:val="auto"/>
              </w:rPr>
              <w:t>建设用地规划许可证，</w:t>
            </w:r>
            <w:r>
              <w:rPr>
                <w:rFonts w:hint="default" w:ascii="Times New Roman" w:hAnsi="Times New Roman" w:eastAsia="宋体" w:cs="Times New Roman"/>
                <w:bCs/>
                <w:color w:val="auto"/>
                <w:lang w:val="en-US" w:eastAsia="zh-CN"/>
              </w:rPr>
              <w:t>用地符合</w:t>
            </w:r>
            <w:r>
              <w:rPr>
                <w:rFonts w:hint="default" w:ascii="Times New Roman" w:hAnsi="Times New Roman" w:eastAsia="宋体" w:cs="Times New Roman"/>
                <w:bCs/>
                <w:color w:val="auto"/>
              </w:rPr>
              <w:t>要求。</w:t>
            </w:r>
          </w:p>
          <w:p w14:paraId="0C86C627">
            <w:pPr>
              <w:ind w:firstLine="480"/>
              <w:rPr>
                <w:rFonts w:hint="default" w:ascii="Times New Roman" w:hAnsi="Times New Roman" w:eastAsia="宋体" w:cs="Times New Roman"/>
                <w:bCs/>
                <w:color w:val="auto"/>
              </w:rPr>
            </w:pPr>
            <w:r>
              <w:rPr>
                <w:rFonts w:hint="default" w:ascii="Times New Roman" w:hAnsi="Times New Roman" w:eastAsia="宋体" w:cs="Times New Roman"/>
                <w:bCs/>
                <w:color w:val="auto"/>
              </w:rPr>
              <w:t>综上所述，本项目选址合理性。</w:t>
            </w:r>
          </w:p>
          <w:p w14:paraId="75D15C5B">
            <w:pPr>
              <w:ind w:firstLine="480"/>
              <w:rPr>
                <w:rFonts w:hint="default" w:ascii="Times New Roman" w:hAnsi="Times New Roman" w:eastAsia="宋体" w:cs="Times New Roman"/>
                <w:color w:val="auto"/>
                <w:szCs w:val="22"/>
              </w:rPr>
            </w:pPr>
          </w:p>
          <w:p w14:paraId="460EF9A6">
            <w:pPr>
              <w:ind w:firstLine="480"/>
              <w:rPr>
                <w:rFonts w:hint="default" w:ascii="Times New Roman" w:hAnsi="Times New Roman" w:eastAsia="宋体" w:cs="Times New Roman"/>
                <w:color w:val="auto"/>
                <w:szCs w:val="22"/>
              </w:rPr>
            </w:pPr>
          </w:p>
          <w:p w14:paraId="0EA7A008">
            <w:pPr>
              <w:ind w:firstLine="480"/>
              <w:rPr>
                <w:rFonts w:hint="default" w:ascii="Times New Roman" w:hAnsi="Times New Roman" w:eastAsia="宋体" w:cs="Times New Roman"/>
                <w:color w:val="auto"/>
                <w:szCs w:val="22"/>
              </w:rPr>
            </w:pPr>
          </w:p>
          <w:p w14:paraId="45908E32">
            <w:pPr>
              <w:ind w:firstLine="480"/>
              <w:rPr>
                <w:rFonts w:hint="default" w:ascii="Times New Roman" w:hAnsi="Times New Roman" w:eastAsia="宋体" w:cs="Times New Roman"/>
                <w:color w:val="auto"/>
                <w:szCs w:val="22"/>
              </w:rPr>
            </w:pPr>
          </w:p>
          <w:p w14:paraId="090D3C36">
            <w:pPr>
              <w:ind w:firstLine="480"/>
              <w:rPr>
                <w:rFonts w:hint="default" w:ascii="Times New Roman" w:hAnsi="Times New Roman" w:eastAsia="宋体" w:cs="Times New Roman"/>
                <w:color w:val="auto"/>
                <w:szCs w:val="22"/>
              </w:rPr>
            </w:pPr>
          </w:p>
          <w:p w14:paraId="32F50109">
            <w:pPr>
              <w:ind w:firstLine="480"/>
              <w:rPr>
                <w:rFonts w:hint="default" w:ascii="Times New Roman" w:hAnsi="Times New Roman" w:eastAsia="宋体" w:cs="Times New Roman"/>
                <w:color w:val="auto"/>
                <w:szCs w:val="22"/>
              </w:rPr>
            </w:pPr>
          </w:p>
          <w:p w14:paraId="75D30021">
            <w:pPr>
              <w:ind w:firstLine="480"/>
              <w:rPr>
                <w:rFonts w:hint="default" w:ascii="Times New Roman" w:hAnsi="Times New Roman" w:eastAsia="宋体" w:cs="Times New Roman"/>
                <w:color w:val="auto"/>
                <w:szCs w:val="22"/>
              </w:rPr>
            </w:pPr>
          </w:p>
          <w:p w14:paraId="5A24A5C3">
            <w:pPr>
              <w:ind w:firstLine="480"/>
              <w:rPr>
                <w:rFonts w:hint="default" w:ascii="Times New Roman" w:hAnsi="Times New Roman" w:eastAsia="宋体" w:cs="Times New Roman"/>
                <w:color w:val="auto"/>
                <w:szCs w:val="22"/>
              </w:rPr>
            </w:pPr>
          </w:p>
          <w:p w14:paraId="4206E0A8">
            <w:pPr>
              <w:ind w:firstLine="480"/>
              <w:rPr>
                <w:rFonts w:hint="default" w:ascii="Times New Roman" w:hAnsi="Times New Roman" w:eastAsia="宋体" w:cs="Times New Roman"/>
                <w:color w:val="auto"/>
                <w:szCs w:val="22"/>
              </w:rPr>
            </w:pPr>
          </w:p>
          <w:p w14:paraId="1F1F2BA2">
            <w:pPr>
              <w:ind w:firstLine="480"/>
              <w:rPr>
                <w:rFonts w:hint="default" w:ascii="Times New Roman" w:hAnsi="Times New Roman" w:eastAsia="宋体" w:cs="Times New Roman"/>
                <w:color w:val="auto"/>
                <w:szCs w:val="22"/>
              </w:rPr>
            </w:pPr>
          </w:p>
          <w:p w14:paraId="52AB68B4">
            <w:pPr>
              <w:ind w:firstLine="480"/>
              <w:rPr>
                <w:rFonts w:hint="default" w:ascii="Times New Roman" w:hAnsi="Times New Roman" w:eastAsia="宋体" w:cs="Times New Roman"/>
                <w:color w:val="auto"/>
                <w:szCs w:val="22"/>
              </w:rPr>
            </w:pPr>
          </w:p>
          <w:p w14:paraId="76D82263">
            <w:pPr>
              <w:ind w:firstLine="480"/>
              <w:rPr>
                <w:rFonts w:hint="default" w:ascii="Times New Roman" w:hAnsi="Times New Roman" w:eastAsia="宋体" w:cs="Times New Roman"/>
                <w:color w:val="auto"/>
                <w:szCs w:val="22"/>
              </w:rPr>
            </w:pPr>
          </w:p>
          <w:p w14:paraId="62897656">
            <w:pPr>
              <w:ind w:firstLine="480"/>
              <w:rPr>
                <w:rFonts w:hint="default" w:ascii="Times New Roman" w:hAnsi="Times New Roman" w:eastAsia="宋体" w:cs="Times New Roman"/>
                <w:color w:val="auto"/>
                <w:szCs w:val="22"/>
              </w:rPr>
            </w:pPr>
          </w:p>
          <w:p w14:paraId="4B6D8196">
            <w:pPr>
              <w:ind w:firstLine="480"/>
              <w:rPr>
                <w:rFonts w:hint="default" w:ascii="Times New Roman" w:hAnsi="Times New Roman" w:eastAsia="宋体" w:cs="Times New Roman"/>
                <w:color w:val="auto"/>
                <w:szCs w:val="22"/>
              </w:rPr>
            </w:pPr>
          </w:p>
          <w:p w14:paraId="216FBDCA">
            <w:pPr>
              <w:ind w:firstLine="480"/>
              <w:rPr>
                <w:rFonts w:hint="default" w:ascii="Times New Roman" w:hAnsi="Times New Roman" w:eastAsia="宋体" w:cs="Times New Roman"/>
                <w:color w:val="auto"/>
                <w:szCs w:val="22"/>
              </w:rPr>
            </w:pPr>
          </w:p>
          <w:p w14:paraId="2E1CCE7C">
            <w:pPr>
              <w:ind w:firstLine="480"/>
              <w:rPr>
                <w:rFonts w:hint="default" w:ascii="Times New Roman" w:hAnsi="Times New Roman" w:eastAsia="宋体" w:cs="Times New Roman"/>
                <w:color w:val="auto"/>
                <w:szCs w:val="22"/>
              </w:rPr>
            </w:pPr>
          </w:p>
          <w:p w14:paraId="0E3F3489">
            <w:pPr>
              <w:ind w:firstLine="480"/>
              <w:rPr>
                <w:rFonts w:hint="default" w:ascii="Times New Roman" w:hAnsi="Times New Roman" w:eastAsia="宋体" w:cs="Times New Roman"/>
                <w:color w:val="auto"/>
                <w:szCs w:val="22"/>
              </w:rPr>
            </w:pPr>
          </w:p>
          <w:p w14:paraId="43BC823E">
            <w:pPr>
              <w:ind w:firstLine="480"/>
              <w:rPr>
                <w:rFonts w:hint="default" w:ascii="Times New Roman" w:hAnsi="Times New Roman" w:eastAsia="宋体" w:cs="Times New Roman"/>
                <w:color w:val="auto"/>
                <w:szCs w:val="22"/>
              </w:rPr>
            </w:pPr>
          </w:p>
          <w:p w14:paraId="10DDFD1A">
            <w:pPr>
              <w:ind w:firstLine="480"/>
              <w:rPr>
                <w:rFonts w:hint="default" w:ascii="Times New Roman" w:hAnsi="Times New Roman" w:eastAsia="宋体" w:cs="Times New Roman"/>
                <w:color w:val="auto"/>
                <w:szCs w:val="22"/>
              </w:rPr>
            </w:pPr>
          </w:p>
          <w:p w14:paraId="774B8775">
            <w:pPr>
              <w:ind w:firstLine="480"/>
              <w:rPr>
                <w:rFonts w:hint="default" w:ascii="Times New Roman" w:hAnsi="Times New Roman" w:eastAsia="宋体" w:cs="Times New Roman"/>
                <w:color w:val="auto"/>
                <w:szCs w:val="22"/>
              </w:rPr>
            </w:pPr>
          </w:p>
          <w:p w14:paraId="1FAA63DB">
            <w:pPr>
              <w:ind w:firstLine="480"/>
              <w:rPr>
                <w:rFonts w:hint="default" w:ascii="Times New Roman" w:hAnsi="Times New Roman" w:eastAsia="宋体" w:cs="Times New Roman"/>
                <w:color w:val="auto"/>
                <w:szCs w:val="22"/>
              </w:rPr>
            </w:pPr>
          </w:p>
          <w:p w14:paraId="01BC9F5F">
            <w:pPr>
              <w:ind w:firstLine="480"/>
              <w:rPr>
                <w:rFonts w:hint="default" w:ascii="Times New Roman" w:hAnsi="Times New Roman" w:eastAsia="宋体" w:cs="Times New Roman"/>
                <w:color w:val="auto"/>
                <w:szCs w:val="22"/>
              </w:rPr>
            </w:pPr>
          </w:p>
          <w:p w14:paraId="495274F6">
            <w:pPr>
              <w:ind w:firstLine="480"/>
              <w:rPr>
                <w:rFonts w:hint="default" w:ascii="Times New Roman" w:hAnsi="Times New Roman" w:eastAsia="宋体" w:cs="Times New Roman"/>
                <w:color w:val="auto"/>
                <w:szCs w:val="22"/>
              </w:rPr>
            </w:pPr>
          </w:p>
          <w:p w14:paraId="4C9DC01E">
            <w:pPr>
              <w:ind w:firstLine="480"/>
              <w:rPr>
                <w:rFonts w:hint="default" w:ascii="Times New Roman" w:hAnsi="Times New Roman" w:eastAsia="宋体" w:cs="Times New Roman"/>
                <w:color w:val="auto"/>
                <w:szCs w:val="22"/>
              </w:rPr>
            </w:pPr>
          </w:p>
          <w:p w14:paraId="03AB2D9F">
            <w:pPr>
              <w:ind w:firstLine="480"/>
              <w:rPr>
                <w:rFonts w:hint="default" w:ascii="Times New Roman" w:hAnsi="Times New Roman" w:eastAsia="宋体" w:cs="Times New Roman"/>
                <w:color w:val="auto"/>
                <w:szCs w:val="22"/>
              </w:rPr>
            </w:pPr>
          </w:p>
          <w:p w14:paraId="4709A5E8">
            <w:pPr>
              <w:ind w:firstLine="480"/>
              <w:rPr>
                <w:rFonts w:hint="default" w:ascii="Times New Roman" w:hAnsi="Times New Roman" w:eastAsia="宋体" w:cs="Times New Roman"/>
                <w:color w:val="auto"/>
                <w:szCs w:val="22"/>
              </w:rPr>
            </w:pPr>
          </w:p>
          <w:p w14:paraId="34A2F7CC">
            <w:pPr>
              <w:ind w:left="0" w:leftChars="0" w:firstLine="0" w:firstLineChars="0"/>
              <w:rPr>
                <w:rFonts w:hint="default" w:ascii="Times New Roman" w:hAnsi="Times New Roman" w:eastAsia="宋体" w:cs="Times New Roman"/>
                <w:color w:val="auto"/>
                <w:szCs w:val="22"/>
              </w:rPr>
            </w:pPr>
          </w:p>
        </w:tc>
      </w:tr>
    </w:tbl>
    <w:p w14:paraId="693E8FFF">
      <w:pPr>
        <w:ind w:firstLine="480"/>
        <w:rPr>
          <w:color w:val="auto"/>
        </w:rPr>
        <w:sectPr>
          <w:pgSz w:w="11906" w:h="16838"/>
          <w:pgMar w:top="1418" w:right="1134" w:bottom="1418" w:left="1134" w:header="851" w:footer="851" w:gutter="0"/>
          <w:pgBorders>
            <w:top w:val="none" w:sz="0" w:space="0"/>
            <w:left w:val="none" w:sz="0" w:space="0"/>
            <w:bottom w:val="none" w:sz="0" w:space="0"/>
            <w:right w:val="none" w:sz="0" w:space="0"/>
          </w:pgBorders>
          <w:cols w:space="720" w:num="1"/>
          <w:docGrid w:linePitch="312" w:charSpace="0"/>
        </w:sectPr>
      </w:pPr>
    </w:p>
    <w:p w14:paraId="20270713">
      <w:pPr>
        <w:pStyle w:val="2"/>
        <w:spacing w:before="0" w:after="0" w:line="240" w:lineRule="auto"/>
        <w:rPr>
          <w:color w:val="auto"/>
        </w:rPr>
      </w:pPr>
      <w:bookmarkStart w:id="7" w:name="_Toc22827"/>
      <w:r>
        <w:rPr>
          <w:color w:val="auto"/>
        </w:rPr>
        <w:t>二、建设项目工程分析</w:t>
      </w:r>
      <w:bookmarkEnd w:id="6"/>
      <w:bookmarkEnd w:id="7"/>
    </w:p>
    <w:tbl>
      <w:tblPr>
        <w:tblStyle w:val="3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1"/>
        <w:gridCol w:w="8837"/>
      </w:tblGrid>
      <w:tr w14:paraId="6589D3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14472ACA">
            <w:pPr>
              <w:adjustRightInd w:val="0"/>
              <w:snapToGrid w:val="0"/>
              <w:spacing w:line="240" w:lineRule="auto"/>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rPr>
              <w:t>建设内容</w:t>
            </w:r>
          </w:p>
        </w:tc>
        <w:tc>
          <w:tcPr>
            <w:tcW w:w="8541" w:type="dxa"/>
          </w:tcPr>
          <w:p w14:paraId="0941346B">
            <w:pPr>
              <w:pStyle w:val="3"/>
              <w:ind w:firstLine="482" w:firstLineChars="200"/>
              <w:rPr>
                <w:rFonts w:hint="default" w:ascii="Times New Roman" w:hAnsi="Times New Roman" w:eastAsia="宋体" w:cs="Times New Roman"/>
                <w:color w:val="auto"/>
                <w:sz w:val="24"/>
                <w:szCs w:val="28"/>
              </w:rPr>
            </w:pPr>
            <w:r>
              <w:rPr>
                <w:rFonts w:hint="default" w:ascii="Times New Roman" w:hAnsi="Times New Roman" w:eastAsia="宋体" w:cs="Times New Roman"/>
                <w:color w:val="auto"/>
                <w:sz w:val="24"/>
                <w:szCs w:val="28"/>
              </w:rPr>
              <w:t>（一）项目由来</w:t>
            </w:r>
          </w:p>
          <w:p w14:paraId="7DC31611">
            <w:pPr>
              <w:adjustRightInd w:val="0"/>
              <w:snapToGrid w:val="0"/>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现为推动</w:t>
            </w:r>
            <w:r>
              <w:rPr>
                <w:rFonts w:hint="default" w:ascii="Times New Roman" w:hAnsi="Times New Roman" w:eastAsia="宋体" w:cs="Times New Roman"/>
                <w:color w:val="auto"/>
                <w:lang w:val="en-US" w:eastAsia="zh-CN"/>
              </w:rPr>
              <w:t>东至县</w:t>
            </w:r>
            <w:r>
              <w:rPr>
                <w:rFonts w:hint="default" w:ascii="Times New Roman" w:hAnsi="Times New Roman" w:eastAsia="宋体" w:cs="Times New Roman"/>
                <w:color w:val="auto"/>
              </w:rPr>
              <w:t>固废资源化处置及循环利用，202</w:t>
            </w:r>
            <w:r>
              <w:rPr>
                <w:rFonts w:hint="default" w:ascii="Times New Roman" w:hAnsi="Times New Roman" w:eastAsia="宋体" w:cs="Times New Roman"/>
                <w:color w:val="auto"/>
                <w:lang w:val="en-US" w:eastAsia="zh-CN"/>
              </w:rPr>
              <w:t>5</w:t>
            </w:r>
            <w:r>
              <w:rPr>
                <w:rFonts w:hint="default" w:ascii="Times New Roman" w:hAnsi="Times New Roman" w:eastAsia="宋体" w:cs="Times New Roman"/>
                <w:color w:val="auto"/>
              </w:rPr>
              <w:t>年</w:t>
            </w:r>
            <w:r>
              <w:rPr>
                <w:rFonts w:hint="default" w:ascii="Times New Roman" w:hAnsi="Times New Roman" w:eastAsia="宋体" w:cs="Times New Roman"/>
                <w:color w:val="auto"/>
                <w:lang w:val="en-US" w:eastAsia="zh-CN"/>
              </w:rPr>
              <w:t>8</w:t>
            </w:r>
            <w:r>
              <w:rPr>
                <w:rFonts w:hint="default" w:ascii="Times New Roman" w:hAnsi="Times New Roman" w:eastAsia="宋体" w:cs="Times New Roman"/>
                <w:color w:val="auto"/>
              </w:rPr>
              <w:t>月</w:t>
            </w:r>
            <w:r>
              <w:rPr>
                <w:rFonts w:hint="default" w:ascii="Times New Roman" w:hAnsi="Times New Roman" w:eastAsia="宋体" w:cs="Times New Roman"/>
                <w:color w:val="auto"/>
                <w:lang w:val="en-US" w:eastAsia="zh-CN"/>
              </w:rPr>
              <w:t>安徽言尘新能源科技有限公司</w:t>
            </w:r>
            <w:r>
              <w:rPr>
                <w:rFonts w:hint="default" w:ascii="Times New Roman" w:hAnsi="Times New Roman" w:eastAsia="宋体" w:cs="Times New Roman"/>
                <w:color w:val="auto"/>
              </w:rPr>
              <w:t>拟投资</w:t>
            </w:r>
            <w:r>
              <w:rPr>
                <w:rFonts w:hint="default" w:ascii="Times New Roman" w:hAnsi="Times New Roman" w:eastAsia="宋体" w:cs="Times New Roman"/>
                <w:color w:val="auto"/>
                <w:lang w:val="en-US" w:eastAsia="zh-CN"/>
              </w:rPr>
              <w:t>11086.2</w:t>
            </w:r>
            <w:r>
              <w:rPr>
                <w:rFonts w:hint="default" w:ascii="Times New Roman" w:hAnsi="Times New Roman" w:eastAsia="宋体" w:cs="Times New Roman"/>
                <w:color w:val="auto"/>
              </w:rPr>
              <w:t>万元建设</w:t>
            </w:r>
            <w:r>
              <w:rPr>
                <w:rFonts w:hint="default" w:ascii="Times New Roman" w:hAnsi="Times New Roman" w:eastAsia="宋体" w:cs="Times New Roman"/>
                <w:color w:val="auto"/>
                <w:lang w:val="en-US" w:eastAsia="zh-CN"/>
              </w:rPr>
              <w:t>东至县建筑垃圾综合处置项目</w:t>
            </w:r>
            <w:r>
              <w:rPr>
                <w:rFonts w:hint="default" w:ascii="Times New Roman" w:hAnsi="Times New Roman" w:eastAsia="宋体" w:cs="Times New Roman"/>
                <w:color w:val="auto"/>
              </w:rPr>
              <w:t>，</w:t>
            </w:r>
            <w:r>
              <w:rPr>
                <w:rFonts w:hint="default" w:ascii="Times New Roman" w:hAnsi="Times New Roman" w:eastAsia="宋体" w:cs="Times New Roman"/>
                <w:color w:val="auto"/>
                <w:vertAlign w:val="baseline"/>
                <w:lang w:val="en-US" w:eastAsia="zh-CN"/>
              </w:rPr>
              <w:t>项目用地40亩，总建筑面积约3.3万平方米，建设建筑垃圾存储车间(含分拣区)、处置车间、成品车间等生产车间，购置建筑垃圾处置生产线，设计年处理能力50万吨。利用建筑垃圾生产的骨料生产水稳材料，建设年产30万吨水稳材料生产线;利用建筑垃圾中的可燃性软垃圾，建设年产20万吨生物质燃料生产线。配套建设综合楼、地磅房、环保、供配电、给排水、内部道路、绿化等设施</w:t>
            </w:r>
            <w:r>
              <w:rPr>
                <w:rFonts w:hint="default" w:ascii="Times New Roman" w:hAnsi="Times New Roman" w:eastAsia="宋体" w:cs="Times New Roman"/>
                <w:color w:val="auto"/>
                <w:lang w:eastAsia="zh-CN"/>
              </w:rPr>
              <w:t>。</w:t>
            </w:r>
          </w:p>
          <w:p w14:paraId="32205076">
            <w:pPr>
              <w:pStyle w:val="178"/>
              <w:ind w:firstLine="48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该项目已于2025年8月18日取得了东至县发展和改革委员会关于该项目的备案，项目代码2508-341721-04-05-368407</w:t>
            </w:r>
            <w:r>
              <w:rPr>
                <w:rFonts w:hint="default" w:ascii="Times New Roman" w:hAnsi="Times New Roman" w:eastAsia="宋体" w:cs="Times New Roman"/>
                <w:b w:val="0"/>
                <w:bCs/>
                <w:color w:val="auto"/>
              </w:rPr>
              <w:t>。</w:t>
            </w:r>
          </w:p>
          <w:p w14:paraId="1CBB86BA">
            <w:pPr>
              <w:pStyle w:val="189"/>
              <w:adjustRightInd w:val="0"/>
              <w:snapToGrid w:val="0"/>
              <w:ind w:firstLine="48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根据《中华人民共和国环境保护法》、《中华人民共和国环境影响评价法》，本项目应进行环境影响评价，对照《建设项目环境影响评价分类管理名录（2021版）》，</w:t>
            </w:r>
            <w:r>
              <w:rPr>
                <w:rFonts w:hint="default" w:ascii="Times New Roman" w:hAnsi="Times New Roman" w:eastAsia="宋体" w:cs="Times New Roman"/>
                <w:color w:val="auto"/>
                <w:szCs w:val="24"/>
                <w:lang w:val="en-US" w:eastAsia="zh-CN"/>
              </w:rPr>
              <w:t>本项目</w:t>
            </w:r>
            <w:r>
              <w:rPr>
                <w:rFonts w:hint="default" w:ascii="Times New Roman" w:hAnsi="Times New Roman" w:eastAsia="宋体" w:cs="Times New Roman"/>
                <w:bCs/>
                <w:color w:val="auto"/>
              </w:rPr>
              <w:t>应编制</w:t>
            </w:r>
            <w:r>
              <w:rPr>
                <w:rFonts w:hint="default" w:ascii="Times New Roman" w:hAnsi="Times New Roman" w:eastAsia="宋体" w:cs="Times New Roman"/>
                <w:color w:val="auto"/>
                <w:szCs w:val="24"/>
              </w:rPr>
              <w:t>环境影响报告表，判定表见表2-1。</w:t>
            </w:r>
            <w:r>
              <w:rPr>
                <w:rFonts w:hint="default" w:ascii="Times New Roman" w:hAnsi="Times New Roman" w:eastAsia="宋体" w:cs="Times New Roman"/>
                <w:color w:val="auto"/>
                <w:lang w:val="en-US" w:eastAsia="zh-CN"/>
              </w:rPr>
              <w:t>安徽言尘新能源科技有限公司</w:t>
            </w:r>
            <w:r>
              <w:rPr>
                <w:rFonts w:hint="default" w:ascii="Times New Roman" w:hAnsi="Times New Roman" w:eastAsia="宋体" w:cs="Times New Roman"/>
                <w:color w:val="auto"/>
                <w:szCs w:val="24"/>
              </w:rPr>
              <w:t>委托我公司进行该项目的环境评价影响工作。环评单位在接受委托后，立即进行了现场调查、资料收集工作，依照相关环境影响评价编制指南的要求编制了该项目环境影响报告表，提交给主管部门供决策使用。</w:t>
            </w:r>
          </w:p>
          <w:p w14:paraId="612C4876">
            <w:pPr>
              <w:pStyle w:val="189"/>
              <w:adjustRightInd w:val="0"/>
              <w:snapToGrid w:val="0"/>
              <w:ind w:firstLine="480"/>
              <w:rPr>
                <w:rFonts w:hint="default" w:ascii="Times New Roman" w:hAnsi="Times New Roman" w:eastAsia="宋体" w:cs="Times New Roman"/>
                <w:color w:val="auto"/>
                <w:szCs w:val="24"/>
              </w:rPr>
            </w:pPr>
            <w:bookmarkStart w:id="8" w:name="OLE_LINK105"/>
            <w:r>
              <w:rPr>
                <w:rFonts w:hint="default" w:ascii="Times New Roman" w:hAnsi="Times New Roman" w:eastAsia="宋体" w:cs="Times New Roman"/>
                <w:color w:val="auto"/>
                <w:szCs w:val="24"/>
              </w:rPr>
              <w:t>对照《固定污染源排污许可分类管理名录</w:t>
            </w:r>
            <w:bookmarkStart w:id="9" w:name="OLE_LINK96"/>
            <w:r>
              <w:rPr>
                <w:rFonts w:hint="default" w:ascii="Times New Roman" w:hAnsi="Times New Roman" w:eastAsia="宋体" w:cs="Times New Roman"/>
                <w:color w:val="auto"/>
                <w:szCs w:val="24"/>
              </w:rPr>
              <w:t>（2019年版）》（环境保护部令第45号）</w:t>
            </w:r>
            <w:bookmarkEnd w:id="8"/>
            <w:bookmarkEnd w:id="9"/>
            <w:r>
              <w:rPr>
                <w:rFonts w:hint="default" w:ascii="Times New Roman" w:hAnsi="Times New Roman" w:eastAsia="宋体" w:cs="Times New Roman"/>
                <w:color w:val="auto"/>
                <w:szCs w:val="24"/>
              </w:rPr>
              <w:t>，排污许可管理类别为</w:t>
            </w:r>
            <w:r>
              <w:rPr>
                <w:rFonts w:hint="default" w:ascii="Times New Roman" w:hAnsi="Times New Roman" w:eastAsia="宋体" w:cs="Times New Roman"/>
                <w:color w:val="auto"/>
                <w:szCs w:val="24"/>
                <w:lang w:val="en-US" w:eastAsia="zh-CN"/>
              </w:rPr>
              <w:t>登记</w:t>
            </w:r>
            <w:r>
              <w:rPr>
                <w:rFonts w:hint="default" w:ascii="Times New Roman" w:hAnsi="Times New Roman" w:eastAsia="宋体" w:cs="Times New Roman"/>
                <w:color w:val="auto"/>
                <w:szCs w:val="24"/>
              </w:rPr>
              <w:t>管理，具体判定情况见表2-2，建设单位在发生实际排污前应</w:t>
            </w:r>
            <w:r>
              <w:rPr>
                <w:rFonts w:hint="default" w:ascii="Times New Roman" w:hAnsi="Times New Roman" w:eastAsia="宋体" w:cs="Times New Roman"/>
                <w:color w:val="auto"/>
                <w:szCs w:val="24"/>
                <w:lang w:val="en-US" w:eastAsia="zh-CN"/>
              </w:rPr>
              <w:t>进行排污登记</w:t>
            </w:r>
            <w:r>
              <w:rPr>
                <w:rFonts w:hint="default" w:ascii="Times New Roman" w:hAnsi="Times New Roman" w:eastAsia="宋体" w:cs="Times New Roman"/>
                <w:color w:val="auto"/>
                <w:szCs w:val="24"/>
              </w:rPr>
              <w:t>。</w:t>
            </w:r>
          </w:p>
          <w:p w14:paraId="7AE4CE3A">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表2-1  环评类别判定一览表</w:t>
            </w:r>
          </w:p>
          <w:tbl>
            <w:tblPr>
              <w:tblStyle w:val="35"/>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895"/>
              <w:gridCol w:w="1439"/>
              <w:gridCol w:w="2577"/>
              <w:gridCol w:w="723"/>
              <w:gridCol w:w="1443"/>
            </w:tblGrid>
            <w:tr w14:paraId="5EDAA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9" w:type="pct"/>
                  <w:gridSpan w:val="2"/>
                  <w:tcBorders>
                    <w:tl2br w:val="nil"/>
                    <w:tr2bl w:val="nil"/>
                  </w:tcBorders>
                  <w:vAlign w:val="center"/>
                </w:tcPr>
                <w:p w14:paraId="36C86E79">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 xml:space="preserve">      环评类别</w:t>
                  </w:r>
                </w:p>
                <w:p w14:paraId="4242E4E9">
                  <w:pPr>
                    <w:pStyle w:val="189"/>
                    <w:adjustRightInd w:val="0"/>
                    <w:snapToGrid w:val="0"/>
                    <w:spacing w:line="240" w:lineRule="auto"/>
                    <w:ind w:firstLine="0" w:firstLineChars="0"/>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项目类别</w:t>
                  </w:r>
                </w:p>
              </w:tc>
              <w:tc>
                <w:tcPr>
                  <w:tcW w:w="836" w:type="pct"/>
                  <w:tcBorders>
                    <w:tl2br w:val="nil"/>
                    <w:tr2bl w:val="nil"/>
                  </w:tcBorders>
                  <w:vAlign w:val="center"/>
                </w:tcPr>
                <w:p w14:paraId="1B548707">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报告书</w:t>
                  </w:r>
                </w:p>
              </w:tc>
              <w:tc>
                <w:tcPr>
                  <w:tcW w:w="1497" w:type="pct"/>
                  <w:tcBorders>
                    <w:tl2br w:val="nil"/>
                    <w:tr2bl w:val="nil"/>
                  </w:tcBorders>
                  <w:vAlign w:val="center"/>
                </w:tcPr>
                <w:p w14:paraId="14CCDCDB">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报告表</w:t>
                  </w:r>
                </w:p>
              </w:tc>
              <w:tc>
                <w:tcPr>
                  <w:tcW w:w="420" w:type="pct"/>
                  <w:tcBorders>
                    <w:tl2br w:val="nil"/>
                    <w:tr2bl w:val="nil"/>
                  </w:tcBorders>
                  <w:vAlign w:val="center"/>
                </w:tcPr>
                <w:p w14:paraId="124171B6">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登记表</w:t>
                  </w:r>
                </w:p>
              </w:tc>
              <w:tc>
                <w:tcPr>
                  <w:tcW w:w="836" w:type="pct"/>
                  <w:tcBorders>
                    <w:tl2br w:val="nil"/>
                    <w:tr2bl w:val="nil"/>
                  </w:tcBorders>
                  <w:vAlign w:val="center"/>
                </w:tcPr>
                <w:p w14:paraId="73B416C6">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本项目</w:t>
                  </w:r>
                </w:p>
              </w:tc>
            </w:tr>
            <w:tr w14:paraId="15898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05DD4AC1">
                  <w:pPr>
                    <w:pStyle w:val="189"/>
                    <w:adjustRightInd w:val="0"/>
                    <w:snapToGrid w:val="0"/>
                    <w:spacing w:line="240" w:lineRule="auto"/>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二十二、石油、煤炭及其他燃料加工业 25</w:t>
                  </w:r>
                </w:p>
              </w:tc>
            </w:tr>
            <w:tr w14:paraId="0A0C0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tcBorders>
                    <w:tl2br w:val="nil"/>
                    <w:tr2bl w:val="nil"/>
                  </w:tcBorders>
                  <w:vAlign w:val="center"/>
                </w:tcPr>
                <w:p w14:paraId="58376446">
                  <w:pPr>
                    <w:pStyle w:val="189"/>
                    <w:adjustRightInd w:val="0"/>
                    <w:snapToGrid w:val="0"/>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43</w:t>
                  </w:r>
                </w:p>
              </w:tc>
              <w:tc>
                <w:tcPr>
                  <w:tcW w:w="1101" w:type="pct"/>
                  <w:tcBorders>
                    <w:tl2br w:val="nil"/>
                    <w:tr2bl w:val="nil"/>
                  </w:tcBorders>
                  <w:vAlign w:val="center"/>
                </w:tcPr>
                <w:p w14:paraId="600EC3EB">
                  <w:pPr>
                    <w:pStyle w:val="189"/>
                    <w:adjustRightInd w:val="0"/>
                    <w:snapToGrid w:val="0"/>
                    <w:spacing w:line="240" w:lineRule="auto"/>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生物质燃料加工 254</w:t>
                  </w:r>
                </w:p>
              </w:tc>
              <w:tc>
                <w:tcPr>
                  <w:tcW w:w="836" w:type="pct"/>
                  <w:tcBorders>
                    <w:tl2br w:val="nil"/>
                    <w:tr2bl w:val="nil"/>
                  </w:tcBorders>
                  <w:vAlign w:val="center"/>
                </w:tcPr>
                <w:p w14:paraId="3C293896">
                  <w:pPr>
                    <w:pStyle w:val="189"/>
                    <w:adjustRightInd w:val="0"/>
                    <w:snapToGrid w:val="0"/>
                    <w:spacing w:line="240" w:lineRule="auto"/>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生物质液体燃料生产</w:t>
                  </w:r>
                </w:p>
                <w:p w14:paraId="317EFD31">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p>
              </w:tc>
              <w:tc>
                <w:tcPr>
                  <w:tcW w:w="1497" w:type="pct"/>
                  <w:tcBorders>
                    <w:tl2br w:val="nil"/>
                    <w:tr2bl w:val="nil"/>
                  </w:tcBorders>
                  <w:vAlign w:val="center"/>
                </w:tcPr>
                <w:p w14:paraId="6FC40D13">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生物质致密成型燃料加工</w:t>
                  </w:r>
                </w:p>
              </w:tc>
              <w:tc>
                <w:tcPr>
                  <w:tcW w:w="420" w:type="pct"/>
                  <w:tcBorders>
                    <w:tl2br w:val="nil"/>
                    <w:tr2bl w:val="nil"/>
                  </w:tcBorders>
                  <w:vAlign w:val="center"/>
                </w:tcPr>
                <w:p w14:paraId="4F368EA8">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w:t>
                  </w:r>
                </w:p>
              </w:tc>
              <w:tc>
                <w:tcPr>
                  <w:tcW w:w="836" w:type="pct"/>
                  <w:tcBorders>
                    <w:tl2br w:val="nil"/>
                    <w:tr2bl w:val="nil"/>
                  </w:tcBorders>
                  <w:vAlign w:val="center"/>
                </w:tcPr>
                <w:p w14:paraId="7B0BAD80">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项目</w:t>
                  </w:r>
                  <w:r>
                    <w:rPr>
                      <w:rFonts w:hint="default" w:ascii="Times New Roman" w:hAnsi="Times New Roman" w:eastAsia="宋体" w:cs="Times New Roman"/>
                      <w:color w:val="auto"/>
                      <w:sz w:val="21"/>
                      <w:lang w:val="en-US" w:eastAsia="zh-CN"/>
                    </w:rPr>
                    <w:t>产品</w:t>
                  </w:r>
                  <w:r>
                    <w:rPr>
                      <w:rFonts w:hint="default" w:ascii="Times New Roman" w:hAnsi="Times New Roman" w:eastAsia="宋体" w:cs="Times New Roman"/>
                      <w:color w:val="auto"/>
                      <w:sz w:val="21"/>
                    </w:rPr>
                    <w:t>水</w:t>
                  </w:r>
                  <w:r>
                    <w:rPr>
                      <w:rFonts w:hint="default" w:ascii="Times New Roman" w:hAnsi="Times New Roman" w:eastAsia="宋体" w:cs="Times New Roman"/>
                      <w:color w:val="auto"/>
                      <w:sz w:val="21"/>
                      <w:lang w:val="en-US" w:eastAsia="zh-CN"/>
                    </w:rPr>
                    <w:t>生物质致密成型燃料加工</w:t>
                  </w:r>
                  <w:r>
                    <w:rPr>
                      <w:rFonts w:hint="default" w:ascii="Times New Roman" w:hAnsi="Times New Roman" w:eastAsia="宋体" w:cs="Times New Roman"/>
                      <w:color w:val="auto"/>
                      <w:sz w:val="21"/>
                    </w:rPr>
                    <w:t>，编制报告表</w:t>
                  </w:r>
                </w:p>
              </w:tc>
            </w:tr>
            <w:tr w14:paraId="3D337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shd w:val="clear" w:color="auto" w:fill="auto"/>
                  <w:vAlign w:val="center"/>
                </w:tcPr>
                <w:p w14:paraId="6632C567">
                  <w:pPr>
                    <w:pStyle w:val="189"/>
                    <w:adjustRightInd w:val="0"/>
                    <w:snapToGrid w:val="0"/>
                    <w:spacing w:line="240" w:lineRule="auto"/>
                    <w:ind w:firstLine="0" w:firstLineChars="0"/>
                    <w:rPr>
                      <w:rFonts w:hint="default" w:ascii="Times New Roman" w:hAnsi="Times New Roman" w:eastAsia="宋体" w:cs="Times New Roman"/>
                      <w:color w:val="auto"/>
                      <w:kern w:val="24"/>
                      <w:sz w:val="21"/>
                      <w:szCs w:val="21"/>
                      <w:lang w:val="en-US" w:eastAsia="zh-CN" w:bidi="ar-SA"/>
                    </w:rPr>
                  </w:pPr>
                  <w:r>
                    <w:rPr>
                      <w:rFonts w:hint="default" w:ascii="Times New Roman" w:hAnsi="Times New Roman" w:eastAsia="宋体" w:cs="Times New Roman"/>
                      <w:color w:val="auto"/>
                      <w:sz w:val="21"/>
                    </w:rPr>
                    <w:t>二十七、非金属矿物制品业 30</w:t>
                  </w:r>
                </w:p>
              </w:tc>
            </w:tr>
            <w:tr w14:paraId="2DB4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tcBorders>
                    <w:tl2br w:val="nil"/>
                    <w:tr2bl w:val="nil"/>
                  </w:tcBorders>
                  <w:vAlign w:val="center"/>
                </w:tcPr>
                <w:p w14:paraId="1774CCF3">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55</w:t>
                  </w:r>
                </w:p>
              </w:tc>
              <w:tc>
                <w:tcPr>
                  <w:tcW w:w="1101" w:type="pct"/>
                  <w:tcBorders>
                    <w:tl2br w:val="nil"/>
                    <w:tr2bl w:val="nil"/>
                  </w:tcBorders>
                  <w:vAlign w:val="center"/>
                </w:tcPr>
                <w:p w14:paraId="76428683">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石膏、水泥制品及类似制品制造 302</w:t>
                  </w:r>
                </w:p>
              </w:tc>
              <w:tc>
                <w:tcPr>
                  <w:tcW w:w="836" w:type="pct"/>
                  <w:tcBorders>
                    <w:tl2br w:val="nil"/>
                    <w:tr2bl w:val="nil"/>
                  </w:tcBorders>
                  <w:vAlign w:val="center"/>
                </w:tcPr>
                <w:p w14:paraId="43BDFA30">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w:t>
                  </w:r>
                </w:p>
              </w:tc>
              <w:tc>
                <w:tcPr>
                  <w:tcW w:w="1497" w:type="pct"/>
                  <w:tcBorders>
                    <w:tl2br w:val="nil"/>
                    <w:tr2bl w:val="nil"/>
                  </w:tcBorders>
                  <w:vAlign w:val="center"/>
                </w:tcPr>
                <w:p w14:paraId="518C4C0A">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商品混凝土；砼结构构件制造；水泥制品制造</w:t>
                  </w:r>
                </w:p>
              </w:tc>
              <w:tc>
                <w:tcPr>
                  <w:tcW w:w="420" w:type="pct"/>
                  <w:tcBorders>
                    <w:tl2br w:val="nil"/>
                    <w:tr2bl w:val="nil"/>
                  </w:tcBorders>
                  <w:vAlign w:val="center"/>
                </w:tcPr>
                <w:p w14:paraId="08555B5C">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w:t>
                  </w:r>
                </w:p>
              </w:tc>
              <w:tc>
                <w:tcPr>
                  <w:tcW w:w="836" w:type="pct"/>
                  <w:tcBorders>
                    <w:tl2br w:val="nil"/>
                    <w:tr2bl w:val="nil"/>
                  </w:tcBorders>
                  <w:vAlign w:val="center"/>
                </w:tcPr>
                <w:p w14:paraId="09C560AD">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项目</w:t>
                  </w:r>
                  <w:r>
                    <w:rPr>
                      <w:rFonts w:hint="default" w:ascii="Times New Roman" w:hAnsi="Times New Roman" w:eastAsia="宋体" w:cs="Times New Roman"/>
                      <w:color w:val="auto"/>
                      <w:sz w:val="21"/>
                      <w:lang w:val="en-US" w:eastAsia="zh-CN"/>
                    </w:rPr>
                    <w:t>产品</w:t>
                  </w:r>
                  <w:r>
                    <w:rPr>
                      <w:rFonts w:hint="default" w:ascii="Times New Roman" w:hAnsi="Times New Roman" w:eastAsia="宋体" w:cs="Times New Roman"/>
                      <w:color w:val="auto"/>
                      <w:sz w:val="21"/>
                    </w:rPr>
                    <w:t>水稳料</w:t>
                  </w:r>
                  <w:r>
                    <w:rPr>
                      <w:rFonts w:hint="default" w:ascii="Times New Roman" w:hAnsi="Times New Roman" w:eastAsia="宋体" w:cs="Times New Roman"/>
                      <w:color w:val="auto"/>
                      <w:sz w:val="21"/>
                      <w:lang w:val="en-US" w:eastAsia="zh-CN"/>
                    </w:rPr>
                    <w:t>为</w:t>
                  </w:r>
                  <w:r>
                    <w:rPr>
                      <w:rFonts w:hint="default" w:ascii="Times New Roman" w:hAnsi="Times New Roman" w:eastAsia="宋体" w:cs="Times New Roman"/>
                      <w:color w:val="auto"/>
                      <w:sz w:val="21"/>
                    </w:rPr>
                    <w:t>水泥制品，编制报告表</w:t>
                  </w:r>
                </w:p>
              </w:tc>
            </w:tr>
            <w:tr w14:paraId="3544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564BCEAD">
                  <w:pPr>
                    <w:pStyle w:val="189"/>
                    <w:adjustRightInd w:val="0"/>
                    <w:snapToGrid w:val="0"/>
                    <w:spacing w:line="240" w:lineRule="auto"/>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三十九、废弃资源综合利用业 42</w:t>
                  </w:r>
                </w:p>
              </w:tc>
            </w:tr>
            <w:tr w14:paraId="43DB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tcBorders>
                    <w:tl2br w:val="nil"/>
                    <w:tr2bl w:val="nil"/>
                  </w:tcBorders>
                  <w:vAlign w:val="center"/>
                </w:tcPr>
                <w:p w14:paraId="23AC2414">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85</w:t>
                  </w:r>
                </w:p>
              </w:tc>
              <w:tc>
                <w:tcPr>
                  <w:tcW w:w="1101" w:type="pct"/>
                  <w:tcBorders>
                    <w:tl2br w:val="nil"/>
                    <w:tr2bl w:val="nil"/>
                  </w:tcBorders>
                  <w:vAlign w:val="center"/>
                </w:tcPr>
                <w:p w14:paraId="1DF0D488">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金属废料和碎屑加工处理 421；非金属废料和碎屑加工处理422（421和422均不含原料为危险废物的，均不含仅分拣、破碎的）</w:t>
                  </w:r>
                </w:p>
              </w:tc>
              <w:tc>
                <w:tcPr>
                  <w:tcW w:w="836" w:type="pct"/>
                  <w:tcBorders>
                    <w:tl2br w:val="nil"/>
                    <w:tr2bl w:val="nil"/>
                  </w:tcBorders>
                  <w:vAlign w:val="center"/>
                </w:tcPr>
                <w:p w14:paraId="3B1620E6">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废电池、废油加工处理</w:t>
                  </w:r>
                </w:p>
              </w:tc>
              <w:tc>
                <w:tcPr>
                  <w:tcW w:w="1497" w:type="pct"/>
                  <w:tcBorders>
                    <w:tl2br w:val="nil"/>
                    <w:tr2bl w:val="nil"/>
                  </w:tcBorders>
                  <w:vAlign w:val="center"/>
                </w:tcPr>
                <w:p w14:paraId="5AF8F9EF">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弃电器电子产品、废机动车、废电机、废电线电缆、废钢、废铁、金属和金属化合物矿灰及残渣、有色金属废料与碎屑、废塑料、废轮胎、废船、含水洗工艺的其他废料和碎屑加工处理（农业生产产生的废旧秧盘、薄膜破碎和清洗工艺的除外）</w:t>
                  </w:r>
                </w:p>
              </w:tc>
              <w:tc>
                <w:tcPr>
                  <w:tcW w:w="420" w:type="pct"/>
                  <w:tcBorders>
                    <w:tl2br w:val="nil"/>
                    <w:tr2bl w:val="nil"/>
                  </w:tcBorders>
                  <w:vAlign w:val="center"/>
                </w:tcPr>
                <w:p w14:paraId="1C99329F">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w:t>
                  </w:r>
                </w:p>
              </w:tc>
              <w:tc>
                <w:tcPr>
                  <w:tcW w:w="836" w:type="pct"/>
                  <w:tcBorders>
                    <w:tl2br w:val="nil"/>
                    <w:tr2bl w:val="nil"/>
                  </w:tcBorders>
                  <w:vAlign w:val="center"/>
                </w:tcPr>
                <w:p w14:paraId="3C37CDB6">
                  <w:pPr>
                    <w:pStyle w:val="189"/>
                    <w:adjustRightInd w:val="0"/>
                    <w:snapToGrid w:val="0"/>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rPr>
                    <w:t>本项目为建筑垃圾</w:t>
                  </w:r>
                  <w:r>
                    <w:rPr>
                      <w:rFonts w:hint="default" w:ascii="Times New Roman" w:hAnsi="Times New Roman" w:eastAsia="宋体" w:cs="Times New Roman"/>
                      <w:color w:val="auto"/>
                      <w:sz w:val="21"/>
                      <w:lang w:val="en-US" w:eastAsia="zh-CN"/>
                    </w:rPr>
                    <w:t>资源化利用项目</w:t>
                  </w:r>
                  <w:r>
                    <w:rPr>
                      <w:rFonts w:hint="default" w:ascii="Times New Roman" w:hAnsi="Times New Roman" w:eastAsia="宋体" w:cs="Times New Roman"/>
                      <w:color w:val="auto"/>
                      <w:sz w:val="21"/>
                    </w:rPr>
                    <w:t>，</w:t>
                  </w:r>
                  <w:r>
                    <w:rPr>
                      <w:rFonts w:hint="default" w:ascii="Times New Roman" w:hAnsi="Times New Roman" w:eastAsia="宋体" w:cs="Times New Roman"/>
                      <w:color w:val="auto"/>
                      <w:sz w:val="21"/>
                      <w:lang w:val="en-US" w:eastAsia="zh-CN"/>
                    </w:rPr>
                    <w:t>无水洗工艺，无需编制环评</w:t>
                  </w:r>
                </w:p>
              </w:tc>
            </w:tr>
            <w:tr w14:paraId="5C49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5970ED38">
                  <w:pPr>
                    <w:pStyle w:val="189"/>
                    <w:adjustRightInd w:val="0"/>
                    <w:snapToGrid w:val="0"/>
                    <w:spacing w:line="240" w:lineRule="auto"/>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四十七、生态保护和环境治理业</w:t>
                  </w:r>
                </w:p>
              </w:tc>
            </w:tr>
            <w:tr w14:paraId="77745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tcBorders>
                    <w:tl2br w:val="nil"/>
                    <w:tr2bl w:val="nil"/>
                  </w:tcBorders>
                  <w:vAlign w:val="center"/>
                </w:tcPr>
                <w:p w14:paraId="06FB3CB9">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103</w:t>
                  </w:r>
                </w:p>
              </w:tc>
              <w:tc>
                <w:tcPr>
                  <w:tcW w:w="1101" w:type="pct"/>
                  <w:tcBorders>
                    <w:tl2br w:val="nil"/>
                    <w:tr2bl w:val="nil"/>
                  </w:tcBorders>
                  <w:vAlign w:val="center"/>
                </w:tcPr>
                <w:p w14:paraId="6F5526EC">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一般工业固体废物（含污水处理污泥）、建筑施工废弃物处置及综合利用</w:t>
                  </w:r>
                </w:p>
              </w:tc>
              <w:tc>
                <w:tcPr>
                  <w:tcW w:w="836" w:type="pct"/>
                  <w:tcBorders>
                    <w:tl2br w:val="nil"/>
                    <w:tr2bl w:val="nil"/>
                  </w:tcBorders>
                  <w:vAlign w:val="center"/>
                </w:tcPr>
                <w:p w14:paraId="30C321E6">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一般工业固体废物（含污水处理污泥）采取填埋、焚烧（水泥窑协同处置的改造项目除外）方式的</w:t>
                  </w:r>
                </w:p>
              </w:tc>
              <w:tc>
                <w:tcPr>
                  <w:tcW w:w="1497" w:type="pct"/>
                  <w:tcBorders>
                    <w:tl2br w:val="nil"/>
                    <w:tr2bl w:val="nil"/>
                  </w:tcBorders>
                  <w:vAlign w:val="center"/>
                </w:tcPr>
                <w:p w14:paraId="48F83944">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其他</w:t>
                  </w:r>
                </w:p>
              </w:tc>
              <w:tc>
                <w:tcPr>
                  <w:tcW w:w="420" w:type="pct"/>
                  <w:tcBorders>
                    <w:tl2br w:val="nil"/>
                    <w:tr2bl w:val="nil"/>
                  </w:tcBorders>
                  <w:vAlign w:val="center"/>
                </w:tcPr>
                <w:p w14:paraId="75B9AED5">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w:t>
                  </w:r>
                </w:p>
              </w:tc>
              <w:tc>
                <w:tcPr>
                  <w:tcW w:w="836" w:type="pct"/>
                  <w:tcBorders>
                    <w:tl2br w:val="nil"/>
                    <w:tr2bl w:val="nil"/>
                  </w:tcBorders>
                  <w:vAlign w:val="center"/>
                </w:tcPr>
                <w:p w14:paraId="6F750601">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本项目不涉及固废填埋和焚烧处置，包含建筑垃圾处置，应编制报告表</w:t>
                  </w:r>
                </w:p>
              </w:tc>
            </w:tr>
          </w:tbl>
          <w:p w14:paraId="637EECE2">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表2-2  排污许可管理类别判定一览表</w:t>
            </w:r>
          </w:p>
          <w:tbl>
            <w:tblPr>
              <w:tblStyle w:val="35"/>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1193"/>
              <w:gridCol w:w="1531"/>
              <w:gridCol w:w="2378"/>
              <w:gridCol w:w="1618"/>
              <w:gridCol w:w="1339"/>
            </w:tblGrid>
            <w:tr w14:paraId="486A0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2" w:type="pct"/>
                  <w:gridSpan w:val="2"/>
                  <w:tcBorders>
                    <w:tl2br w:val="nil"/>
                    <w:tr2bl w:val="nil"/>
                  </w:tcBorders>
                  <w:vAlign w:val="center"/>
                </w:tcPr>
                <w:p w14:paraId="1752936A">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行业类别</w:t>
                  </w:r>
                </w:p>
              </w:tc>
              <w:tc>
                <w:tcPr>
                  <w:tcW w:w="889" w:type="pct"/>
                  <w:tcBorders>
                    <w:tl2br w:val="nil"/>
                    <w:tr2bl w:val="nil"/>
                  </w:tcBorders>
                  <w:vAlign w:val="center"/>
                </w:tcPr>
                <w:p w14:paraId="55EDFFE8">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重点管理</w:t>
                  </w:r>
                </w:p>
              </w:tc>
              <w:tc>
                <w:tcPr>
                  <w:tcW w:w="1381" w:type="pct"/>
                  <w:tcBorders>
                    <w:tl2br w:val="nil"/>
                    <w:tr2bl w:val="nil"/>
                  </w:tcBorders>
                  <w:vAlign w:val="center"/>
                </w:tcPr>
                <w:p w14:paraId="267F3C2D">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简化管理</w:t>
                  </w:r>
                </w:p>
              </w:tc>
              <w:tc>
                <w:tcPr>
                  <w:tcW w:w="940" w:type="pct"/>
                  <w:tcBorders>
                    <w:tl2br w:val="nil"/>
                    <w:tr2bl w:val="nil"/>
                  </w:tcBorders>
                  <w:vAlign w:val="center"/>
                </w:tcPr>
                <w:p w14:paraId="7A345C77">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登记管理</w:t>
                  </w:r>
                </w:p>
              </w:tc>
              <w:tc>
                <w:tcPr>
                  <w:tcW w:w="777" w:type="pct"/>
                  <w:tcBorders>
                    <w:tl2br w:val="nil"/>
                    <w:tr2bl w:val="nil"/>
                  </w:tcBorders>
                  <w:vAlign w:val="center"/>
                </w:tcPr>
                <w:p w14:paraId="45CC446E">
                  <w:pPr>
                    <w:pStyle w:val="189"/>
                    <w:adjustRightInd w:val="0"/>
                    <w:snapToGrid w:val="0"/>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本项目</w:t>
                  </w:r>
                </w:p>
              </w:tc>
            </w:tr>
            <w:tr w14:paraId="5AF9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27574B86">
                  <w:pPr>
                    <w:keepNext w:val="0"/>
                    <w:keepLines w:val="0"/>
                    <w:widowControl/>
                    <w:suppressLineNumbers w:val="0"/>
                    <w:jc w:val="left"/>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szCs w:val="21"/>
                      <w:lang w:val="en-US" w:eastAsia="zh-CN" w:bidi="ar"/>
                    </w:rPr>
                    <w:t>二十、石油、煤炭及其他燃料加工业 25</w:t>
                  </w:r>
                </w:p>
              </w:tc>
            </w:tr>
            <w:tr w14:paraId="5CE8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 w:type="pct"/>
                  <w:tcBorders>
                    <w:tl2br w:val="nil"/>
                    <w:tr2bl w:val="nil"/>
                  </w:tcBorders>
                  <w:vAlign w:val="center"/>
                </w:tcPr>
                <w:p w14:paraId="24375A49">
                  <w:pPr>
                    <w:pStyle w:val="189"/>
                    <w:adjustRightInd w:val="0"/>
                    <w:snapToGrid w:val="0"/>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44</w:t>
                  </w:r>
                </w:p>
              </w:tc>
              <w:tc>
                <w:tcPr>
                  <w:tcW w:w="692" w:type="pct"/>
                  <w:tcBorders>
                    <w:tl2br w:val="nil"/>
                    <w:tr2bl w:val="nil"/>
                  </w:tcBorders>
                  <w:vAlign w:val="center"/>
                </w:tcPr>
                <w:p w14:paraId="27C0089A">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 xml:space="preserve">生物质燃料加 </w:t>
                  </w:r>
                </w:p>
                <w:p w14:paraId="7A8F5864">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工 254</w:t>
                  </w:r>
                </w:p>
              </w:tc>
              <w:tc>
                <w:tcPr>
                  <w:tcW w:w="889" w:type="pct"/>
                  <w:tcBorders>
                    <w:tl2br w:val="nil"/>
                    <w:tr2bl w:val="nil"/>
                  </w:tcBorders>
                  <w:vAlign w:val="center"/>
                </w:tcPr>
                <w:p w14:paraId="683EE52B">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涉及通用工序重点管理的</w:t>
                  </w:r>
                </w:p>
              </w:tc>
              <w:tc>
                <w:tcPr>
                  <w:tcW w:w="1381" w:type="pct"/>
                  <w:tcBorders>
                    <w:tl2br w:val="nil"/>
                    <w:tr2bl w:val="nil"/>
                  </w:tcBorders>
                  <w:vAlign w:val="center"/>
                </w:tcPr>
                <w:p w14:paraId="4FEA91BD">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涉及通用工序简化管理 的</w:t>
                  </w:r>
                </w:p>
              </w:tc>
              <w:tc>
                <w:tcPr>
                  <w:tcW w:w="940" w:type="pct"/>
                  <w:tcBorders>
                    <w:tl2br w:val="nil"/>
                    <w:tr2bl w:val="nil"/>
                  </w:tcBorders>
                  <w:vAlign w:val="center"/>
                </w:tcPr>
                <w:p w14:paraId="74E5E7CF">
                  <w:pPr>
                    <w:pStyle w:val="189"/>
                    <w:adjustRightInd w:val="0"/>
                    <w:snapToGrid w:val="0"/>
                    <w:spacing w:line="240" w:lineRule="auto"/>
                    <w:ind w:firstLine="0" w:firstLineChars="0"/>
                    <w:jc w:val="center"/>
                    <w:rPr>
                      <w:rFonts w:hint="default" w:ascii="Times New Roman" w:hAnsi="Times New Roman" w:eastAsia="宋体" w:cs="Times New Roman"/>
                      <w:color w:val="auto"/>
                      <w:sz w:val="21"/>
                      <w:lang w:eastAsia="zh-CN"/>
                    </w:rPr>
                  </w:pPr>
                  <w:r>
                    <w:rPr>
                      <w:rFonts w:hint="default" w:ascii="Times New Roman" w:hAnsi="Times New Roman" w:eastAsia="宋体" w:cs="Times New Roman"/>
                      <w:color w:val="auto"/>
                      <w:sz w:val="21"/>
                      <w:lang w:val="en-US" w:eastAsia="zh-CN"/>
                    </w:rPr>
                    <w:t>其他</w:t>
                  </w:r>
                </w:p>
              </w:tc>
              <w:tc>
                <w:tcPr>
                  <w:tcW w:w="777" w:type="pct"/>
                  <w:tcBorders>
                    <w:tl2br w:val="nil"/>
                    <w:tr2bl w:val="nil"/>
                  </w:tcBorders>
                  <w:vAlign w:val="center"/>
                </w:tcPr>
                <w:p w14:paraId="32FADC79">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w:t>
                  </w:r>
                  <w:r>
                    <w:rPr>
                      <w:rFonts w:hint="default" w:ascii="Times New Roman" w:hAnsi="Times New Roman" w:eastAsia="宋体" w:cs="Times New Roman"/>
                      <w:color w:val="auto"/>
                      <w:sz w:val="21"/>
                      <w:lang w:val="en-US" w:eastAsia="zh-CN"/>
                    </w:rPr>
                    <w:t>产品为RDF燃料制造</w:t>
                  </w:r>
                  <w:r>
                    <w:rPr>
                      <w:rFonts w:hint="default" w:ascii="Times New Roman" w:hAnsi="Times New Roman" w:eastAsia="宋体" w:cs="Times New Roman"/>
                      <w:color w:val="auto"/>
                      <w:sz w:val="21"/>
                      <w:lang w:eastAsia="zh-CN"/>
                    </w:rPr>
                    <w:t>，</w:t>
                  </w:r>
                  <w:r>
                    <w:rPr>
                      <w:rFonts w:hint="default" w:ascii="Times New Roman" w:hAnsi="Times New Roman" w:eastAsia="宋体" w:cs="Times New Roman"/>
                      <w:color w:val="auto"/>
                      <w:sz w:val="21"/>
                      <w:lang w:val="en-US" w:eastAsia="zh-CN"/>
                    </w:rPr>
                    <w:t>不设计通用工序重点及简化管理。</w:t>
                  </w:r>
                  <w:r>
                    <w:rPr>
                      <w:rFonts w:hint="default" w:ascii="Times New Roman" w:hAnsi="Times New Roman" w:eastAsia="宋体" w:cs="Times New Roman"/>
                      <w:color w:val="auto"/>
                      <w:sz w:val="21"/>
                    </w:rPr>
                    <w:t>为登记管理</w:t>
                  </w:r>
                </w:p>
              </w:tc>
            </w:tr>
            <w:tr w14:paraId="14789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6" w:type="dxa"/>
                  <w:gridSpan w:val="6"/>
                  <w:tcBorders>
                    <w:tl2br w:val="nil"/>
                    <w:tr2bl w:val="nil"/>
                  </w:tcBorders>
                  <w:vAlign w:val="center"/>
                </w:tcPr>
                <w:p w14:paraId="160A4F78">
                  <w:pPr>
                    <w:pStyle w:val="189"/>
                    <w:adjustRightInd w:val="0"/>
                    <w:snapToGrid w:val="0"/>
                    <w:spacing w:line="240" w:lineRule="auto"/>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二十五、非金属矿物制品业30</w:t>
                  </w:r>
                </w:p>
              </w:tc>
            </w:tr>
            <w:tr w14:paraId="01EB8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tcBorders>
                    <w:tl2br w:val="nil"/>
                    <w:tr2bl w:val="nil"/>
                  </w:tcBorders>
                  <w:vAlign w:val="center"/>
                </w:tcPr>
                <w:p w14:paraId="2A432671">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63</w:t>
                  </w:r>
                </w:p>
              </w:tc>
              <w:tc>
                <w:tcPr>
                  <w:tcW w:w="1194" w:type="dxa"/>
                  <w:tcBorders>
                    <w:tl2br w:val="nil"/>
                    <w:tr2bl w:val="nil"/>
                  </w:tcBorders>
                  <w:vAlign w:val="center"/>
                </w:tcPr>
                <w:p w14:paraId="27C2001B">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水泥、石灰和石膏制造301，石膏、水泥制品及类似制品制造302</w:t>
                  </w:r>
                </w:p>
              </w:tc>
              <w:tc>
                <w:tcPr>
                  <w:tcW w:w="1532" w:type="dxa"/>
                  <w:tcBorders>
                    <w:tl2br w:val="nil"/>
                    <w:tr2bl w:val="nil"/>
                  </w:tcBorders>
                  <w:vAlign w:val="center"/>
                </w:tcPr>
                <w:p w14:paraId="7084BAAC">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水泥（熟料）制造</w:t>
                  </w:r>
                </w:p>
              </w:tc>
              <w:tc>
                <w:tcPr>
                  <w:tcW w:w="2380" w:type="dxa"/>
                  <w:tcBorders>
                    <w:tl2br w:val="nil"/>
                    <w:tr2bl w:val="nil"/>
                  </w:tcBorders>
                  <w:vAlign w:val="center"/>
                </w:tcPr>
                <w:p w14:paraId="155F1BEC">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水泥粉磨站、石灰和石膏制造3012</w:t>
                  </w:r>
                </w:p>
              </w:tc>
              <w:tc>
                <w:tcPr>
                  <w:tcW w:w="1620" w:type="dxa"/>
                  <w:tcBorders>
                    <w:tl2br w:val="nil"/>
                    <w:tr2bl w:val="nil"/>
                  </w:tcBorders>
                  <w:vAlign w:val="center"/>
                </w:tcPr>
                <w:p w14:paraId="61C9475A">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水泥制品制造3021，砼结构构件制造3022，石棉水泥制品制造3023，轻质建筑材料制造3024，其他水泥类似制品制造3029</w:t>
                  </w:r>
                </w:p>
              </w:tc>
              <w:tc>
                <w:tcPr>
                  <w:tcW w:w="1341" w:type="dxa"/>
                  <w:tcBorders>
                    <w:tl2br w:val="nil"/>
                    <w:tr2bl w:val="nil"/>
                  </w:tcBorders>
                  <w:vAlign w:val="center"/>
                </w:tcPr>
                <w:p w14:paraId="7461B3BA">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w:t>
                  </w:r>
                  <w:r>
                    <w:rPr>
                      <w:rFonts w:hint="default" w:ascii="Times New Roman" w:hAnsi="Times New Roman" w:eastAsia="宋体" w:cs="Times New Roman"/>
                      <w:color w:val="auto"/>
                      <w:sz w:val="21"/>
                      <w:lang w:val="en-US" w:eastAsia="zh-CN"/>
                    </w:rPr>
                    <w:t>产品</w:t>
                  </w:r>
                  <w:r>
                    <w:rPr>
                      <w:rFonts w:hint="default" w:ascii="Times New Roman" w:hAnsi="Times New Roman" w:eastAsia="宋体" w:cs="Times New Roman"/>
                      <w:color w:val="auto"/>
                      <w:sz w:val="21"/>
                    </w:rPr>
                    <w:t>水稳料为水泥制品制造，为登记管理</w:t>
                  </w:r>
                </w:p>
              </w:tc>
            </w:tr>
            <w:tr w14:paraId="397FB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40709137">
                  <w:pPr>
                    <w:pStyle w:val="189"/>
                    <w:adjustRightInd w:val="0"/>
                    <w:snapToGrid w:val="0"/>
                    <w:spacing w:line="240" w:lineRule="auto"/>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三十七、废弃资源综合利用业42</w:t>
                  </w:r>
                </w:p>
              </w:tc>
            </w:tr>
            <w:tr w14:paraId="72D3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 w:type="pct"/>
                  <w:tcBorders>
                    <w:tl2br w:val="nil"/>
                    <w:tr2bl w:val="nil"/>
                  </w:tcBorders>
                  <w:vAlign w:val="center"/>
                </w:tcPr>
                <w:p w14:paraId="7438CEC5">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93</w:t>
                  </w:r>
                </w:p>
              </w:tc>
              <w:tc>
                <w:tcPr>
                  <w:tcW w:w="692" w:type="pct"/>
                  <w:tcBorders>
                    <w:tl2br w:val="nil"/>
                    <w:tr2bl w:val="nil"/>
                  </w:tcBorders>
                  <w:vAlign w:val="center"/>
                </w:tcPr>
                <w:p w14:paraId="426159F8">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金属废料和碎屑加工处理421，非金属废料和碎屑加工处理422</w:t>
                  </w:r>
                </w:p>
              </w:tc>
              <w:tc>
                <w:tcPr>
                  <w:tcW w:w="889" w:type="pct"/>
                  <w:tcBorders>
                    <w:tl2br w:val="nil"/>
                    <w:tr2bl w:val="nil"/>
                  </w:tcBorders>
                  <w:vAlign w:val="center"/>
                </w:tcPr>
                <w:p w14:paraId="2BC5696B">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废电池、废油、废轮胎加工处理</w:t>
                  </w:r>
                </w:p>
              </w:tc>
              <w:tc>
                <w:tcPr>
                  <w:tcW w:w="1381" w:type="pct"/>
                  <w:tcBorders>
                    <w:tl2br w:val="nil"/>
                    <w:tr2bl w:val="nil"/>
                  </w:tcBorders>
                  <w:vAlign w:val="center"/>
                </w:tcPr>
                <w:p w14:paraId="4F69FE0B">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废弃电器电子产品、废机动车、废电机、废电线电缆、废塑料、废船、含水洗工艺的其他废料和碎屑加工处理</w:t>
                  </w:r>
                </w:p>
              </w:tc>
              <w:tc>
                <w:tcPr>
                  <w:tcW w:w="940" w:type="pct"/>
                  <w:tcBorders>
                    <w:tl2br w:val="nil"/>
                    <w:tr2bl w:val="nil"/>
                  </w:tcBorders>
                  <w:vAlign w:val="center"/>
                </w:tcPr>
                <w:p w14:paraId="3043D379">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其他</w:t>
                  </w:r>
                </w:p>
              </w:tc>
              <w:tc>
                <w:tcPr>
                  <w:tcW w:w="777" w:type="pct"/>
                  <w:tcBorders>
                    <w:tl2br w:val="nil"/>
                    <w:tr2bl w:val="nil"/>
                  </w:tcBorders>
                  <w:vAlign w:val="center"/>
                </w:tcPr>
                <w:p w14:paraId="35149CE1">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本项目为建筑垃圾处置项目，无水洗工艺，为登记管理</w:t>
                  </w:r>
                </w:p>
              </w:tc>
            </w:tr>
            <w:tr w14:paraId="385B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14:paraId="29B24DAF">
                  <w:pPr>
                    <w:pStyle w:val="189"/>
                    <w:adjustRightInd w:val="0"/>
                    <w:snapToGrid w:val="0"/>
                    <w:spacing w:line="240" w:lineRule="auto"/>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szCs w:val="18"/>
                    </w:rPr>
                    <w:t>四十五、生态保护和环境治理业77</w:t>
                  </w:r>
                </w:p>
              </w:tc>
            </w:tr>
            <w:tr w14:paraId="3308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 w:type="pct"/>
                  <w:tcBorders>
                    <w:tl2br w:val="nil"/>
                    <w:tr2bl w:val="nil"/>
                  </w:tcBorders>
                  <w:vAlign w:val="center"/>
                </w:tcPr>
                <w:p w14:paraId="179094D7">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103</w:t>
                  </w:r>
                </w:p>
              </w:tc>
              <w:tc>
                <w:tcPr>
                  <w:tcW w:w="692" w:type="pct"/>
                  <w:tcBorders>
                    <w:tl2br w:val="nil"/>
                    <w:tr2bl w:val="nil"/>
                  </w:tcBorders>
                  <w:vAlign w:val="center"/>
                </w:tcPr>
                <w:p w14:paraId="20AAAA0A">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环境治理业772</w:t>
                  </w:r>
                </w:p>
              </w:tc>
              <w:tc>
                <w:tcPr>
                  <w:tcW w:w="889" w:type="pct"/>
                  <w:tcBorders>
                    <w:tl2br w:val="nil"/>
                    <w:tr2bl w:val="nil"/>
                  </w:tcBorders>
                  <w:vAlign w:val="center"/>
                </w:tcPr>
                <w:p w14:paraId="4E4A025F">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专业从事危险废物贮存、利用、处理、处置（含焚烧发电）的，专业从事一般工业固体废物贮存、处置（含焚烧发电）的</w:t>
                  </w:r>
                </w:p>
              </w:tc>
              <w:tc>
                <w:tcPr>
                  <w:tcW w:w="1381" w:type="pct"/>
                  <w:tcBorders>
                    <w:tl2br w:val="nil"/>
                    <w:tr2bl w:val="nil"/>
                  </w:tcBorders>
                  <w:vAlign w:val="center"/>
                </w:tcPr>
                <w:p w14:paraId="0849CDF5">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w:t>
                  </w:r>
                </w:p>
              </w:tc>
              <w:tc>
                <w:tcPr>
                  <w:tcW w:w="940" w:type="pct"/>
                  <w:tcBorders>
                    <w:tl2br w:val="nil"/>
                    <w:tr2bl w:val="nil"/>
                  </w:tcBorders>
                  <w:vAlign w:val="center"/>
                </w:tcPr>
                <w:p w14:paraId="126EE282">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w:t>
                  </w:r>
                </w:p>
              </w:tc>
              <w:tc>
                <w:tcPr>
                  <w:tcW w:w="777" w:type="pct"/>
                  <w:tcBorders>
                    <w:tl2br w:val="nil"/>
                    <w:tr2bl w:val="nil"/>
                  </w:tcBorders>
                  <w:vAlign w:val="center"/>
                </w:tcPr>
                <w:p w14:paraId="42F45909">
                  <w:pPr>
                    <w:pStyle w:val="189"/>
                    <w:adjustRightInd w:val="0"/>
                    <w:snapToGrid w:val="0"/>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本项目为建筑垃圾处置项目，不涉及填埋和焚烧处置，无需进行排污许可申报</w:t>
                  </w:r>
                </w:p>
              </w:tc>
            </w:tr>
          </w:tbl>
          <w:p w14:paraId="05F5BC4C">
            <w:pPr>
              <w:pStyle w:val="4"/>
              <w:ind w:firstLine="482"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（二）项目概况</w:t>
            </w:r>
          </w:p>
          <w:p w14:paraId="3F455A05">
            <w:pPr>
              <w:ind w:firstLine="480"/>
              <w:rPr>
                <w:rFonts w:hint="default" w:ascii="Times New Roman" w:hAnsi="Times New Roman" w:eastAsia="宋体" w:cs="Times New Roman"/>
                <w:bCs/>
                <w:snapToGrid w:val="0"/>
                <w:color w:val="auto"/>
                <w:kern w:val="0"/>
              </w:rPr>
            </w:pPr>
            <w:r>
              <w:rPr>
                <w:rFonts w:hint="default" w:ascii="Times New Roman" w:hAnsi="Times New Roman" w:eastAsia="宋体" w:cs="Times New Roman"/>
                <w:bCs/>
                <w:snapToGrid w:val="0"/>
                <w:color w:val="auto"/>
                <w:kern w:val="0"/>
              </w:rPr>
              <w:t>（1）项目名称：</w:t>
            </w:r>
            <w:r>
              <w:rPr>
                <w:rFonts w:hint="default" w:ascii="Times New Roman" w:hAnsi="Times New Roman" w:eastAsia="宋体" w:cs="Times New Roman"/>
                <w:bCs/>
                <w:snapToGrid w:val="0"/>
                <w:color w:val="auto"/>
                <w:kern w:val="0"/>
                <w:lang w:val="en-US" w:eastAsia="zh-CN"/>
              </w:rPr>
              <w:t>东至县建筑垃圾综合处置项目</w:t>
            </w:r>
            <w:r>
              <w:rPr>
                <w:rFonts w:hint="default" w:ascii="Times New Roman" w:hAnsi="Times New Roman" w:eastAsia="宋体" w:cs="Times New Roman"/>
                <w:bCs/>
                <w:color w:val="auto"/>
              </w:rPr>
              <w:t>；</w:t>
            </w:r>
          </w:p>
          <w:p w14:paraId="629B4450">
            <w:pPr>
              <w:ind w:firstLine="480"/>
              <w:rPr>
                <w:rFonts w:hint="default" w:ascii="Times New Roman" w:hAnsi="Times New Roman" w:eastAsia="宋体" w:cs="Times New Roman"/>
                <w:bCs/>
                <w:snapToGrid w:val="0"/>
                <w:color w:val="auto"/>
                <w:kern w:val="0"/>
              </w:rPr>
            </w:pPr>
            <w:r>
              <w:rPr>
                <w:rFonts w:hint="default" w:ascii="Times New Roman" w:hAnsi="Times New Roman" w:eastAsia="宋体" w:cs="Times New Roman"/>
                <w:bCs/>
                <w:snapToGrid w:val="0"/>
                <w:color w:val="auto"/>
                <w:kern w:val="0"/>
              </w:rPr>
              <w:t>（2）建设性质：新建；</w:t>
            </w:r>
          </w:p>
          <w:p w14:paraId="79988A60">
            <w:pPr>
              <w:ind w:firstLine="480"/>
              <w:rPr>
                <w:rFonts w:hint="default" w:ascii="Times New Roman" w:hAnsi="Times New Roman" w:eastAsia="宋体" w:cs="Times New Roman"/>
                <w:bCs/>
                <w:snapToGrid w:val="0"/>
                <w:color w:val="auto"/>
                <w:kern w:val="0"/>
              </w:rPr>
            </w:pPr>
            <w:r>
              <w:rPr>
                <w:rFonts w:hint="default" w:ascii="Times New Roman" w:hAnsi="Times New Roman" w:eastAsia="宋体" w:cs="Times New Roman"/>
                <w:bCs/>
                <w:snapToGrid w:val="0"/>
                <w:color w:val="auto"/>
                <w:kern w:val="0"/>
              </w:rPr>
              <w:t>（3）建设单位：</w:t>
            </w:r>
            <w:r>
              <w:rPr>
                <w:rFonts w:hint="default" w:ascii="Times New Roman" w:hAnsi="Times New Roman" w:eastAsia="宋体" w:cs="Times New Roman"/>
                <w:bCs/>
                <w:color w:val="auto"/>
                <w:lang w:val="en-US" w:eastAsia="zh-CN"/>
              </w:rPr>
              <w:t>安徽言尘新能源科技有限公司</w:t>
            </w:r>
            <w:r>
              <w:rPr>
                <w:rFonts w:hint="default" w:ascii="Times New Roman" w:hAnsi="Times New Roman" w:eastAsia="宋体" w:cs="Times New Roman"/>
                <w:bCs/>
                <w:snapToGrid w:val="0"/>
                <w:color w:val="auto"/>
                <w:kern w:val="0"/>
              </w:rPr>
              <w:t>；</w:t>
            </w:r>
          </w:p>
          <w:p w14:paraId="6C01727E">
            <w:pPr>
              <w:pStyle w:val="69"/>
              <w:ind w:firstLine="480"/>
              <w:rPr>
                <w:rFonts w:hint="default" w:ascii="Times New Roman" w:hAnsi="Times New Roman" w:eastAsia="宋体" w:cs="Times New Roman"/>
                <w:bCs/>
                <w:color w:val="auto"/>
              </w:rPr>
            </w:pPr>
            <w:r>
              <w:rPr>
                <w:rFonts w:hint="default" w:ascii="Times New Roman" w:hAnsi="Times New Roman" w:eastAsia="宋体" w:cs="Times New Roman"/>
                <w:bCs/>
                <w:snapToGrid w:val="0"/>
                <w:color w:val="auto"/>
                <w:szCs w:val="24"/>
              </w:rPr>
              <w:t>（4）建设地点：</w:t>
            </w:r>
            <w:r>
              <w:rPr>
                <w:rFonts w:hint="default" w:ascii="Times New Roman" w:hAnsi="Times New Roman" w:eastAsia="宋体" w:cs="Times New Roman"/>
                <w:bCs/>
                <w:snapToGrid w:val="0"/>
                <w:color w:val="auto"/>
                <w:szCs w:val="24"/>
                <w:lang w:val="en-US" w:eastAsia="zh-CN"/>
              </w:rPr>
              <w:t>安徽省池州市东至县尧渡镇</w:t>
            </w:r>
            <w:r>
              <w:rPr>
                <w:rFonts w:hint="default" w:ascii="Times New Roman" w:hAnsi="Times New Roman" w:eastAsia="宋体" w:cs="Times New Roman"/>
                <w:bCs/>
                <w:color w:val="auto"/>
              </w:rPr>
              <w:t>；</w:t>
            </w:r>
          </w:p>
          <w:p w14:paraId="4E188DD1">
            <w:pPr>
              <w:adjustRightInd w:val="0"/>
              <w:snapToGrid w:val="0"/>
              <w:ind w:firstLine="48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Cs/>
                <w:snapToGrid w:val="0"/>
                <w:color w:val="auto"/>
                <w:szCs w:val="24"/>
              </w:rPr>
              <w:t>（5）</w:t>
            </w:r>
            <w:r>
              <w:rPr>
                <w:rFonts w:hint="default" w:ascii="Times New Roman" w:hAnsi="Times New Roman" w:eastAsia="宋体" w:cs="Times New Roman"/>
                <w:bCs/>
                <w:snapToGrid w:val="0"/>
                <w:color w:val="auto"/>
                <w:szCs w:val="24"/>
                <w:highlight w:val="none"/>
              </w:rPr>
              <w:t>建设内容：建设建筑垃圾存储车间(含分拣区)、处置车间、成品车间等生产车间，购置建筑垃圾处置生产线，设计年处理能力50万吨。利用建筑垃圾生产的骨料生产水稳材料，建设年产30万吨水稳材料生产线;利用建筑垃圾中的可燃性软垃圾，建设年产20万吨生物质燃料生产线。配套建设综合楼、地磅房、环保、供配电、给排水、内部道路、绿化等设施</w:t>
            </w:r>
            <w:r>
              <w:rPr>
                <w:rFonts w:hint="default" w:ascii="Times New Roman" w:hAnsi="Times New Roman" w:eastAsia="宋体" w:cs="Times New Roman"/>
                <w:color w:val="auto"/>
                <w:highlight w:val="none"/>
                <w:lang w:val="en-US" w:eastAsia="zh-CN"/>
              </w:rPr>
              <w:t>。</w:t>
            </w:r>
          </w:p>
          <w:p w14:paraId="1BFE18A4">
            <w:pPr>
              <w:ind w:firstLine="480"/>
              <w:rPr>
                <w:rFonts w:hint="default" w:ascii="Times New Roman" w:hAnsi="Times New Roman" w:eastAsia="宋体" w:cs="Times New Roman"/>
                <w:bCs/>
                <w:snapToGrid w:val="0"/>
                <w:color w:val="auto"/>
                <w:kern w:val="0"/>
              </w:rPr>
            </w:pPr>
            <w:r>
              <w:rPr>
                <w:rFonts w:hint="default" w:ascii="Times New Roman" w:hAnsi="Times New Roman" w:eastAsia="宋体" w:cs="Times New Roman"/>
                <w:bCs/>
                <w:snapToGrid w:val="0"/>
                <w:color w:val="auto"/>
                <w:kern w:val="0"/>
              </w:rPr>
              <w:t>（6）项目投资：项目总投资</w:t>
            </w:r>
            <w:r>
              <w:rPr>
                <w:rFonts w:hint="default" w:ascii="Times New Roman" w:hAnsi="Times New Roman" w:eastAsia="宋体" w:cs="Times New Roman"/>
                <w:bCs/>
                <w:snapToGrid w:val="0"/>
                <w:color w:val="auto"/>
                <w:kern w:val="0"/>
                <w:lang w:val="en-US" w:eastAsia="zh-CN"/>
              </w:rPr>
              <w:t>11086.2</w:t>
            </w:r>
            <w:r>
              <w:rPr>
                <w:rFonts w:hint="default" w:ascii="Times New Roman" w:hAnsi="Times New Roman" w:eastAsia="宋体" w:cs="Times New Roman"/>
                <w:bCs/>
                <w:snapToGrid w:val="0"/>
                <w:color w:val="auto"/>
                <w:kern w:val="0"/>
              </w:rPr>
              <w:t>万元。</w:t>
            </w:r>
          </w:p>
          <w:p w14:paraId="7E040C76">
            <w:pPr>
              <w:ind w:firstLine="482"/>
              <w:rPr>
                <w:rFonts w:hint="default" w:ascii="Times New Roman" w:hAnsi="Times New Roman" w:eastAsia="宋体" w:cs="Times New Roman"/>
                <w:b/>
                <w:snapToGrid w:val="0"/>
                <w:color w:val="auto"/>
                <w:kern w:val="0"/>
              </w:rPr>
            </w:pPr>
            <w:r>
              <w:rPr>
                <w:rFonts w:hint="default" w:ascii="Times New Roman" w:hAnsi="Times New Roman" w:eastAsia="宋体" w:cs="Times New Roman"/>
                <w:b/>
                <w:snapToGrid w:val="0"/>
                <w:color w:val="auto"/>
                <w:kern w:val="0"/>
              </w:rPr>
              <w:t>（三）工程建设内容</w:t>
            </w:r>
          </w:p>
          <w:p w14:paraId="7C5F169B">
            <w:pPr>
              <w:ind w:firstLine="482"/>
              <w:rPr>
                <w:rFonts w:hint="default" w:ascii="Times New Roman" w:hAnsi="Times New Roman" w:eastAsia="宋体" w:cs="Times New Roman"/>
                <w:b/>
                <w:snapToGrid w:val="0"/>
                <w:color w:val="auto"/>
                <w:kern w:val="0"/>
              </w:rPr>
            </w:pPr>
            <w:r>
              <w:rPr>
                <w:rFonts w:hint="default" w:ascii="Times New Roman" w:hAnsi="Times New Roman" w:eastAsia="宋体" w:cs="Times New Roman"/>
                <w:b/>
                <w:snapToGrid w:val="0"/>
                <w:color w:val="auto"/>
                <w:kern w:val="0"/>
              </w:rPr>
              <w:t>1.产品方案</w:t>
            </w:r>
          </w:p>
          <w:p w14:paraId="66F32F5E">
            <w:pPr>
              <w:pStyle w:val="189"/>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rPr>
              <w:t>本项目产品</w:t>
            </w:r>
            <w:bookmarkStart w:id="10" w:name="OLE_LINK139"/>
            <w:r>
              <w:rPr>
                <w:rStyle w:val="190"/>
                <w:rFonts w:hint="default" w:ascii="Times New Roman" w:hAnsi="Times New Roman" w:eastAsia="宋体" w:cs="Times New Roman"/>
                <w:color w:val="auto"/>
                <w:szCs w:val="24"/>
              </w:rPr>
              <w:t>方</w:t>
            </w:r>
            <w:bookmarkStart w:id="11" w:name="OLE_LINK140"/>
            <w:r>
              <w:rPr>
                <w:rStyle w:val="190"/>
                <w:rFonts w:hint="default" w:ascii="Times New Roman" w:hAnsi="Times New Roman" w:eastAsia="宋体" w:cs="Times New Roman"/>
                <w:color w:val="auto"/>
                <w:szCs w:val="24"/>
              </w:rPr>
              <w:t>案见表2-3。</w:t>
            </w:r>
          </w:p>
          <w:p w14:paraId="1A6D1B1E">
            <w:pPr>
              <w:pStyle w:val="189"/>
              <w:spacing w:line="240" w:lineRule="auto"/>
              <w:ind w:firstLine="0" w:firstLineChars="0"/>
              <w:jc w:val="center"/>
              <w:rPr>
                <w:rFonts w:hint="default" w:ascii="Times New Roman" w:hAnsi="Times New Roman" w:eastAsia="宋体" w:cs="Times New Roman"/>
                <w:b/>
                <w:bCs/>
                <w:color w:val="auto"/>
                <w:sz w:val="21"/>
                <w:szCs w:val="21"/>
              </w:rPr>
            </w:pPr>
            <w:bookmarkStart w:id="12" w:name="_Hlk171981268"/>
            <w:r>
              <w:rPr>
                <w:rFonts w:hint="default" w:ascii="Times New Roman" w:hAnsi="Times New Roman" w:eastAsia="宋体" w:cs="Times New Roman"/>
                <w:b/>
                <w:bCs/>
                <w:color w:val="auto"/>
                <w:sz w:val="21"/>
                <w:szCs w:val="21"/>
              </w:rPr>
              <w:t>表2-3  项目产品方案一览表</w:t>
            </w:r>
          </w:p>
          <w:tbl>
            <w:tblPr>
              <w:tblStyle w:val="34"/>
              <w:tblW w:w="4998" w:type="pct"/>
              <w:tblInd w:w="-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424"/>
              <w:gridCol w:w="4785"/>
              <w:gridCol w:w="2399"/>
            </w:tblGrid>
            <w:tr w14:paraId="290048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27" w:type="pct"/>
                  <w:vAlign w:val="center"/>
                </w:tcPr>
                <w:p w14:paraId="66B60BF0">
                  <w:pPr>
                    <w:pStyle w:val="189"/>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产品</w:t>
                  </w:r>
                </w:p>
              </w:tc>
              <w:tc>
                <w:tcPr>
                  <w:tcW w:w="2779" w:type="pct"/>
                  <w:vAlign w:val="center"/>
                </w:tcPr>
                <w:p w14:paraId="70F4DF4F">
                  <w:pPr>
                    <w:pStyle w:val="189"/>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规格</w:t>
                  </w:r>
                </w:p>
              </w:tc>
              <w:tc>
                <w:tcPr>
                  <w:tcW w:w="1393" w:type="pct"/>
                  <w:vAlign w:val="center"/>
                </w:tcPr>
                <w:p w14:paraId="7D27D3D4">
                  <w:pPr>
                    <w:pStyle w:val="189"/>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产能</w:t>
                  </w:r>
                </w:p>
              </w:tc>
            </w:tr>
            <w:bookmarkEnd w:id="10"/>
            <w:tr w14:paraId="286F14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27" w:type="pct"/>
                  <w:tcBorders>
                    <w:bottom w:val="single" w:color="auto" w:sz="4" w:space="0"/>
                  </w:tcBorders>
                  <w:vAlign w:val="center"/>
                </w:tcPr>
                <w:p w14:paraId="0CB4F0BB">
                  <w:pPr>
                    <w:pStyle w:val="189"/>
                    <w:spacing w:line="240" w:lineRule="auto"/>
                    <w:ind w:firstLine="0" w:firstLineChars="0"/>
                    <w:jc w:val="center"/>
                    <w:rPr>
                      <w:rFonts w:hint="default" w:ascii="Times New Roman" w:hAnsi="Times New Roman" w:eastAsia="宋体" w:cs="Times New Roman"/>
                      <w:color w:val="auto"/>
                      <w:sz w:val="21"/>
                      <w:lang w:eastAsia="zh-CN"/>
                    </w:rPr>
                  </w:pPr>
                  <w:r>
                    <w:rPr>
                      <w:rFonts w:hint="default" w:ascii="Times New Roman" w:hAnsi="Times New Roman" w:eastAsia="宋体" w:cs="Times New Roman"/>
                      <w:color w:val="auto"/>
                      <w:sz w:val="21"/>
                      <w:lang w:val="en-US" w:eastAsia="zh-CN"/>
                    </w:rPr>
                    <w:t>RDF燃料</w:t>
                  </w:r>
                </w:p>
              </w:tc>
              <w:tc>
                <w:tcPr>
                  <w:tcW w:w="2779" w:type="pct"/>
                  <w:tcBorders>
                    <w:bottom w:val="single" w:color="auto" w:sz="4" w:space="0"/>
                  </w:tcBorders>
                  <w:vAlign w:val="center"/>
                </w:tcPr>
                <w:p w14:paraId="1483EC42">
                  <w:pPr>
                    <w:pStyle w:val="189"/>
                    <w:spacing w:line="240" w:lineRule="auto"/>
                    <w:ind w:firstLine="0" w:firstLineChars="0"/>
                    <w:jc w:val="center"/>
                    <w:rPr>
                      <w:rFonts w:hint="default" w:ascii="Times New Roman" w:hAnsi="Times New Roman" w:eastAsia="宋体" w:cs="Times New Roman"/>
                      <w:color w:val="auto"/>
                      <w:sz w:val="21"/>
                      <w:lang w:eastAsia="zh-CN"/>
                    </w:rPr>
                  </w:pPr>
                  <w:r>
                    <w:rPr>
                      <w:rFonts w:hint="default" w:ascii="Times New Roman" w:hAnsi="Times New Roman" w:eastAsia="宋体" w:cs="Times New Roman"/>
                      <w:bCs/>
                      <w:color w:val="auto"/>
                      <w:sz w:val="21"/>
                      <w:szCs w:val="21"/>
                    </w:rPr>
                    <w:t>热值</w:t>
                  </w:r>
                  <w:r>
                    <w:rPr>
                      <w:rFonts w:hint="default" w:ascii="Times New Roman" w:hAnsi="Times New Roman" w:eastAsia="宋体" w:cs="Times New Roman"/>
                      <w:bCs/>
                      <w:color w:val="auto"/>
                      <w:sz w:val="21"/>
                      <w:szCs w:val="21"/>
                      <w:lang w:eastAsia="zh-CN"/>
                    </w:rPr>
                    <w:t>≥</w:t>
                  </w:r>
                  <w:r>
                    <w:rPr>
                      <w:rFonts w:hint="default" w:ascii="Times New Roman" w:hAnsi="Times New Roman" w:eastAsia="宋体" w:cs="Times New Roman"/>
                      <w:bCs/>
                      <w:color w:val="auto"/>
                      <w:sz w:val="21"/>
                      <w:szCs w:val="21"/>
                    </w:rPr>
                    <w:t>4000</w:t>
                  </w:r>
                  <w:r>
                    <w:rPr>
                      <w:rFonts w:hint="default" w:ascii="Times New Roman" w:hAnsi="Times New Roman" w:eastAsia="宋体" w:cs="Times New Roman"/>
                      <w:bCs/>
                      <w:color w:val="auto"/>
                      <w:sz w:val="21"/>
                      <w:szCs w:val="21"/>
                      <w:lang w:val="en-US" w:eastAsia="zh-CN"/>
                    </w:rPr>
                    <w:t>Kcal</w:t>
                  </w:r>
                  <w:r>
                    <w:rPr>
                      <w:rFonts w:hint="default" w:ascii="Times New Roman" w:hAnsi="Times New Roman" w:eastAsia="宋体" w:cs="Times New Roman"/>
                      <w:bCs/>
                      <w:color w:val="auto"/>
                      <w:sz w:val="21"/>
                      <w:szCs w:val="21"/>
                    </w:rPr>
                    <w:t>/kg，含水率低于</w:t>
                  </w:r>
                  <w:r>
                    <w:rPr>
                      <w:rFonts w:hint="default" w:ascii="Times New Roman" w:hAnsi="Times New Roman" w:eastAsia="宋体" w:cs="Times New Roman"/>
                      <w:bCs/>
                      <w:color w:val="auto"/>
                      <w:sz w:val="21"/>
                      <w:szCs w:val="21"/>
                      <w:lang w:val="en-US" w:eastAsia="zh-CN"/>
                    </w:rPr>
                    <w:t>8</w:t>
                  </w:r>
                  <w:r>
                    <w:rPr>
                      <w:rFonts w:hint="default" w:ascii="Times New Roman" w:hAnsi="Times New Roman" w:eastAsia="宋体" w:cs="Times New Roman"/>
                      <w:bCs/>
                      <w:color w:val="auto"/>
                      <w:sz w:val="21"/>
                      <w:szCs w:val="21"/>
                    </w:rPr>
                    <w:t>%</w:t>
                  </w:r>
                </w:p>
              </w:tc>
              <w:tc>
                <w:tcPr>
                  <w:tcW w:w="1393" w:type="pct"/>
                  <w:tcBorders>
                    <w:bottom w:val="single" w:color="auto" w:sz="4" w:space="0"/>
                  </w:tcBorders>
                  <w:vAlign w:val="center"/>
                </w:tcPr>
                <w:p w14:paraId="240B6DE7">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20万吨/年</w:t>
                  </w:r>
                </w:p>
              </w:tc>
            </w:tr>
            <w:tr w14:paraId="182CC5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27" w:type="pct"/>
                  <w:vAlign w:val="center"/>
                </w:tcPr>
                <w:p w14:paraId="6C2D5C95">
                  <w:pPr>
                    <w:pStyle w:val="189"/>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水稳料</w:t>
                  </w:r>
                </w:p>
              </w:tc>
              <w:tc>
                <w:tcPr>
                  <w:tcW w:w="2779" w:type="pct"/>
                  <w:vAlign w:val="center"/>
                </w:tcPr>
                <w:p w14:paraId="2345A044">
                  <w:pPr>
                    <w:pStyle w:val="189"/>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w:t>
                  </w:r>
                </w:p>
              </w:tc>
              <w:tc>
                <w:tcPr>
                  <w:tcW w:w="1393" w:type="pct"/>
                  <w:vAlign w:val="center"/>
                </w:tcPr>
                <w:p w14:paraId="412205FA">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30万吨/年</w:t>
                  </w:r>
                </w:p>
              </w:tc>
            </w:tr>
            <w:bookmarkEnd w:id="11"/>
            <w:bookmarkEnd w:id="12"/>
          </w:tbl>
          <w:p w14:paraId="089C6B1D">
            <w:pPr>
              <w:pStyle w:val="189"/>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szCs w:val="24"/>
              </w:rPr>
              <w:t>2.工程主要建设内容</w:t>
            </w:r>
          </w:p>
          <w:p w14:paraId="73C5E158">
            <w:pPr>
              <w:pStyle w:val="189"/>
              <w:ind w:firstLine="480"/>
              <w:rPr>
                <w:rFonts w:hint="default" w:ascii="Times New Roman" w:hAnsi="Times New Roman" w:eastAsia="宋体" w:cs="Times New Roman"/>
                <w:color w:val="auto"/>
                <w:szCs w:val="24"/>
              </w:rPr>
            </w:pPr>
            <w:bookmarkStart w:id="13" w:name="OLE_LINK141"/>
            <w:r>
              <w:rPr>
                <w:rFonts w:hint="default" w:ascii="Times New Roman" w:hAnsi="Times New Roman" w:eastAsia="宋体" w:cs="Times New Roman"/>
                <w:color w:val="auto"/>
                <w:szCs w:val="24"/>
              </w:rPr>
              <w:t>项目主</w:t>
            </w:r>
            <w:bookmarkStart w:id="14" w:name="OLE_LINK142"/>
            <w:r>
              <w:rPr>
                <w:rFonts w:hint="default" w:ascii="Times New Roman" w:hAnsi="Times New Roman" w:eastAsia="宋体" w:cs="Times New Roman"/>
                <w:color w:val="auto"/>
                <w:szCs w:val="24"/>
              </w:rPr>
              <w:t>要建设内容</w:t>
            </w:r>
            <w:r>
              <w:rPr>
                <w:rFonts w:hint="default" w:ascii="Times New Roman" w:hAnsi="Times New Roman" w:eastAsia="宋体" w:cs="Times New Roman"/>
                <w:color w:val="auto"/>
                <w:szCs w:val="24"/>
                <w:lang w:val="en-US" w:eastAsia="zh-CN"/>
              </w:rPr>
              <w:t>及规模</w:t>
            </w:r>
            <w:r>
              <w:rPr>
                <w:rFonts w:hint="default" w:ascii="Times New Roman" w:hAnsi="Times New Roman" w:eastAsia="宋体" w:cs="Times New Roman"/>
                <w:color w:val="auto"/>
                <w:szCs w:val="24"/>
              </w:rPr>
              <w:t>见表2-4。</w:t>
            </w:r>
          </w:p>
          <w:p w14:paraId="0962D473">
            <w:pPr>
              <w:pStyle w:val="189"/>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表2-4  工程主要建</w:t>
            </w:r>
            <w:bookmarkEnd w:id="13"/>
            <w:r>
              <w:rPr>
                <w:rFonts w:hint="default" w:ascii="Times New Roman" w:hAnsi="Times New Roman" w:eastAsia="宋体" w:cs="Times New Roman"/>
                <w:b/>
                <w:bCs/>
                <w:color w:val="auto"/>
                <w:sz w:val="21"/>
                <w:szCs w:val="21"/>
              </w:rPr>
              <w:t>设内容一览表</w:t>
            </w:r>
          </w:p>
          <w:tbl>
            <w:tblPr>
              <w:tblStyle w:val="34"/>
              <w:tblW w:w="4998"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697"/>
              <w:gridCol w:w="630"/>
              <w:gridCol w:w="863"/>
              <w:gridCol w:w="6418"/>
            </w:tblGrid>
            <w:tr w14:paraId="6AFB540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405" w:type="pct"/>
                  <w:tcBorders>
                    <w:tl2br w:val="nil"/>
                    <w:tr2bl w:val="nil"/>
                  </w:tcBorders>
                  <w:vAlign w:val="center"/>
                </w:tcPr>
                <w:p w14:paraId="2F7CED69">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工程类别</w:t>
                  </w:r>
                </w:p>
              </w:tc>
              <w:tc>
                <w:tcPr>
                  <w:tcW w:w="867" w:type="pct"/>
                  <w:gridSpan w:val="2"/>
                  <w:tcBorders>
                    <w:tl2br w:val="nil"/>
                    <w:tr2bl w:val="nil"/>
                  </w:tcBorders>
                  <w:vAlign w:val="center"/>
                </w:tcPr>
                <w:p w14:paraId="66ACA05F">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单项工程名称</w:t>
                  </w:r>
                </w:p>
              </w:tc>
              <w:tc>
                <w:tcPr>
                  <w:tcW w:w="3727" w:type="pct"/>
                  <w:tcBorders>
                    <w:tl2br w:val="nil"/>
                    <w:tr2bl w:val="nil"/>
                  </w:tcBorders>
                  <w:vAlign w:val="center"/>
                </w:tcPr>
                <w:p w14:paraId="07914471">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工程主要建设内容及规模</w:t>
                  </w:r>
                </w:p>
              </w:tc>
            </w:tr>
            <w:tr w14:paraId="6740EAA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restart"/>
                  <w:tcBorders>
                    <w:tl2br w:val="nil"/>
                    <w:tr2bl w:val="nil"/>
                  </w:tcBorders>
                  <w:vAlign w:val="center"/>
                </w:tcPr>
                <w:p w14:paraId="46D46EFC">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bookmarkStart w:id="15" w:name="OLE_LINK164" w:colFirst="2" w:colLast="2"/>
                  <w:r>
                    <w:rPr>
                      <w:rFonts w:hint="default" w:ascii="Times New Roman" w:hAnsi="Times New Roman" w:eastAsia="宋体" w:cs="Times New Roman"/>
                      <w:b/>
                      <w:bCs/>
                      <w:color w:val="auto"/>
                      <w:kern w:val="0"/>
                      <w:sz w:val="21"/>
                      <w:szCs w:val="21"/>
                    </w:rPr>
                    <w:t>主体工程</w:t>
                  </w:r>
                </w:p>
              </w:tc>
              <w:tc>
                <w:tcPr>
                  <w:tcW w:w="366" w:type="pct"/>
                  <w:vMerge w:val="restart"/>
                  <w:tcBorders>
                    <w:tl2br w:val="nil"/>
                    <w:tr2bl w:val="nil"/>
                  </w:tcBorders>
                  <w:vAlign w:val="center"/>
                </w:tcPr>
                <w:p w14:paraId="5EB2818D">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一号车间</w:t>
                  </w:r>
                </w:p>
              </w:tc>
              <w:tc>
                <w:tcPr>
                  <w:tcW w:w="501" w:type="pct"/>
                  <w:tcBorders>
                    <w:tl2br w:val="nil"/>
                    <w:tr2bl w:val="nil"/>
                  </w:tcBorders>
                  <w:vAlign w:val="center"/>
                </w:tcPr>
                <w:p w14:paraId="6A0C37A7">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原料破碎、筛分生产线</w:t>
                  </w:r>
                </w:p>
              </w:tc>
              <w:tc>
                <w:tcPr>
                  <w:tcW w:w="3727" w:type="pct"/>
                  <w:tcBorders>
                    <w:tl2br w:val="nil"/>
                    <w:tr2bl w:val="nil"/>
                  </w:tcBorders>
                  <w:vAlign w:val="center"/>
                </w:tcPr>
                <w:p w14:paraId="3B56ED4E">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原料破碎、筛分生产线在一号车间中部，布置振动给料机1台、反击式破碎机1台、振动筛1台、除铁器1台、除尘器1台、粗选筛1台等破碎筛分设备。年破碎50万吨建筑垃圾原料。</w:t>
                  </w:r>
                </w:p>
              </w:tc>
            </w:tr>
            <w:tr w14:paraId="57AF424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continue"/>
                  <w:tcBorders>
                    <w:tl2br w:val="nil"/>
                    <w:tr2bl w:val="nil"/>
                  </w:tcBorders>
                  <w:vAlign w:val="center"/>
                </w:tcPr>
                <w:p w14:paraId="6F91037A">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bookmarkStart w:id="16" w:name="OLE_LINK156" w:colFirst="1" w:colLast="2"/>
                  <w:bookmarkStart w:id="17" w:name="OLE_LINK125" w:colFirst="1" w:colLast="2"/>
                  <w:bookmarkStart w:id="18" w:name="OLE_LINK157" w:colFirst="0" w:colLast="2"/>
                </w:p>
              </w:tc>
              <w:tc>
                <w:tcPr>
                  <w:tcW w:w="366" w:type="pct"/>
                  <w:vMerge w:val="continue"/>
                  <w:tcBorders>
                    <w:tl2br w:val="nil"/>
                    <w:tr2bl w:val="nil"/>
                  </w:tcBorders>
                  <w:vAlign w:val="center"/>
                </w:tcPr>
                <w:p w14:paraId="6B0F4525">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p>
              </w:tc>
              <w:tc>
                <w:tcPr>
                  <w:tcW w:w="501" w:type="pct"/>
                  <w:tcBorders>
                    <w:tl2br w:val="nil"/>
                    <w:tr2bl w:val="nil"/>
                  </w:tcBorders>
                  <w:vAlign w:val="center"/>
                </w:tcPr>
                <w:p w14:paraId="606ECE19">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水稳生产线</w:t>
                  </w:r>
                </w:p>
              </w:tc>
              <w:tc>
                <w:tcPr>
                  <w:tcW w:w="3727" w:type="pct"/>
                  <w:tcBorders>
                    <w:tl2br w:val="nil"/>
                    <w:tr2bl w:val="nil"/>
                  </w:tcBorders>
                  <w:vAlign w:val="center"/>
                </w:tcPr>
                <w:p w14:paraId="6CDA60AA">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建设水稳料生产</w:t>
                  </w:r>
                  <w:r>
                    <w:rPr>
                      <w:rFonts w:hint="default" w:ascii="Times New Roman" w:hAnsi="Times New Roman" w:eastAsia="宋体" w:cs="Times New Roman"/>
                      <w:color w:val="auto"/>
                      <w:kern w:val="0"/>
                      <w:sz w:val="21"/>
                      <w:szCs w:val="21"/>
                      <w:lang w:val="en-US" w:eastAsia="zh-CN"/>
                    </w:rPr>
                    <w:t>线</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在一号车间东北侧。</w:t>
                  </w:r>
                  <w:r>
                    <w:rPr>
                      <w:rFonts w:hint="default" w:ascii="Times New Roman" w:hAnsi="Times New Roman" w:eastAsia="宋体" w:cs="Times New Roman"/>
                      <w:color w:val="auto"/>
                      <w:kern w:val="0"/>
                      <w:sz w:val="21"/>
                      <w:szCs w:val="21"/>
                    </w:rPr>
                    <w:t>外购水泥筒仓、</w:t>
                  </w:r>
                  <w:r>
                    <w:rPr>
                      <w:rFonts w:hint="default" w:ascii="Times New Roman" w:hAnsi="Times New Roman" w:eastAsia="宋体" w:cs="Times New Roman"/>
                      <w:color w:val="auto"/>
                      <w:kern w:val="0"/>
                      <w:sz w:val="21"/>
                      <w:szCs w:val="21"/>
                      <w:lang w:val="en-US" w:eastAsia="zh-CN"/>
                    </w:rPr>
                    <w:t>混合搅拌机、</w:t>
                  </w:r>
                  <w:r>
                    <w:rPr>
                      <w:rFonts w:hint="default" w:ascii="Times New Roman" w:hAnsi="Times New Roman" w:eastAsia="宋体" w:cs="Times New Roman"/>
                      <w:color w:val="auto"/>
                      <w:kern w:val="0"/>
                      <w:sz w:val="21"/>
                      <w:szCs w:val="21"/>
                    </w:rPr>
                    <w:t>给料设备、计量、搅拌等设备，年产水稳料</w:t>
                  </w:r>
                  <w:r>
                    <w:rPr>
                      <w:rFonts w:hint="default" w:ascii="Times New Roman" w:hAnsi="Times New Roman" w:eastAsia="宋体" w:cs="Times New Roman"/>
                      <w:color w:val="auto"/>
                      <w:kern w:val="0"/>
                      <w:sz w:val="21"/>
                      <w:szCs w:val="21"/>
                      <w:lang w:val="en-US" w:eastAsia="zh-CN"/>
                    </w:rPr>
                    <w:t>30</w:t>
                  </w:r>
                  <w:r>
                    <w:rPr>
                      <w:rFonts w:hint="default" w:ascii="Times New Roman" w:hAnsi="Times New Roman" w:eastAsia="宋体" w:cs="Times New Roman"/>
                      <w:color w:val="auto"/>
                      <w:kern w:val="0"/>
                      <w:sz w:val="21"/>
                      <w:szCs w:val="21"/>
                    </w:rPr>
                    <w:t>万吨</w:t>
                  </w:r>
                  <w:r>
                    <w:rPr>
                      <w:rFonts w:hint="default" w:ascii="Times New Roman" w:hAnsi="Times New Roman" w:eastAsia="宋体" w:cs="Times New Roman"/>
                      <w:color w:val="auto"/>
                      <w:kern w:val="0"/>
                      <w:sz w:val="21"/>
                      <w:szCs w:val="21"/>
                      <w:lang w:eastAsia="zh-CN"/>
                    </w:rPr>
                    <w:t>。</w:t>
                  </w:r>
                </w:p>
              </w:tc>
            </w:tr>
            <w:tr w14:paraId="743D816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405" w:type="pct"/>
                  <w:vMerge w:val="continue"/>
                  <w:tcBorders>
                    <w:tl2br w:val="nil"/>
                    <w:tr2bl w:val="nil"/>
                  </w:tcBorders>
                  <w:vAlign w:val="center"/>
                </w:tcPr>
                <w:p w14:paraId="67F4605B">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366" w:type="pct"/>
                  <w:tcBorders>
                    <w:tl2br w:val="nil"/>
                    <w:tr2bl w:val="nil"/>
                  </w:tcBorders>
                  <w:vAlign w:val="center"/>
                </w:tcPr>
                <w:p w14:paraId="05C3492B">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二号车间</w:t>
                  </w:r>
                </w:p>
              </w:tc>
              <w:tc>
                <w:tcPr>
                  <w:tcW w:w="501" w:type="pct"/>
                  <w:tcBorders>
                    <w:tl2br w:val="nil"/>
                    <w:tr2bl w:val="nil"/>
                  </w:tcBorders>
                  <w:vAlign w:val="center"/>
                </w:tcPr>
                <w:p w14:paraId="7F134BAF">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RDF燃料生产线</w:t>
                  </w:r>
                </w:p>
              </w:tc>
              <w:tc>
                <w:tcPr>
                  <w:tcW w:w="3727" w:type="pct"/>
                  <w:tcBorders>
                    <w:tl2br w:val="nil"/>
                    <w:tr2bl w:val="nil"/>
                  </w:tcBorders>
                  <w:vAlign w:val="center"/>
                </w:tcPr>
                <w:p w14:paraId="34919E46">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建设</w:t>
                  </w:r>
                  <w:r>
                    <w:rPr>
                      <w:rFonts w:hint="default" w:ascii="Times New Roman" w:hAnsi="Times New Roman" w:eastAsia="宋体" w:cs="Times New Roman"/>
                      <w:color w:val="auto"/>
                      <w:kern w:val="0"/>
                      <w:sz w:val="21"/>
                      <w:szCs w:val="21"/>
                      <w:lang w:val="en-US" w:eastAsia="zh-CN"/>
                    </w:rPr>
                    <w:t>RDF燃料</w:t>
                  </w:r>
                  <w:r>
                    <w:rPr>
                      <w:rFonts w:hint="default" w:ascii="Times New Roman" w:hAnsi="Times New Roman" w:eastAsia="宋体" w:cs="Times New Roman"/>
                      <w:color w:val="auto"/>
                      <w:kern w:val="0"/>
                      <w:sz w:val="21"/>
                      <w:szCs w:val="21"/>
                    </w:rPr>
                    <w:t>生产</w:t>
                  </w:r>
                  <w:r>
                    <w:rPr>
                      <w:rFonts w:hint="default" w:ascii="Times New Roman" w:hAnsi="Times New Roman" w:eastAsia="宋体" w:cs="Times New Roman"/>
                      <w:color w:val="auto"/>
                      <w:kern w:val="0"/>
                      <w:sz w:val="21"/>
                      <w:szCs w:val="21"/>
                      <w:lang w:val="en-US" w:eastAsia="zh-CN"/>
                    </w:rPr>
                    <w:t>线</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在二号车间东侧。</w:t>
                  </w:r>
                  <w:r>
                    <w:rPr>
                      <w:rFonts w:hint="default" w:ascii="Times New Roman" w:hAnsi="Times New Roman" w:eastAsia="宋体" w:cs="Times New Roman"/>
                      <w:color w:val="auto"/>
                      <w:kern w:val="0"/>
                      <w:sz w:val="21"/>
                      <w:szCs w:val="21"/>
                    </w:rPr>
                    <w:t>外购</w:t>
                  </w:r>
                  <w:r>
                    <w:rPr>
                      <w:rFonts w:hint="default" w:ascii="Times New Roman" w:hAnsi="Times New Roman" w:eastAsia="宋体" w:cs="Times New Roman"/>
                      <w:color w:val="auto"/>
                      <w:sz w:val="21"/>
                      <w:szCs w:val="21"/>
                      <w:lang w:val="en-US" w:eastAsia="zh-CN"/>
                    </w:rPr>
                    <w:t>破碎机</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sz w:val="21"/>
                      <w:szCs w:val="21"/>
                      <w:lang w:val="en-US" w:eastAsia="zh-CN"/>
                    </w:rPr>
                    <w:t>混合机</w:t>
                  </w:r>
                  <w:r>
                    <w:rPr>
                      <w:rFonts w:hint="default" w:ascii="Times New Roman" w:hAnsi="Times New Roman" w:eastAsia="宋体" w:cs="Times New Roman"/>
                      <w:color w:val="auto"/>
                      <w:kern w:val="0"/>
                      <w:sz w:val="21"/>
                      <w:szCs w:val="21"/>
                      <w:lang w:val="en-US" w:eastAsia="zh-CN"/>
                    </w:rPr>
                    <w:t>、</w:t>
                  </w:r>
                  <w:r>
                    <w:rPr>
                      <w:rFonts w:hint="default" w:ascii="Times New Roman" w:hAnsi="Times New Roman" w:eastAsia="宋体" w:cs="Times New Roman"/>
                      <w:color w:val="auto"/>
                      <w:sz w:val="21"/>
                      <w:szCs w:val="21"/>
                      <w:lang w:val="en-US" w:eastAsia="zh-CN"/>
                    </w:rPr>
                    <w:t>成型机</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bidi="ar-SA"/>
                    </w:rPr>
                    <w:t>密闭传送带</w:t>
                  </w:r>
                  <w:r>
                    <w:rPr>
                      <w:rFonts w:hint="default" w:ascii="Times New Roman" w:hAnsi="Times New Roman" w:eastAsia="宋体" w:cs="Times New Roman"/>
                      <w:color w:val="auto"/>
                      <w:kern w:val="0"/>
                      <w:sz w:val="21"/>
                      <w:szCs w:val="21"/>
                    </w:rPr>
                    <w:t>等设备，年产</w:t>
                  </w:r>
                  <w:r>
                    <w:rPr>
                      <w:rFonts w:hint="default" w:ascii="Times New Roman" w:hAnsi="Times New Roman" w:eastAsia="宋体" w:cs="Times New Roman"/>
                      <w:color w:val="auto"/>
                      <w:kern w:val="0"/>
                      <w:sz w:val="21"/>
                      <w:szCs w:val="21"/>
                      <w:lang w:val="en-US" w:eastAsia="zh-CN"/>
                    </w:rPr>
                    <w:t>RDF燃料20</w:t>
                  </w:r>
                  <w:r>
                    <w:rPr>
                      <w:rFonts w:hint="default" w:ascii="Times New Roman" w:hAnsi="Times New Roman" w:eastAsia="宋体" w:cs="Times New Roman"/>
                      <w:color w:val="auto"/>
                      <w:kern w:val="0"/>
                      <w:sz w:val="21"/>
                      <w:szCs w:val="21"/>
                    </w:rPr>
                    <w:t>万吨</w:t>
                  </w:r>
                  <w:r>
                    <w:rPr>
                      <w:rFonts w:hint="default" w:ascii="Times New Roman" w:hAnsi="Times New Roman" w:eastAsia="宋体" w:cs="Times New Roman"/>
                      <w:color w:val="auto"/>
                      <w:kern w:val="0"/>
                      <w:sz w:val="21"/>
                      <w:szCs w:val="21"/>
                      <w:lang w:eastAsia="zh-CN"/>
                    </w:rPr>
                    <w:t>。</w:t>
                  </w:r>
                </w:p>
              </w:tc>
            </w:tr>
            <w:tr w14:paraId="11F2030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405" w:type="pct"/>
                  <w:tcBorders>
                    <w:tl2br w:val="nil"/>
                    <w:tr2bl w:val="nil"/>
                  </w:tcBorders>
                  <w:vAlign w:val="center"/>
                </w:tcPr>
                <w:p w14:paraId="35A5CDFE">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r>
                    <w:rPr>
                      <w:rFonts w:hint="default" w:ascii="Times New Roman" w:hAnsi="Times New Roman" w:eastAsia="宋体" w:cs="Times New Roman"/>
                      <w:b/>
                      <w:bCs/>
                      <w:color w:val="auto"/>
                      <w:kern w:val="0"/>
                      <w:sz w:val="21"/>
                      <w:szCs w:val="21"/>
                    </w:rPr>
                    <w:t>辅助工程</w:t>
                  </w:r>
                </w:p>
              </w:tc>
              <w:tc>
                <w:tcPr>
                  <w:tcW w:w="867" w:type="pct"/>
                  <w:gridSpan w:val="2"/>
                  <w:tcBorders>
                    <w:tl2br w:val="nil"/>
                    <w:tr2bl w:val="nil"/>
                  </w:tcBorders>
                  <w:vAlign w:val="center"/>
                </w:tcPr>
                <w:p w14:paraId="34DC5733">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办公区</w:t>
                  </w:r>
                </w:p>
              </w:tc>
              <w:tc>
                <w:tcPr>
                  <w:tcW w:w="3727" w:type="pct"/>
                  <w:tcBorders>
                    <w:tl2br w:val="nil"/>
                    <w:tr2bl w:val="nil"/>
                  </w:tcBorders>
                  <w:vAlign w:val="center"/>
                </w:tcPr>
                <w:p w14:paraId="040A15C6">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建设</w:t>
                  </w:r>
                  <w:r>
                    <w:rPr>
                      <w:rFonts w:hint="default" w:ascii="Times New Roman" w:hAnsi="Times New Roman" w:eastAsia="宋体" w:cs="Times New Roman"/>
                      <w:color w:val="auto"/>
                      <w:kern w:val="0"/>
                      <w:sz w:val="21"/>
                      <w:szCs w:val="21"/>
                      <w:lang w:val="en-US" w:eastAsia="zh-CN"/>
                    </w:rPr>
                    <w:t>三</w:t>
                  </w:r>
                  <w:r>
                    <w:rPr>
                      <w:rFonts w:hint="default" w:ascii="Times New Roman" w:hAnsi="Times New Roman" w:eastAsia="宋体" w:cs="Times New Roman"/>
                      <w:color w:val="auto"/>
                      <w:kern w:val="0"/>
                      <w:sz w:val="21"/>
                      <w:szCs w:val="21"/>
                    </w:rPr>
                    <w:t>层办公楼一座，</w:t>
                  </w:r>
                  <w:r>
                    <w:rPr>
                      <w:rFonts w:hint="default" w:ascii="Times New Roman" w:hAnsi="Times New Roman" w:eastAsia="宋体" w:cs="Times New Roman"/>
                      <w:color w:val="auto"/>
                      <w:kern w:val="0"/>
                      <w:sz w:val="21"/>
                      <w:szCs w:val="21"/>
                      <w:lang w:val="en-US" w:eastAsia="zh-CN"/>
                    </w:rPr>
                    <w:t>建筑</w:t>
                  </w:r>
                  <w:r>
                    <w:rPr>
                      <w:rFonts w:hint="default" w:ascii="Times New Roman" w:hAnsi="Times New Roman" w:eastAsia="宋体" w:cs="Times New Roman"/>
                      <w:color w:val="auto"/>
                      <w:kern w:val="0"/>
                      <w:sz w:val="21"/>
                      <w:szCs w:val="21"/>
                    </w:rPr>
                    <w:t>面积</w:t>
                  </w:r>
                  <w:r>
                    <w:rPr>
                      <w:rFonts w:hint="default" w:ascii="Times New Roman" w:hAnsi="Times New Roman" w:eastAsia="宋体" w:cs="Times New Roman"/>
                      <w:color w:val="auto"/>
                      <w:kern w:val="0"/>
                      <w:sz w:val="21"/>
                      <w:szCs w:val="21"/>
                      <w:lang w:val="en-US" w:eastAsia="zh-CN"/>
                    </w:rPr>
                    <w:t>1000</w:t>
                  </w:r>
                  <w:r>
                    <w:rPr>
                      <w:rFonts w:hint="default" w:ascii="Times New Roman" w:hAnsi="Times New Roman" w:eastAsia="宋体" w:cs="Times New Roman"/>
                      <w:color w:val="auto"/>
                      <w:kern w:val="0"/>
                      <w:sz w:val="21"/>
                      <w:szCs w:val="21"/>
                    </w:rPr>
                    <w:t>m</w:t>
                  </w:r>
                  <w:r>
                    <w:rPr>
                      <w:rFonts w:hint="default" w:ascii="Times New Roman" w:hAnsi="Times New Roman" w:eastAsia="宋体" w:cs="Times New Roman"/>
                      <w:color w:val="auto"/>
                      <w:kern w:val="0"/>
                      <w:sz w:val="21"/>
                      <w:szCs w:val="21"/>
                      <w:vertAlign w:val="superscript"/>
                    </w:rPr>
                    <w:t>2</w:t>
                  </w:r>
                  <w:r>
                    <w:rPr>
                      <w:rFonts w:hint="default" w:ascii="Times New Roman" w:hAnsi="Times New Roman" w:eastAsia="宋体" w:cs="Times New Roman"/>
                      <w:color w:val="auto"/>
                      <w:kern w:val="0"/>
                      <w:sz w:val="21"/>
                      <w:szCs w:val="21"/>
                    </w:rPr>
                    <w:t>，用于员工办公</w:t>
                  </w:r>
                </w:p>
              </w:tc>
            </w:tr>
            <w:tr w14:paraId="32D2B51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405" w:type="pct"/>
                  <w:vMerge w:val="restart"/>
                  <w:tcBorders>
                    <w:tl2br w:val="nil"/>
                    <w:tr2bl w:val="nil"/>
                  </w:tcBorders>
                  <w:shd w:val="clear" w:color="auto" w:fill="auto"/>
                  <w:vAlign w:val="center"/>
                </w:tcPr>
                <w:p w14:paraId="3B19132E">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rPr>
                    <w:t>储运工程</w:t>
                  </w:r>
                </w:p>
                <w:p w14:paraId="1C7D05FF">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shd w:val="clear" w:color="auto" w:fill="auto"/>
                  <w:vAlign w:val="center"/>
                </w:tcPr>
                <w:p w14:paraId="69468D97">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原料堆场</w:t>
                  </w:r>
                </w:p>
              </w:tc>
              <w:tc>
                <w:tcPr>
                  <w:tcW w:w="3727" w:type="pct"/>
                  <w:tcBorders>
                    <w:tl2br w:val="nil"/>
                    <w:tr2bl w:val="nil"/>
                  </w:tcBorders>
                  <w:shd w:val="clear" w:color="auto" w:fill="auto"/>
                  <w:vAlign w:val="center"/>
                </w:tcPr>
                <w:p w14:paraId="519C87B7">
                  <w:pPr>
                    <w:pStyle w:val="9"/>
                    <w:widowControl/>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原料堆场位于一号车间内西侧，用于暂存建筑装修垃圾原料，原料暂存间占地面积约为2000</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2</w:t>
                  </w:r>
                  <w:r>
                    <w:rPr>
                      <w:rFonts w:hint="default" w:ascii="Times New Roman" w:hAnsi="Times New Roman" w:eastAsia="宋体" w:cs="Times New Roman"/>
                      <w:color w:val="auto"/>
                      <w:sz w:val="21"/>
                      <w:szCs w:val="21"/>
                      <w:lang w:eastAsia="zh-CN"/>
                    </w:rPr>
                    <w:t>。</w:t>
                  </w:r>
                </w:p>
              </w:tc>
            </w:tr>
            <w:tr w14:paraId="2B0ADA2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405" w:type="pct"/>
                  <w:vMerge w:val="continue"/>
                  <w:tcBorders>
                    <w:tl2br w:val="nil"/>
                    <w:tr2bl w:val="nil"/>
                  </w:tcBorders>
                  <w:vAlign w:val="center"/>
                </w:tcPr>
                <w:p w14:paraId="6187FCBA">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shd w:val="clear" w:color="auto" w:fill="auto"/>
                  <w:vAlign w:val="center"/>
                </w:tcPr>
                <w:p w14:paraId="33FE3D13">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水泥筒仓</w:t>
                  </w:r>
                </w:p>
              </w:tc>
              <w:tc>
                <w:tcPr>
                  <w:tcW w:w="3727" w:type="pct"/>
                  <w:tcBorders>
                    <w:tl2br w:val="nil"/>
                    <w:tr2bl w:val="nil"/>
                  </w:tcBorders>
                  <w:shd w:val="clear" w:color="auto" w:fill="auto"/>
                  <w:vAlign w:val="center"/>
                </w:tcPr>
                <w:p w14:paraId="291212D7">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建</w:t>
                  </w:r>
                  <w:r>
                    <w:rPr>
                      <w:rFonts w:hint="default" w:ascii="Times New Roman" w:hAnsi="Times New Roman" w:eastAsia="宋体" w:cs="Times New Roman"/>
                      <w:color w:val="auto"/>
                      <w:kern w:val="0"/>
                      <w:sz w:val="21"/>
                      <w:szCs w:val="21"/>
                      <w:lang w:val="en-US" w:eastAsia="zh-CN"/>
                    </w:rPr>
                    <w:t>2</w:t>
                  </w:r>
                  <w:r>
                    <w:rPr>
                      <w:rFonts w:hint="default" w:ascii="Times New Roman" w:hAnsi="Times New Roman" w:eastAsia="宋体" w:cs="Times New Roman"/>
                      <w:color w:val="auto"/>
                      <w:kern w:val="0"/>
                      <w:sz w:val="21"/>
                      <w:szCs w:val="21"/>
                    </w:rPr>
                    <w:t>座水泥筒仓，</w:t>
                  </w:r>
                  <w:r>
                    <w:rPr>
                      <w:rFonts w:hint="default" w:ascii="Times New Roman" w:hAnsi="Times New Roman" w:eastAsia="宋体" w:cs="Times New Roman"/>
                      <w:color w:val="auto"/>
                      <w:kern w:val="0"/>
                      <w:sz w:val="21"/>
                      <w:szCs w:val="21"/>
                      <w:lang w:val="en-US" w:eastAsia="zh-CN"/>
                    </w:rPr>
                    <w:t>用于水泥暂存，</w:t>
                  </w:r>
                  <w:r>
                    <w:rPr>
                      <w:rFonts w:hint="default" w:ascii="Times New Roman" w:hAnsi="Times New Roman" w:eastAsia="宋体" w:cs="Times New Roman"/>
                      <w:color w:val="auto"/>
                      <w:kern w:val="0"/>
                      <w:sz w:val="21"/>
                      <w:szCs w:val="21"/>
                    </w:rPr>
                    <w:t>筒仓容积为</w:t>
                  </w:r>
                  <w:r>
                    <w:rPr>
                      <w:rFonts w:hint="default" w:ascii="Times New Roman" w:hAnsi="Times New Roman" w:eastAsia="宋体" w:cs="Times New Roman"/>
                      <w:color w:val="auto"/>
                      <w:kern w:val="0"/>
                      <w:sz w:val="21"/>
                      <w:szCs w:val="21"/>
                      <w:lang w:val="en-US" w:eastAsia="zh-CN"/>
                    </w:rPr>
                    <w:t>100t</w:t>
                  </w:r>
                </w:p>
              </w:tc>
            </w:tr>
            <w:tr w14:paraId="52C7799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405" w:type="pct"/>
                  <w:vMerge w:val="continue"/>
                  <w:tcBorders>
                    <w:tl2br w:val="nil"/>
                    <w:tr2bl w:val="nil"/>
                  </w:tcBorders>
                  <w:vAlign w:val="center"/>
                </w:tcPr>
                <w:p w14:paraId="271813EC">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shd w:val="clear" w:color="auto" w:fill="auto"/>
                  <w:vAlign w:val="center"/>
                </w:tcPr>
                <w:p w14:paraId="03B1CD42">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污泥贮存间</w:t>
                  </w:r>
                </w:p>
              </w:tc>
              <w:tc>
                <w:tcPr>
                  <w:tcW w:w="3727" w:type="pct"/>
                  <w:tcBorders>
                    <w:tl2br w:val="nil"/>
                    <w:tr2bl w:val="nil"/>
                  </w:tcBorders>
                  <w:shd w:val="clear" w:color="auto" w:fill="auto"/>
                  <w:vAlign w:val="center"/>
                </w:tcPr>
                <w:p w14:paraId="6D2E1359">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建筑面积400m</w:t>
                  </w:r>
                  <w:r>
                    <w:rPr>
                      <w:rFonts w:hint="default" w:ascii="Times New Roman" w:hAnsi="Times New Roman" w:eastAsia="宋体" w:cs="Times New Roman"/>
                      <w:color w:val="auto"/>
                      <w:kern w:val="0"/>
                      <w:sz w:val="21"/>
                      <w:szCs w:val="21"/>
                      <w:vertAlign w:val="superscript"/>
                    </w:rPr>
                    <w:t>2</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eastAsia="zh-CN"/>
                    </w:rPr>
                    <w:t>用于污泥（含水率≤</w:t>
                  </w:r>
                  <w:r>
                    <w:rPr>
                      <w:rFonts w:hint="default" w:ascii="Times New Roman" w:hAnsi="Times New Roman" w:eastAsia="宋体" w:cs="Times New Roman"/>
                      <w:color w:val="auto"/>
                      <w:kern w:val="0"/>
                      <w:sz w:val="21"/>
                      <w:szCs w:val="21"/>
                      <w:lang w:val="en-US" w:eastAsia="zh-CN"/>
                    </w:rPr>
                    <w:t>80%</w:t>
                  </w:r>
                  <w:r>
                    <w:rPr>
                      <w:rFonts w:hint="default" w:ascii="Times New Roman" w:hAnsi="Times New Roman" w:eastAsia="宋体" w:cs="Times New Roman"/>
                      <w:color w:val="auto"/>
                      <w:kern w:val="0"/>
                      <w:sz w:val="21"/>
                      <w:szCs w:val="21"/>
                      <w:lang w:eastAsia="zh-CN"/>
                    </w:rPr>
                    <w:t>）贮存，设置密闭车间，地面防渗处理，并设置导流沟、渗滤液收集池</w:t>
                  </w:r>
                </w:p>
              </w:tc>
            </w:tr>
            <w:tr w14:paraId="7BA1BFD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405" w:type="pct"/>
                  <w:vMerge w:val="continue"/>
                  <w:tcBorders>
                    <w:tl2br w:val="nil"/>
                    <w:tr2bl w:val="nil"/>
                  </w:tcBorders>
                  <w:vAlign w:val="center"/>
                </w:tcPr>
                <w:p w14:paraId="1A9146EF">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shd w:val="clear" w:color="auto" w:fill="auto"/>
                  <w:vAlign w:val="center"/>
                </w:tcPr>
                <w:p w14:paraId="3FB9D465">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成品堆场</w:t>
                  </w:r>
                </w:p>
              </w:tc>
              <w:tc>
                <w:tcPr>
                  <w:tcW w:w="3727" w:type="pct"/>
                  <w:tcBorders>
                    <w:tl2br w:val="nil"/>
                    <w:tr2bl w:val="nil"/>
                  </w:tcBorders>
                  <w:shd w:val="clear" w:color="auto" w:fill="auto"/>
                  <w:vAlign w:val="center"/>
                </w:tcPr>
                <w:p w14:paraId="2617ABCC">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占地面积为</w:t>
                  </w:r>
                  <w:r>
                    <w:rPr>
                      <w:rFonts w:hint="default" w:ascii="Times New Roman" w:hAnsi="Times New Roman" w:eastAsia="宋体" w:cs="Times New Roman"/>
                      <w:color w:val="auto"/>
                      <w:sz w:val="21"/>
                      <w:szCs w:val="21"/>
                      <w:lang w:val="en-US" w:eastAsia="zh-CN"/>
                    </w:rPr>
                    <w:t>1500</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2</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位于二号车间西侧，</w:t>
                  </w:r>
                  <w:r>
                    <w:rPr>
                      <w:rFonts w:hint="default" w:ascii="Times New Roman" w:hAnsi="Times New Roman" w:eastAsia="宋体" w:cs="Times New Roman"/>
                      <w:color w:val="auto"/>
                      <w:sz w:val="21"/>
                      <w:szCs w:val="21"/>
                    </w:rPr>
                    <w:t>用于</w:t>
                  </w:r>
                  <w:r>
                    <w:rPr>
                      <w:rFonts w:hint="default" w:ascii="Times New Roman" w:hAnsi="Times New Roman" w:eastAsia="宋体" w:cs="Times New Roman"/>
                      <w:color w:val="auto"/>
                      <w:sz w:val="21"/>
                      <w:szCs w:val="21"/>
                      <w:lang w:val="en-US" w:eastAsia="zh-CN"/>
                    </w:rPr>
                    <w:t>RDF燃料成品堆存</w:t>
                  </w:r>
                </w:p>
              </w:tc>
            </w:tr>
            <w:bookmarkEnd w:id="14"/>
            <w:bookmarkEnd w:id="15"/>
            <w:tr w14:paraId="0E0DED8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405" w:type="pct"/>
                  <w:vMerge w:val="restart"/>
                  <w:tcBorders>
                    <w:tl2br w:val="nil"/>
                    <w:tr2bl w:val="nil"/>
                  </w:tcBorders>
                  <w:vAlign w:val="center"/>
                </w:tcPr>
                <w:p w14:paraId="0C6B02EE">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r>
                    <w:rPr>
                      <w:rFonts w:hint="default" w:ascii="Times New Roman" w:hAnsi="Times New Roman" w:eastAsia="宋体" w:cs="Times New Roman"/>
                      <w:b/>
                      <w:bCs/>
                      <w:color w:val="auto"/>
                      <w:kern w:val="0"/>
                      <w:sz w:val="21"/>
                      <w:szCs w:val="21"/>
                    </w:rPr>
                    <w:t>公用工程</w:t>
                  </w:r>
                </w:p>
              </w:tc>
              <w:tc>
                <w:tcPr>
                  <w:tcW w:w="867" w:type="pct"/>
                  <w:gridSpan w:val="2"/>
                  <w:tcBorders>
                    <w:tl2br w:val="nil"/>
                    <w:tr2bl w:val="nil"/>
                  </w:tcBorders>
                  <w:vAlign w:val="center"/>
                </w:tcPr>
                <w:p w14:paraId="005C20B5">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供水</w:t>
                  </w:r>
                </w:p>
              </w:tc>
              <w:tc>
                <w:tcPr>
                  <w:tcW w:w="3727" w:type="pct"/>
                  <w:tcBorders>
                    <w:tl2br w:val="nil"/>
                    <w:tr2bl w:val="nil"/>
                  </w:tcBorders>
                  <w:vAlign w:val="center"/>
                </w:tcPr>
                <w:p w14:paraId="695F74BA">
                  <w:pPr>
                    <w:pStyle w:val="191"/>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项目用水由</w:t>
                  </w:r>
                  <w:r>
                    <w:rPr>
                      <w:rFonts w:hint="default" w:ascii="Times New Roman" w:hAnsi="Times New Roman" w:eastAsia="宋体" w:cs="Times New Roman"/>
                      <w:color w:val="auto"/>
                      <w:sz w:val="21"/>
                      <w:szCs w:val="21"/>
                      <w:highlight w:val="none"/>
                    </w:rPr>
                    <w:t>市政给水管网</w:t>
                  </w:r>
                  <w:r>
                    <w:rPr>
                      <w:rFonts w:hint="default" w:ascii="Times New Roman" w:hAnsi="Times New Roman" w:eastAsia="宋体" w:cs="Times New Roman"/>
                      <w:color w:val="auto"/>
                      <w:sz w:val="21"/>
                      <w:szCs w:val="21"/>
                      <w:highlight w:val="none"/>
                      <w:lang w:val="en-US" w:eastAsia="zh-CN"/>
                    </w:rPr>
                    <w:t>供给</w:t>
                  </w:r>
                </w:p>
              </w:tc>
            </w:tr>
            <w:tr w14:paraId="71AC57C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405" w:type="pct"/>
                  <w:vMerge w:val="continue"/>
                  <w:tcBorders>
                    <w:tl2br w:val="nil"/>
                    <w:tr2bl w:val="nil"/>
                  </w:tcBorders>
                  <w:vAlign w:val="center"/>
                </w:tcPr>
                <w:p w14:paraId="475DE966">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vAlign w:val="center"/>
                </w:tcPr>
                <w:p w14:paraId="78CFBEF9">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排水</w:t>
                  </w:r>
                </w:p>
              </w:tc>
              <w:tc>
                <w:tcPr>
                  <w:tcW w:w="3727" w:type="pct"/>
                  <w:tcBorders>
                    <w:tl2br w:val="nil"/>
                    <w:tr2bl w:val="nil"/>
                  </w:tcBorders>
                  <w:vAlign w:val="center"/>
                </w:tcPr>
                <w:p w14:paraId="54DE5D41">
                  <w:pPr>
                    <w:pStyle w:val="185"/>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pacing w:val="-1"/>
                      <w:sz w:val="21"/>
                      <w:szCs w:val="21"/>
                      <w:lang w:eastAsia="zh-CN"/>
                    </w:rPr>
                    <w:t>厂区</w:t>
                  </w:r>
                  <w:bookmarkStart w:id="19" w:name="OLE_LINK165"/>
                  <w:r>
                    <w:rPr>
                      <w:rFonts w:hint="default" w:ascii="Times New Roman" w:hAnsi="Times New Roman" w:eastAsia="宋体" w:cs="Times New Roman"/>
                      <w:color w:val="auto"/>
                      <w:spacing w:val="-1"/>
                      <w:sz w:val="21"/>
                      <w:szCs w:val="21"/>
                      <w:lang w:eastAsia="zh-CN"/>
                    </w:rPr>
                    <w:t>采取雨污分流，雨水通过雨水管道收集后</w:t>
                  </w:r>
                  <w:r>
                    <w:rPr>
                      <w:rFonts w:hint="default" w:ascii="Times New Roman" w:hAnsi="Times New Roman" w:eastAsia="宋体" w:cs="Times New Roman"/>
                      <w:color w:val="auto"/>
                      <w:spacing w:val="-1"/>
                      <w:sz w:val="21"/>
                      <w:szCs w:val="21"/>
                      <w:lang w:val="en-US" w:eastAsia="zh-CN"/>
                    </w:rPr>
                    <w:t>接入市政雨水管网</w:t>
                  </w:r>
                  <w:r>
                    <w:rPr>
                      <w:rFonts w:hint="default" w:ascii="Times New Roman" w:hAnsi="Times New Roman" w:eastAsia="宋体" w:cs="Times New Roman"/>
                      <w:color w:val="auto"/>
                      <w:spacing w:val="-1"/>
                      <w:sz w:val="21"/>
                      <w:szCs w:val="21"/>
                      <w:lang w:eastAsia="zh-CN"/>
                    </w:rPr>
                    <w:t>；</w:t>
                  </w:r>
                  <w:bookmarkEnd w:id="19"/>
                  <w:r>
                    <w:rPr>
                      <w:rFonts w:hint="default" w:ascii="Times New Roman" w:hAnsi="Times New Roman" w:eastAsia="宋体" w:cs="Times New Roman"/>
                      <w:color w:val="auto"/>
                      <w:spacing w:val="-1"/>
                      <w:sz w:val="21"/>
                      <w:szCs w:val="21"/>
                      <w:lang w:eastAsia="zh-CN"/>
                    </w:rPr>
                    <w:t>生活污水经化粪池处理</w:t>
                  </w:r>
                  <w:r>
                    <w:rPr>
                      <w:rFonts w:hint="default" w:ascii="Times New Roman" w:hAnsi="Times New Roman" w:eastAsia="宋体" w:cs="Times New Roman"/>
                      <w:color w:val="auto"/>
                      <w:spacing w:val="-1"/>
                      <w:sz w:val="21"/>
                      <w:szCs w:val="21"/>
                      <w:lang w:val="en-US" w:eastAsia="zh-CN"/>
                    </w:rPr>
                    <w:t>后</w:t>
                  </w:r>
                  <w:r>
                    <w:rPr>
                      <w:rFonts w:hint="default" w:ascii="Times New Roman" w:hAnsi="Times New Roman" w:eastAsia="宋体" w:cs="Times New Roman"/>
                      <w:color w:val="auto"/>
                      <w:spacing w:val="-1"/>
                      <w:sz w:val="21"/>
                      <w:szCs w:val="21"/>
                      <w:lang w:val="zh-CN" w:eastAsia="zh-CN"/>
                    </w:rPr>
                    <w:t>排入收集池存放，采用槽罐车定期送至</w:t>
                  </w:r>
                  <w:r>
                    <w:rPr>
                      <w:rFonts w:hint="eastAsia" w:ascii="Times New Roman" w:hAnsi="Times New Roman" w:eastAsia="宋体" w:cs="Times New Roman"/>
                      <w:color w:val="auto"/>
                      <w:spacing w:val="-1"/>
                      <w:sz w:val="21"/>
                      <w:szCs w:val="21"/>
                      <w:lang w:val="zh-CN" w:eastAsia="zh-CN"/>
                    </w:rPr>
                    <w:t>东至县国祯污水处理厂</w:t>
                  </w:r>
                  <w:r>
                    <w:rPr>
                      <w:rFonts w:hint="default" w:ascii="Times New Roman" w:hAnsi="Times New Roman" w:eastAsia="宋体" w:cs="Times New Roman"/>
                      <w:color w:val="auto"/>
                      <w:spacing w:val="-1"/>
                      <w:sz w:val="21"/>
                      <w:szCs w:val="21"/>
                      <w:lang w:val="zh-CN" w:eastAsia="zh-CN"/>
                    </w:rPr>
                    <w:t>处置</w:t>
                  </w:r>
                  <w:r>
                    <w:rPr>
                      <w:rFonts w:hint="default" w:ascii="Times New Roman" w:hAnsi="Times New Roman" w:eastAsia="宋体" w:cs="Times New Roman"/>
                      <w:color w:val="auto"/>
                      <w:spacing w:val="-2"/>
                      <w:sz w:val="21"/>
                      <w:szCs w:val="21"/>
                      <w:lang w:eastAsia="zh-CN"/>
                    </w:rPr>
                    <w:t>；车辆冲洗</w:t>
                  </w:r>
                  <w:r>
                    <w:rPr>
                      <w:rFonts w:hint="default" w:ascii="Times New Roman" w:hAnsi="Times New Roman" w:eastAsia="宋体" w:cs="Times New Roman"/>
                      <w:color w:val="auto"/>
                      <w:spacing w:val="-2"/>
                      <w:sz w:val="21"/>
                      <w:szCs w:val="21"/>
                      <w:lang w:val="en-US" w:eastAsia="zh-CN"/>
                    </w:rPr>
                    <w:t>水、</w:t>
                  </w:r>
                  <w:r>
                    <w:rPr>
                      <w:rFonts w:hint="default" w:ascii="Times New Roman" w:hAnsi="Times New Roman" w:eastAsia="宋体" w:cs="Times New Roman"/>
                      <w:color w:val="auto"/>
                      <w:spacing w:val="-2"/>
                      <w:sz w:val="21"/>
                      <w:szCs w:val="21"/>
                      <w:lang w:eastAsia="zh-CN"/>
                    </w:rPr>
                    <w:t>搅拌机冲洗水、地面冲洗水经沉淀池（</w:t>
                  </w:r>
                  <w:r>
                    <w:rPr>
                      <w:rFonts w:hint="default" w:ascii="Times New Roman" w:hAnsi="Times New Roman" w:eastAsia="宋体" w:cs="Times New Roman"/>
                      <w:color w:val="auto"/>
                      <w:spacing w:val="-2"/>
                      <w:sz w:val="21"/>
                      <w:szCs w:val="21"/>
                      <w:lang w:val="en-US" w:eastAsia="zh-CN"/>
                    </w:rPr>
                    <w:t>2</w:t>
                  </w:r>
                  <w:r>
                    <w:rPr>
                      <w:rFonts w:hint="default" w:ascii="Times New Roman" w:hAnsi="Times New Roman" w:eastAsia="宋体" w:cs="Times New Roman"/>
                      <w:color w:val="auto"/>
                      <w:spacing w:val="-2"/>
                      <w:sz w:val="21"/>
                      <w:szCs w:val="21"/>
                      <w:lang w:eastAsia="zh-CN"/>
                    </w:rPr>
                    <w:t>0m</w:t>
                  </w:r>
                  <w:r>
                    <w:rPr>
                      <w:rFonts w:hint="default" w:ascii="Times New Roman" w:hAnsi="Times New Roman" w:eastAsia="宋体" w:cs="Times New Roman"/>
                      <w:color w:val="auto"/>
                      <w:spacing w:val="-2"/>
                      <w:sz w:val="21"/>
                      <w:szCs w:val="21"/>
                      <w:vertAlign w:val="superscript"/>
                      <w:lang w:eastAsia="zh-CN"/>
                    </w:rPr>
                    <w:t>3</w:t>
                  </w:r>
                  <w:r>
                    <w:rPr>
                      <w:rFonts w:hint="default" w:ascii="Times New Roman" w:hAnsi="Times New Roman" w:eastAsia="宋体" w:cs="Times New Roman"/>
                      <w:color w:val="auto"/>
                      <w:spacing w:val="-2"/>
                      <w:sz w:val="21"/>
                      <w:szCs w:val="21"/>
                      <w:lang w:eastAsia="zh-CN"/>
                    </w:rPr>
                    <w:t>）沉淀后循环利用</w:t>
                  </w:r>
                </w:p>
              </w:tc>
            </w:tr>
            <w:bookmarkEnd w:id="16"/>
            <w:tr w14:paraId="4D0BD64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405" w:type="pct"/>
                  <w:vMerge w:val="continue"/>
                  <w:tcBorders>
                    <w:tl2br w:val="nil"/>
                    <w:tr2bl w:val="nil"/>
                  </w:tcBorders>
                  <w:vAlign w:val="center"/>
                </w:tcPr>
                <w:p w14:paraId="7BAFA2D0">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vAlign w:val="center"/>
                </w:tcPr>
                <w:p w14:paraId="1C05F0CA">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供电</w:t>
                  </w:r>
                </w:p>
              </w:tc>
              <w:tc>
                <w:tcPr>
                  <w:tcW w:w="3727" w:type="pct"/>
                  <w:tcBorders>
                    <w:tl2br w:val="nil"/>
                    <w:tr2bl w:val="nil"/>
                  </w:tcBorders>
                  <w:vAlign w:val="center"/>
                </w:tcPr>
                <w:p w14:paraId="2AF3262A">
                  <w:pPr>
                    <w:pStyle w:val="191"/>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bookmarkStart w:id="20" w:name="OLE_LINK146"/>
                  <w:r>
                    <w:rPr>
                      <w:rFonts w:hint="default" w:ascii="Times New Roman" w:hAnsi="Times New Roman" w:eastAsia="宋体" w:cs="Times New Roman"/>
                      <w:color w:val="auto"/>
                      <w:spacing w:val="-2"/>
                      <w:sz w:val="21"/>
                      <w:szCs w:val="21"/>
                      <w:highlight w:val="none"/>
                      <w:lang w:val="en-US" w:eastAsia="zh-CN"/>
                    </w:rPr>
                    <w:t>项目用地由市政</w:t>
                  </w:r>
                  <w:r>
                    <w:rPr>
                      <w:rFonts w:hint="default" w:ascii="Times New Roman" w:hAnsi="Times New Roman" w:eastAsia="宋体" w:cs="Times New Roman"/>
                      <w:color w:val="auto"/>
                      <w:spacing w:val="-2"/>
                      <w:sz w:val="21"/>
                      <w:szCs w:val="21"/>
                      <w:highlight w:val="none"/>
                    </w:rPr>
                    <w:t>供电网</w:t>
                  </w:r>
                  <w:bookmarkEnd w:id="20"/>
                  <w:r>
                    <w:rPr>
                      <w:rFonts w:hint="default" w:ascii="Times New Roman" w:hAnsi="Times New Roman" w:eastAsia="宋体" w:cs="Times New Roman"/>
                      <w:color w:val="auto"/>
                      <w:spacing w:val="-2"/>
                      <w:sz w:val="21"/>
                      <w:szCs w:val="21"/>
                      <w:highlight w:val="none"/>
                      <w:lang w:val="en-US" w:eastAsia="zh-CN"/>
                    </w:rPr>
                    <w:t>供电</w:t>
                  </w:r>
                </w:p>
              </w:tc>
            </w:tr>
            <w:tr w14:paraId="25A0F00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405" w:type="pct"/>
                  <w:vMerge w:val="restart"/>
                  <w:tcBorders>
                    <w:tl2br w:val="nil"/>
                    <w:tr2bl w:val="nil"/>
                  </w:tcBorders>
                  <w:vAlign w:val="center"/>
                </w:tcPr>
                <w:p w14:paraId="5A27298B">
                  <w:pPr>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r>
                    <w:rPr>
                      <w:rFonts w:hint="default" w:ascii="Times New Roman" w:hAnsi="Times New Roman" w:eastAsia="宋体" w:cs="Times New Roman"/>
                      <w:b/>
                      <w:bCs/>
                      <w:color w:val="auto"/>
                      <w:kern w:val="0"/>
                      <w:sz w:val="21"/>
                      <w:szCs w:val="21"/>
                      <w:highlight w:val="none"/>
                    </w:rPr>
                    <w:t>环保工程</w:t>
                  </w:r>
                </w:p>
              </w:tc>
              <w:tc>
                <w:tcPr>
                  <w:tcW w:w="867" w:type="pct"/>
                  <w:gridSpan w:val="2"/>
                  <w:vMerge w:val="restart"/>
                  <w:tcBorders>
                    <w:tl2br w:val="nil"/>
                    <w:tr2bl w:val="nil"/>
                  </w:tcBorders>
                  <w:vAlign w:val="center"/>
                </w:tcPr>
                <w:p w14:paraId="2B71A099">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废气</w:t>
                  </w:r>
                </w:p>
              </w:tc>
              <w:tc>
                <w:tcPr>
                  <w:tcW w:w="3727" w:type="pct"/>
                  <w:tcBorders>
                    <w:tl2br w:val="nil"/>
                    <w:tr2bl w:val="nil"/>
                  </w:tcBorders>
                  <w:vAlign w:val="center"/>
                </w:tcPr>
                <w:p w14:paraId="412AE506">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骨料生产线</w:t>
                  </w:r>
                  <w:r>
                    <w:rPr>
                      <w:rFonts w:hint="default" w:ascii="Times New Roman" w:hAnsi="Times New Roman" w:eastAsia="宋体" w:cs="Times New Roman"/>
                      <w:color w:val="auto"/>
                      <w:kern w:val="0"/>
                      <w:sz w:val="21"/>
                      <w:szCs w:val="21"/>
                      <w:lang w:val="en-US" w:eastAsia="zh-CN"/>
                    </w:rPr>
                    <w:t>粉尘：铲车给料粉尘、</w:t>
                  </w:r>
                  <w:r>
                    <w:rPr>
                      <w:rFonts w:hint="default" w:ascii="Times New Roman" w:hAnsi="Times New Roman" w:eastAsia="宋体" w:cs="Times New Roman"/>
                      <w:color w:val="auto"/>
                      <w:kern w:val="0"/>
                      <w:sz w:val="21"/>
                      <w:szCs w:val="21"/>
                    </w:rPr>
                    <w:t>破碎筛分粉尘采用一套布袋除尘器处理后通过1</w:t>
                  </w:r>
                  <w:r>
                    <w:rPr>
                      <w:rFonts w:hint="default" w:ascii="Times New Roman" w:hAnsi="Times New Roman" w:eastAsia="宋体" w:cs="Times New Roman"/>
                      <w:color w:val="auto"/>
                      <w:kern w:val="0"/>
                      <w:sz w:val="21"/>
                      <w:szCs w:val="21"/>
                      <w:lang w:val="en-US" w:eastAsia="zh-CN"/>
                    </w:rPr>
                    <w:t>根</w:t>
                  </w:r>
                  <w:r>
                    <w:rPr>
                      <w:rFonts w:hint="default" w:ascii="Times New Roman" w:hAnsi="Times New Roman" w:eastAsia="宋体" w:cs="Times New Roman"/>
                      <w:color w:val="auto"/>
                      <w:kern w:val="0"/>
                      <w:sz w:val="21"/>
                      <w:szCs w:val="21"/>
                    </w:rPr>
                    <w:t>15m高排气筒（DA001）排放</w:t>
                  </w:r>
                </w:p>
              </w:tc>
            </w:tr>
            <w:tr w14:paraId="5EA726F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continue"/>
                  <w:tcBorders>
                    <w:tl2br w:val="nil"/>
                    <w:tr2bl w:val="nil"/>
                  </w:tcBorders>
                  <w:vAlign w:val="center"/>
                </w:tcPr>
                <w:p w14:paraId="2A25C02C">
                  <w:pPr>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bookmarkStart w:id="21" w:name="OLE_LINK168" w:colFirst="2" w:colLast="2"/>
                </w:p>
              </w:tc>
              <w:tc>
                <w:tcPr>
                  <w:tcW w:w="867" w:type="pct"/>
                  <w:gridSpan w:val="2"/>
                  <w:vMerge w:val="continue"/>
                  <w:tcBorders>
                    <w:tl2br w:val="nil"/>
                    <w:tr2bl w:val="nil"/>
                  </w:tcBorders>
                  <w:vAlign w:val="center"/>
                </w:tcPr>
                <w:p w14:paraId="054A1A3A">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3727" w:type="pct"/>
                  <w:tcBorders>
                    <w:tl2br w:val="nil"/>
                    <w:tr2bl w:val="nil"/>
                  </w:tcBorders>
                  <w:vAlign w:val="center"/>
                </w:tcPr>
                <w:p w14:paraId="06DCC611">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水稳生产线粉尘：</w:t>
                  </w:r>
                  <w:r>
                    <w:rPr>
                      <w:rFonts w:hint="default" w:ascii="Times New Roman" w:hAnsi="Times New Roman" w:eastAsia="宋体" w:cs="Times New Roman"/>
                      <w:color w:val="auto"/>
                      <w:kern w:val="0"/>
                      <w:sz w:val="21"/>
                      <w:szCs w:val="21"/>
                    </w:rPr>
                    <w:t>水稳生产</w:t>
                  </w:r>
                  <w:r>
                    <w:rPr>
                      <w:rFonts w:hint="default" w:ascii="Times New Roman" w:hAnsi="Times New Roman" w:eastAsia="宋体" w:cs="Times New Roman"/>
                      <w:color w:val="auto"/>
                      <w:kern w:val="0"/>
                      <w:sz w:val="21"/>
                      <w:szCs w:val="21"/>
                      <w:lang w:val="en-US" w:eastAsia="zh-CN"/>
                    </w:rPr>
                    <w:t>线</w:t>
                  </w:r>
                  <w:r>
                    <w:rPr>
                      <w:rFonts w:hint="default" w:ascii="Times New Roman" w:hAnsi="Times New Roman" w:eastAsia="宋体" w:cs="Times New Roman"/>
                      <w:color w:val="auto"/>
                      <w:kern w:val="0"/>
                      <w:sz w:val="21"/>
                      <w:szCs w:val="21"/>
                    </w:rPr>
                    <w:t>投料、搅拌粉尘经集气罩收集后采用1套布袋除尘器处理后通过1</w:t>
                  </w:r>
                  <w:r>
                    <w:rPr>
                      <w:rFonts w:hint="default" w:ascii="Times New Roman" w:hAnsi="Times New Roman" w:eastAsia="宋体" w:cs="Times New Roman"/>
                      <w:color w:val="auto"/>
                      <w:kern w:val="0"/>
                      <w:sz w:val="21"/>
                      <w:szCs w:val="21"/>
                      <w:lang w:val="en-US" w:eastAsia="zh-CN"/>
                    </w:rPr>
                    <w:t>根</w:t>
                  </w:r>
                  <w:r>
                    <w:rPr>
                      <w:rFonts w:hint="default" w:ascii="Times New Roman" w:hAnsi="Times New Roman" w:eastAsia="宋体" w:cs="Times New Roman"/>
                      <w:color w:val="auto"/>
                      <w:kern w:val="0"/>
                      <w:sz w:val="21"/>
                      <w:szCs w:val="21"/>
                    </w:rPr>
                    <w:t>15m高排气筒（DA002）排放</w:t>
                  </w:r>
                </w:p>
              </w:tc>
            </w:tr>
            <w:tr w14:paraId="0CA3E53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continue"/>
                  <w:tcBorders>
                    <w:tl2br w:val="nil"/>
                    <w:tr2bl w:val="nil"/>
                  </w:tcBorders>
                  <w:vAlign w:val="center"/>
                </w:tcPr>
                <w:p w14:paraId="4D8F5CD9">
                  <w:pPr>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vMerge w:val="continue"/>
                  <w:tcBorders>
                    <w:tl2br w:val="nil"/>
                    <w:tr2bl w:val="nil"/>
                  </w:tcBorders>
                  <w:vAlign w:val="center"/>
                </w:tcPr>
                <w:p w14:paraId="0FE9DFBB">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3727" w:type="pct"/>
                  <w:tcBorders>
                    <w:tl2br w:val="nil"/>
                    <w:tr2bl w:val="nil"/>
                  </w:tcBorders>
                  <w:vAlign w:val="center"/>
                </w:tcPr>
                <w:p w14:paraId="1A38B5D1">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RDF燃料生产线粉尘：RDF燃料生产线</w:t>
                  </w:r>
                  <w:r>
                    <w:rPr>
                      <w:rFonts w:hint="default" w:ascii="Times New Roman" w:hAnsi="Times New Roman" w:eastAsia="宋体" w:cs="Times New Roman"/>
                      <w:color w:val="auto"/>
                      <w:kern w:val="0"/>
                      <w:sz w:val="21"/>
                      <w:szCs w:val="21"/>
                    </w:rPr>
                    <w:t>投料、搅拌粉尘经集气罩收集后采用1套布袋除尘器处理后通过1</w:t>
                  </w:r>
                  <w:r>
                    <w:rPr>
                      <w:rFonts w:hint="default" w:ascii="Times New Roman" w:hAnsi="Times New Roman" w:eastAsia="宋体" w:cs="Times New Roman"/>
                      <w:color w:val="auto"/>
                      <w:kern w:val="0"/>
                      <w:sz w:val="21"/>
                      <w:szCs w:val="21"/>
                      <w:lang w:val="en-US" w:eastAsia="zh-CN"/>
                    </w:rPr>
                    <w:t>根</w:t>
                  </w:r>
                  <w:r>
                    <w:rPr>
                      <w:rFonts w:hint="default" w:ascii="Times New Roman" w:hAnsi="Times New Roman" w:eastAsia="宋体" w:cs="Times New Roman"/>
                      <w:color w:val="auto"/>
                      <w:kern w:val="0"/>
                      <w:sz w:val="21"/>
                      <w:szCs w:val="21"/>
                    </w:rPr>
                    <w:t>15m高排气筒（DA003）排放</w:t>
                  </w:r>
                </w:p>
              </w:tc>
            </w:tr>
            <w:tr w14:paraId="3C50823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continue"/>
                  <w:tcBorders>
                    <w:tl2br w:val="nil"/>
                    <w:tr2bl w:val="nil"/>
                  </w:tcBorders>
                  <w:vAlign w:val="center"/>
                </w:tcPr>
                <w:p w14:paraId="33F11F2F">
                  <w:pPr>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vMerge w:val="continue"/>
                  <w:tcBorders>
                    <w:tl2br w:val="nil"/>
                    <w:tr2bl w:val="nil"/>
                  </w:tcBorders>
                  <w:vAlign w:val="center"/>
                </w:tcPr>
                <w:p w14:paraId="6885E99D">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3727" w:type="pct"/>
                  <w:tcBorders>
                    <w:tl2br w:val="nil"/>
                    <w:tr2bl w:val="nil"/>
                  </w:tcBorders>
                  <w:vAlign w:val="center"/>
                </w:tcPr>
                <w:p w14:paraId="197B4D1A">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污泥贮存、RDF燃料成型恶臭：污泥贮存间恶臭、RDF燃料成型恶臭经过负压收集通过生物除臭塔后通过15m排气筒（DA004）排放</w:t>
                  </w:r>
                </w:p>
              </w:tc>
            </w:tr>
            <w:tr w14:paraId="23767E7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continue"/>
                  <w:tcBorders>
                    <w:tl2br w:val="nil"/>
                    <w:tr2bl w:val="nil"/>
                  </w:tcBorders>
                  <w:vAlign w:val="center"/>
                </w:tcPr>
                <w:p w14:paraId="27C48228">
                  <w:pPr>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vMerge w:val="continue"/>
                  <w:tcBorders>
                    <w:tl2br w:val="nil"/>
                    <w:tr2bl w:val="nil"/>
                  </w:tcBorders>
                  <w:vAlign w:val="center"/>
                </w:tcPr>
                <w:p w14:paraId="40CA5FCF">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3727" w:type="pct"/>
                  <w:tcBorders>
                    <w:tl2br w:val="nil"/>
                    <w:tr2bl w:val="nil"/>
                  </w:tcBorders>
                  <w:vAlign w:val="center"/>
                </w:tcPr>
                <w:p w14:paraId="2ECA56F3">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筒仓粉尘：2</w:t>
                  </w:r>
                  <w:r>
                    <w:rPr>
                      <w:rFonts w:hint="default" w:ascii="Times New Roman" w:hAnsi="Times New Roman" w:eastAsia="宋体" w:cs="Times New Roman"/>
                      <w:color w:val="auto"/>
                      <w:kern w:val="0"/>
                      <w:sz w:val="21"/>
                      <w:szCs w:val="21"/>
                    </w:rPr>
                    <w:t>座水泥筒仓呼吸粉尘分别经各自仓顶除尘器处理后无组织排放</w:t>
                  </w:r>
                </w:p>
              </w:tc>
            </w:tr>
            <w:tr w14:paraId="67FAE7A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57" w:hRule="atLeast"/>
                <w:jc w:val="center"/>
              </w:trPr>
              <w:tc>
                <w:tcPr>
                  <w:tcW w:w="405" w:type="pct"/>
                  <w:vMerge w:val="continue"/>
                  <w:tcBorders>
                    <w:tl2br w:val="nil"/>
                    <w:tr2bl w:val="nil"/>
                  </w:tcBorders>
                  <w:vAlign w:val="center"/>
                </w:tcPr>
                <w:p w14:paraId="1CAE2A38">
                  <w:pPr>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vMerge w:val="continue"/>
                  <w:tcBorders>
                    <w:tl2br w:val="nil"/>
                    <w:tr2bl w:val="nil"/>
                  </w:tcBorders>
                  <w:vAlign w:val="center"/>
                </w:tcPr>
                <w:p w14:paraId="2D204CCE">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3727" w:type="pct"/>
                  <w:tcBorders>
                    <w:tl2br w:val="nil"/>
                    <w:tr2bl w:val="nil"/>
                  </w:tcBorders>
                  <w:vAlign w:val="center"/>
                </w:tcPr>
                <w:p w14:paraId="16A4669A">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装卸粉尘：各仓库为密闭库房，各仓库设置干雾抑尘装置和雾炮机用于减少装卸扬尘</w:t>
                  </w:r>
                </w:p>
              </w:tc>
            </w:tr>
            <w:tr w14:paraId="693ADB0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57" w:hRule="atLeast"/>
                <w:jc w:val="center"/>
              </w:trPr>
              <w:tc>
                <w:tcPr>
                  <w:tcW w:w="405" w:type="pct"/>
                  <w:vMerge w:val="continue"/>
                  <w:tcBorders>
                    <w:tl2br w:val="nil"/>
                    <w:tr2bl w:val="nil"/>
                  </w:tcBorders>
                  <w:vAlign w:val="center"/>
                </w:tcPr>
                <w:p w14:paraId="6E95BCAD">
                  <w:pPr>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vMerge w:val="continue"/>
                  <w:tcBorders>
                    <w:tl2br w:val="nil"/>
                    <w:tr2bl w:val="nil"/>
                  </w:tcBorders>
                  <w:vAlign w:val="center"/>
                </w:tcPr>
                <w:p w14:paraId="0E077ADD">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3727" w:type="pct"/>
                  <w:tcBorders>
                    <w:tl2br w:val="nil"/>
                    <w:tr2bl w:val="nil"/>
                  </w:tcBorders>
                  <w:vAlign w:val="center"/>
                </w:tcPr>
                <w:p w14:paraId="4FF33E18">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车辆扬尘：厂区出入口</w:t>
                  </w:r>
                  <w:r>
                    <w:rPr>
                      <w:rFonts w:hint="default" w:ascii="Times New Roman" w:hAnsi="Times New Roman" w:eastAsia="宋体" w:cs="Times New Roman"/>
                      <w:color w:val="auto"/>
                      <w:kern w:val="0"/>
                      <w:sz w:val="21"/>
                      <w:szCs w:val="21"/>
                    </w:rPr>
                    <w:t>建设一套车辆冲洗平台</w:t>
                  </w:r>
                  <w:r>
                    <w:rPr>
                      <w:rFonts w:hint="eastAsia" w:ascii="Times New Roman" w:hAnsi="Times New Roman" w:eastAsia="宋体" w:cs="Times New Roman"/>
                      <w:color w:val="auto"/>
                      <w:kern w:val="0"/>
                      <w:sz w:val="21"/>
                      <w:szCs w:val="21"/>
                      <w:lang w:eastAsia="zh-CN"/>
                    </w:rPr>
                    <w:t>，对</w:t>
                  </w:r>
                  <w:r>
                    <w:rPr>
                      <w:rFonts w:hint="default" w:ascii="Times New Roman" w:hAnsi="Times New Roman" w:eastAsia="宋体" w:cs="Times New Roman"/>
                      <w:color w:val="auto"/>
                      <w:kern w:val="0"/>
                      <w:sz w:val="21"/>
                      <w:szCs w:val="21"/>
                      <w:lang w:val="en-US" w:eastAsia="zh-CN"/>
                    </w:rPr>
                    <w:t>进出车辆进行冲洗</w:t>
                  </w:r>
                </w:p>
              </w:tc>
            </w:tr>
            <w:tr w14:paraId="48EB463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continue"/>
                  <w:tcBorders>
                    <w:tl2br w:val="nil"/>
                    <w:tr2bl w:val="nil"/>
                  </w:tcBorders>
                  <w:vAlign w:val="center"/>
                </w:tcPr>
                <w:p w14:paraId="1BA28675">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vAlign w:val="center"/>
                </w:tcPr>
                <w:p w14:paraId="18BD19EB">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废水</w:t>
                  </w:r>
                </w:p>
              </w:tc>
              <w:tc>
                <w:tcPr>
                  <w:tcW w:w="3727" w:type="pct"/>
                  <w:tcBorders>
                    <w:tl2br w:val="nil"/>
                    <w:tr2bl w:val="nil"/>
                  </w:tcBorders>
                  <w:vAlign w:val="center"/>
                </w:tcPr>
                <w:p w14:paraId="29980B03">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pacing w:val="-2"/>
                      <w:sz w:val="21"/>
                      <w:szCs w:val="21"/>
                    </w:rPr>
                    <w:t>生活污水经化粪池处理</w:t>
                  </w:r>
                  <w:r>
                    <w:rPr>
                      <w:rFonts w:hint="default" w:ascii="Times New Roman" w:hAnsi="Times New Roman" w:eastAsia="宋体" w:cs="Times New Roman"/>
                      <w:color w:val="auto"/>
                      <w:spacing w:val="-2"/>
                      <w:sz w:val="21"/>
                      <w:szCs w:val="21"/>
                      <w:lang w:val="en-US" w:eastAsia="zh-CN"/>
                    </w:rPr>
                    <w:t>后</w:t>
                  </w:r>
                  <w:r>
                    <w:rPr>
                      <w:rFonts w:hint="default" w:ascii="Times New Roman" w:hAnsi="Times New Roman" w:eastAsia="宋体" w:cs="Times New Roman"/>
                      <w:color w:val="auto"/>
                      <w:spacing w:val="-2"/>
                      <w:sz w:val="21"/>
                      <w:szCs w:val="21"/>
                      <w:lang w:val="zh-CN"/>
                    </w:rPr>
                    <w:t>排 入 收集池存放，采用槽罐车定期送至</w:t>
                  </w:r>
                  <w:r>
                    <w:rPr>
                      <w:rFonts w:hint="eastAsia" w:ascii="Times New Roman" w:hAnsi="Times New Roman" w:eastAsia="宋体" w:cs="Times New Roman"/>
                      <w:color w:val="auto"/>
                      <w:spacing w:val="-2"/>
                      <w:sz w:val="21"/>
                      <w:szCs w:val="21"/>
                      <w:lang w:val="zh-CN"/>
                    </w:rPr>
                    <w:t>东至县国祯污水处理厂</w:t>
                  </w:r>
                  <w:r>
                    <w:rPr>
                      <w:rFonts w:hint="default" w:ascii="Times New Roman" w:hAnsi="Times New Roman" w:eastAsia="宋体" w:cs="Times New Roman"/>
                      <w:color w:val="auto"/>
                      <w:spacing w:val="-2"/>
                      <w:sz w:val="21"/>
                      <w:szCs w:val="21"/>
                      <w:lang w:val="zh-CN"/>
                    </w:rPr>
                    <w:t>处置</w:t>
                  </w:r>
                  <w:r>
                    <w:rPr>
                      <w:rFonts w:hint="default" w:ascii="Times New Roman" w:hAnsi="Times New Roman" w:eastAsia="宋体" w:cs="Times New Roman"/>
                      <w:color w:val="auto"/>
                      <w:spacing w:val="-2"/>
                      <w:sz w:val="21"/>
                      <w:szCs w:val="21"/>
                    </w:rPr>
                    <w:t>；车辆冲洗水</w:t>
                  </w:r>
                  <w:r>
                    <w:rPr>
                      <w:rFonts w:hint="default" w:ascii="Times New Roman" w:hAnsi="Times New Roman" w:eastAsia="宋体" w:cs="Times New Roman"/>
                      <w:color w:val="auto"/>
                      <w:spacing w:val="-2"/>
                      <w:sz w:val="21"/>
                      <w:szCs w:val="21"/>
                      <w:lang w:eastAsia="zh-CN"/>
                    </w:rPr>
                    <w:t>、</w:t>
                  </w:r>
                  <w:r>
                    <w:rPr>
                      <w:rFonts w:hint="default" w:ascii="Times New Roman" w:hAnsi="Times New Roman" w:eastAsia="宋体" w:cs="Times New Roman"/>
                      <w:color w:val="auto"/>
                      <w:spacing w:val="-2"/>
                      <w:sz w:val="21"/>
                      <w:szCs w:val="21"/>
                    </w:rPr>
                    <w:t>搅拌机冲洗水、地面冲洗水经沉淀池</w:t>
                  </w:r>
                  <w:r>
                    <w:rPr>
                      <w:rFonts w:hint="default" w:ascii="Times New Roman" w:hAnsi="Times New Roman" w:eastAsia="宋体" w:cs="Times New Roman"/>
                      <w:color w:val="auto"/>
                      <w:spacing w:val="-2"/>
                      <w:sz w:val="21"/>
                      <w:szCs w:val="21"/>
                      <w:lang w:eastAsia="zh-CN"/>
                    </w:rPr>
                    <w:t>（</w:t>
                  </w:r>
                  <w:r>
                    <w:rPr>
                      <w:rFonts w:hint="default" w:ascii="Times New Roman" w:hAnsi="Times New Roman" w:eastAsia="宋体" w:cs="Times New Roman"/>
                      <w:color w:val="auto"/>
                      <w:spacing w:val="-2"/>
                      <w:sz w:val="21"/>
                      <w:szCs w:val="21"/>
                      <w:lang w:val="en-US" w:eastAsia="zh-CN"/>
                    </w:rPr>
                    <w:t>2</w:t>
                  </w:r>
                  <w:r>
                    <w:rPr>
                      <w:rFonts w:hint="default" w:ascii="Times New Roman" w:hAnsi="Times New Roman" w:eastAsia="宋体" w:cs="Times New Roman"/>
                      <w:color w:val="auto"/>
                      <w:spacing w:val="-2"/>
                      <w:sz w:val="21"/>
                      <w:szCs w:val="21"/>
                      <w:lang w:eastAsia="zh-CN"/>
                    </w:rPr>
                    <w:t>0m</w:t>
                  </w:r>
                  <w:r>
                    <w:rPr>
                      <w:rFonts w:hint="default" w:ascii="Times New Roman" w:hAnsi="Times New Roman" w:eastAsia="宋体" w:cs="Times New Roman"/>
                      <w:color w:val="auto"/>
                      <w:spacing w:val="-2"/>
                      <w:sz w:val="21"/>
                      <w:szCs w:val="21"/>
                      <w:vertAlign w:val="superscript"/>
                      <w:lang w:eastAsia="zh-CN"/>
                    </w:rPr>
                    <w:t>3</w:t>
                  </w:r>
                  <w:r>
                    <w:rPr>
                      <w:rFonts w:hint="default" w:ascii="Times New Roman" w:hAnsi="Times New Roman" w:eastAsia="宋体" w:cs="Times New Roman"/>
                      <w:color w:val="auto"/>
                      <w:spacing w:val="-2"/>
                      <w:sz w:val="21"/>
                      <w:szCs w:val="21"/>
                      <w:lang w:eastAsia="zh-CN"/>
                    </w:rPr>
                    <w:t>）</w:t>
                  </w:r>
                  <w:r>
                    <w:rPr>
                      <w:rFonts w:hint="default" w:ascii="Times New Roman" w:hAnsi="Times New Roman" w:eastAsia="宋体" w:cs="Times New Roman"/>
                      <w:color w:val="auto"/>
                      <w:spacing w:val="-2"/>
                      <w:sz w:val="21"/>
                      <w:szCs w:val="21"/>
                    </w:rPr>
                    <w:t>沉淀后循环利用</w:t>
                  </w:r>
                  <w:r>
                    <w:rPr>
                      <w:rFonts w:hint="default" w:ascii="Times New Roman" w:hAnsi="Times New Roman" w:eastAsia="宋体" w:cs="Times New Roman"/>
                      <w:color w:val="auto"/>
                      <w:spacing w:val="-2"/>
                      <w:sz w:val="21"/>
                      <w:szCs w:val="21"/>
                      <w:lang w:eastAsia="zh-CN"/>
                    </w:rPr>
                    <w:t>；</w:t>
                  </w:r>
                  <w:r>
                    <w:rPr>
                      <w:rFonts w:hint="default" w:ascii="Times New Roman" w:hAnsi="Times New Roman" w:eastAsia="宋体" w:cs="Times New Roman"/>
                      <w:color w:val="auto"/>
                      <w:spacing w:val="-2"/>
                      <w:sz w:val="21"/>
                      <w:szCs w:val="21"/>
                      <w:lang w:val="en-US" w:eastAsia="zh-CN"/>
                    </w:rPr>
                    <w:t>厂区初期雨水收集池（120</w:t>
                  </w:r>
                  <w:r>
                    <w:rPr>
                      <w:rFonts w:hint="default" w:ascii="Times New Roman" w:hAnsi="Times New Roman" w:eastAsia="宋体" w:cs="Times New Roman"/>
                      <w:color w:val="auto"/>
                      <w:spacing w:val="-2"/>
                      <w:sz w:val="21"/>
                      <w:szCs w:val="21"/>
                    </w:rPr>
                    <w:t>m</w:t>
                  </w:r>
                  <w:r>
                    <w:rPr>
                      <w:rFonts w:hint="default" w:ascii="Times New Roman" w:hAnsi="Times New Roman" w:eastAsia="宋体" w:cs="Times New Roman"/>
                      <w:color w:val="auto"/>
                      <w:spacing w:val="-2"/>
                      <w:sz w:val="21"/>
                      <w:szCs w:val="21"/>
                      <w:vertAlign w:val="superscript"/>
                    </w:rPr>
                    <w:t>3</w:t>
                  </w:r>
                  <w:r>
                    <w:rPr>
                      <w:rFonts w:hint="default" w:ascii="Times New Roman" w:hAnsi="Times New Roman" w:eastAsia="宋体" w:cs="Times New Roman"/>
                      <w:color w:val="auto"/>
                      <w:spacing w:val="-2"/>
                      <w:sz w:val="21"/>
                      <w:szCs w:val="21"/>
                      <w:lang w:val="en-US" w:eastAsia="zh-CN"/>
                    </w:rPr>
                    <w:t>）收集后的清水存放于水池，回用于厂区洒水抑尘，不外排</w:t>
                  </w:r>
                </w:p>
              </w:tc>
            </w:tr>
            <w:tr w14:paraId="20FA1DF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continue"/>
                  <w:tcBorders>
                    <w:tl2br w:val="nil"/>
                    <w:tr2bl w:val="nil"/>
                  </w:tcBorders>
                  <w:vAlign w:val="center"/>
                </w:tcPr>
                <w:p w14:paraId="04F244F7">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vAlign w:val="center"/>
                </w:tcPr>
                <w:p w14:paraId="5D4C710D">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噪声</w:t>
                  </w:r>
                </w:p>
              </w:tc>
              <w:tc>
                <w:tcPr>
                  <w:tcW w:w="3727" w:type="pct"/>
                  <w:tcBorders>
                    <w:tl2br w:val="nil"/>
                    <w:tr2bl w:val="nil"/>
                  </w:tcBorders>
                  <w:vAlign w:val="center"/>
                </w:tcPr>
                <w:p w14:paraId="5899D7D6">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选用低噪声设备，</w:t>
                  </w:r>
                  <w:bookmarkStart w:id="22" w:name="OLE_LINK149"/>
                  <w:r>
                    <w:rPr>
                      <w:rFonts w:hint="default" w:ascii="Times New Roman" w:hAnsi="Times New Roman" w:eastAsia="宋体" w:cs="Times New Roman"/>
                      <w:color w:val="auto"/>
                      <w:kern w:val="0"/>
                      <w:sz w:val="21"/>
                      <w:szCs w:val="21"/>
                    </w:rPr>
                    <w:t>基础减震、</w:t>
                  </w:r>
                  <w:bookmarkEnd w:id="22"/>
                  <w:r>
                    <w:rPr>
                      <w:rFonts w:hint="default" w:ascii="Times New Roman" w:hAnsi="Times New Roman" w:eastAsia="宋体" w:cs="Times New Roman"/>
                      <w:color w:val="auto"/>
                      <w:kern w:val="0"/>
                      <w:sz w:val="21"/>
                      <w:szCs w:val="21"/>
                    </w:rPr>
                    <w:t>厂房隔声等</w:t>
                  </w:r>
                </w:p>
              </w:tc>
            </w:tr>
            <w:bookmarkEnd w:id="21"/>
            <w:tr w14:paraId="4E401C7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405" w:type="pct"/>
                  <w:vMerge w:val="continue"/>
                  <w:tcBorders>
                    <w:tl2br w:val="nil"/>
                    <w:tr2bl w:val="nil"/>
                  </w:tcBorders>
                  <w:vAlign w:val="center"/>
                </w:tcPr>
                <w:p w14:paraId="365C2B74">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bookmarkStart w:id="23" w:name="OLE_LINK158" w:colFirst="1" w:colLast="2"/>
                </w:p>
              </w:tc>
              <w:tc>
                <w:tcPr>
                  <w:tcW w:w="867" w:type="pct"/>
                  <w:gridSpan w:val="2"/>
                  <w:tcBorders>
                    <w:tl2br w:val="nil"/>
                    <w:tr2bl w:val="nil"/>
                  </w:tcBorders>
                  <w:vAlign w:val="center"/>
                </w:tcPr>
                <w:p w14:paraId="08FBC6C1">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固废</w:t>
                  </w:r>
                </w:p>
              </w:tc>
              <w:tc>
                <w:tcPr>
                  <w:tcW w:w="3727" w:type="pct"/>
                  <w:tcBorders>
                    <w:tl2br w:val="nil"/>
                    <w:tr2bl w:val="nil"/>
                  </w:tcBorders>
                  <w:vAlign w:val="center"/>
                </w:tcPr>
                <w:p w14:paraId="3E0483C6">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新建危废库一座，占地面积</w:t>
                  </w:r>
                  <w:r>
                    <w:rPr>
                      <w:rFonts w:hint="default" w:ascii="Times New Roman" w:hAnsi="Times New Roman" w:eastAsia="宋体" w:cs="Times New Roman"/>
                      <w:color w:val="auto"/>
                      <w:kern w:val="0"/>
                      <w:sz w:val="21"/>
                      <w:szCs w:val="21"/>
                      <w:lang w:val="en-US" w:eastAsia="zh-CN"/>
                    </w:rPr>
                    <w:t>1</w:t>
                  </w:r>
                  <w:r>
                    <w:rPr>
                      <w:rFonts w:hint="default" w:ascii="Times New Roman" w:hAnsi="Times New Roman" w:eastAsia="宋体" w:cs="Times New Roman"/>
                      <w:color w:val="auto"/>
                      <w:kern w:val="0"/>
                      <w:sz w:val="21"/>
                      <w:szCs w:val="21"/>
                    </w:rPr>
                    <w:t>0m</w:t>
                  </w:r>
                  <w:r>
                    <w:rPr>
                      <w:rFonts w:hint="default" w:ascii="Times New Roman" w:hAnsi="Times New Roman" w:eastAsia="宋体" w:cs="Times New Roman"/>
                      <w:color w:val="auto"/>
                      <w:kern w:val="0"/>
                      <w:sz w:val="21"/>
                      <w:szCs w:val="21"/>
                      <w:vertAlign w:val="superscript"/>
                    </w:rPr>
                    <w:t>2</w:t>
                  </w:r>
                  <w:r>
                    <w:rPr>
                      <w:rFonts w:hint="default" w:ascii="Times New Roman" w:hAnsi="Times New Roman" w:eastAsia="宋体" w:cs="Times New Roman"/>
                      <w:color w:val="auto"/>
                      <w:kern w:val="0"/>
                      <w:sz w:val="21"/>
                      <w:szCs w:val="21"/>
                    </w:rPr>
                    <w:t>，废机油、废油桶暂存危废库</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rPr>
                    <w:t>委托有资质单位</w:t>
                  </w:r>
                  <w:bookmarkStart w:id="24" w:name="OLE_LINK126"/>
                  <w:r>
                    <w:rPr>
                      <w:rFonts w:hint="default" w:ascii="Times New Roman" w:hAnsi="Times New Roman" w:eastAsia="宋体" w:cs="Times New Roman"/>
                      <w:color w:val="auto"/>
                      <w:kern w:val="0"/>
                      <w:sz w:val="21"/>
                      <w:szCs w:val="21"/>
                    </w:rPr>
                    <w:t>处置；</w:t>
                  </w:r>
                  <w:bookmarkEnd w:id="24"/>
                  <w:r>
                    <w:rPr>
                      <w:rFonts w:hint="default" w:ascii="Times New Roman" w:hAnsi="Times New Roman" w:eastAsia="宋体" w:cs="Times New Roman"/>
                      <w:color w:val="auto"/>
                      <w:kern w:val="0"/>
                      <w:sz w:val="21"/>
                      <w:szCs w:val="21"/>
                    </w:rPr>
                    <w:t>新建一般固废库一座，占地面积100m</w:t>
                  </w:r>
                  <w:r>
                    <w:rPr>
                      <w:rFonts w:hint="default" w:ascii="Times New Roman" w:hAnsi="Times New Roman" w:eastAsia="宋体" w:cs="Times New Roman"/>
                      <w:color w:val="auto"/>
                      <w:kern w:val="0"/>
                      <w:sz w:val="21"/>
                      <w:szCs w:val="21"/>
                      <w:vertAlign w:val="superscript"/>
                    </w:rPr>
                    <w:t>2</w:t>
                  </w:r>
                  <w:r>
                    <w:rPr>
                      <w:rFonts w:hint="default" w:ascii="Times New Roman" w:hAnsi="Times New Roman" w:eastAsia="宋体" w:cs="Times New Roman"/>
                      <w:color w:val="auto"/>
                      <w:kern w:val="0"/>
                      <w:sz w:val="21"/>
                      <w:szCs w:val="21"/>
                    </w:rPr>
                    <w:t>，废金属、废玻璃、废塑料</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除尘灰</w:t>
                  </w:r>
                  <w:r>
                    <w:rPr>
                      <w:rFonts w:hint="default" w:ascii="Times New Roman" w:hAnsi="Times New Roman" w:eastAsia="宋体" w:cs="Times New Roman"/>
                      <w:color w:val="auto"/>
                      <w:kern w:val="0"/>
                      <w:sz w:val="21"/>
                      <w:szCs w:val="21"/>
                    </w:rPr>
                    <w:t>等</w:t>
                  </w:r>
                  <w:r>
                    <w:rPr>
                      <w:rFonts w:hint="default" w:ascii="Times New Roman" w:hAnsi="Times New Roman" w:eastAsia="宋体" w:cs="Times New Roman"/>
                      <w:color w:val="auto"/>
                      <w:kern w:val="0"/>
                      <w:sz w:val="21"/>
                      <w:szCs w:val="21"/>
                      <w:lang w:val="en-US" w:eastAsia="zh-CN"/>
                    </w:rPr>
                    <w:t>固废</w:t>
                  </w:r>
                  <w:r>
                    <w:rPr>
                      <w:rFonts w:hint="default" w:ascii="Times New Roman" w:hAnsi="Times New Roman" w:eastAsia="宋体" w:cs="Times New Roman"/>
                      <w:color w:val="auto"/>
                      <w:kern w:val="0"/>
                      <w:sz w:val="21"/>
                      <w:szCs w:val="21"/>
                    </w:rPr>
                    <w:t>暂存一般固废库内再外售；</w:t>
                  </w:r>
                  <w:r>
                    <w:rPr>
                      <w:rFonts w:hint="default" w:ascii="Times New Roman" w:hAnsi="Times New Roman" w:eastAsia="宋体" w:cs="Times New Roman"/>
                      <w:color w:val="auto"/>
                      <w:kern w:val="0"/>
                      <w:sz w:val="21"/>
                      <w:szCs w:val="21"/>
                      <w:lang w:val="en-US" w:eastAsia="zh-CN"/>
                    </w:rPr>
                    <w:t>废渣土综合利用，</w:t>
                  </w:r>
                  <w:r>
                    <w:rPr>
                      <w:rFonts w:hint="default" w:ascii="Times New Roman" w:hAnsi="Times New Roman" w:eastAsia="宋体" w:cs="Times New Roman"/>
                      <w:color w:val="auto"/>
                      <w:kern w:val="0"/>
                      <w:sz w:val="21"/>
                      <w:szCs w:val="21"/>
                    </w:rPr>
                    <w:t>生活垃圾设置垃圾桶收集后交由环卫部门统一处置</w:t>
                  </w:r>
                </w:p>
              </w:tc>
            </w:tr>
            <w:bookmarkEnd w:id="17"/>
            <w:bookmarkEnd w:id="18"/>
            <w:bookmarkEnd w:id="23"/>
            <w:tr w14:paraId="26DBB10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05" w:type="pct"/>
                  <w:vMerge w:val="continue"/>
                  <w:tcBorders>
                    <w:tl2br w:val="nil"/>
                    <w:tr2bl w:val="nil"/>
                  </w:tcBorders>
                  <w:vAlign w:val="center"/>
                </w:tcPr>
                <w:p w14:paraId="0C9103C2">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vAlign w:val="center"/>
                </w:tcPr>
                <w:p w14:paraId="3249ECFD">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环境风险</w:t>
                  </w:r>
                </w:p>
              </w:tc>
              <w:tc>
                <w:tcPr>
                  <w:tcW w:w="3727" w:type="pct"/>
                  <w:tcBorders>
                    <w:tl2br w:val="nil"/>
                    <w:tr2bl w:val="nil"/>
                  </w:tcBorders>
                  <w:vAlign w:val="center"/>
                </w:tcPr>
                <w:p w14:paraId="591572A3">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危废库区域基础</w:t>
                  </w:r>
                  <w:r>
                    <w:rPr>
                      <w:rFonts w:hint="default" w:ascii="Times New Roman" w:hAnsi="Times New Roman" w:eastAsia="宋体" w:cs="Times New Roman"/>
                      <w:color w:val="auto"/>
                      <w:kern w:val="0"/>
                      <w:sz w:val="21"/>
                      <w:szCs w:val="21"/>
                      <w:lang w:val="en-US" w:eastAsia="zh-CN"/>
                    </w:rPr>
                    <w:t>采取重点防渗措施</w:t>
                  </w:r>
                  <w:bookmarkStart w:id="25" w:name="OLE_LINK120"/>
                  <w:bookmarkStart w:id="26" w:name="OLE_LINK169"/>
                  <w:r>
                    <w:rPr>
                      <w:rFonts w:hint="default" w:ascii="Times New Roman" w:hAnsi="Times New Roman" w:eastAsia="宋体" w:cs="Times New Roman"/>
                      <w:color w:val="auto"/>
                      <w:kern w:val="0"/>
                      <w:sz w:val="21"/>
                      <w:szCs w:val="21"/>
                    </w:rPr>
                    <w:t>、设置导流沟和收集池（1m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），配备应急物</w:t>
                  </w:r>
                  <w:bookmarkEnd w:id="25"/>
                  <w:r>
                    <w:rPr>
                      <w:rFonts w:hint="default" w:ascii="Times New Roman" w:hAnsi="Times New Roman" w:eastAsia="宋体" w:cs="Times New Roman"/>
                      <w:color w:val="auto"/>
                      <w:kern w:val="0"/>
                      <w:sz w:val="21"/>
                      <w:szCs w:val="21"/>
                    </w:rPr>
                    <w:t>资</w:t>
                  </w:r>
                  <w:bookmarkEnd w:id="26"/>
                  <w:r>
                    <w:rPr>
                      <w:rFonts w:hint="default" w:ascii="Times New Roman" w:hAnsi="Times New Roman" w:eastAsia="宋体" w:cs="Times New Roman"/>
                      <w:color w:val="auto"/>
                      <w:kern w:val="0"/>
                      <w:sz w:val="21"/>
                      <w:szCs w:val="21"/>
                    </w:rPr>
                    <w:t>、编制突发环境事件应急预案等</w:t>
                  </w:r>
                </w:p>
              </w:tc>
            </w:tr>
            <w:tr w14:paraId="36AC7D2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405" w:type="pct"/>
                  <w:vMerge w:val="continue"/>
                  <w:tcBorders>
                    <w:tl2br w:val="nil"/>
                    <w:tr2bl w:val="nil"/>
                  </w:tcBorders>
                  <w:vAlign w:val="center"/>
                </w:tcPr>
                <w:p w14:paraId="552437C2">
                  <w:pPr>
                    <w:widowControl/>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p>
              </w:tc>
              <w:tc>
                <w:tcPr>
                  <w:tcW w:w="867" w:type="pct"/>
                  <w:gridSpan w:val="2"/>
                  <w:tcBorders>
                    <w:tl2br w:val="nil"/>
                    <w:tr2bl w:val="nil"/>
                  </w:tcBorders>
                  <w:vAlign w:val="center"/>
                </w:tcPr>
                <w:p w14:paraId="697BE6DD">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土壤、地下水</w:t>
                  </w:r>
                </w:p>
              </w:tc>
              <w:tc>
                <w:tcPr>
                  <w:tcW w:w="3727" w:type="pct"/>
                  <w:tcBorders>
                    <w:tl2br w:val="nil"/>
                    <w:tr2bl w:val="nil"/>
                  </w:tcBorders>
                  <w:vAlign w:val="center"/>
                </w:tcPr>
                <w:p w14:paraId="5154A0DF">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bookmarkStart w:id="27" w:name="OLE_LINK159"/>
                  <w:r>
                    <w:rPr>
                      <w:rFonts w:hint="default" w:ascii="Times New Roman" w:hAnsi="Times New Roman" w:eastAsia="宋体" w:cs="Times New Roman"/>
                      <w:color w:val="auto"/>
                      <w:kern w:val="0"/>
                      <w:sz w:val="21"/>
                      <w:szCs w:val="21"/>
                    </w:rPr>
                    <w:t>危废库</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污泥贮存间区</w:t>
                  </w:r>
                  <w:r>
                    <w:rPr>
                      <w:rFonts w:hint="default" w:ascii="Times New Roman" w:hAnsi="Times New Roman" w:eastAsia="宋体" w:cs="Times New Roman"/>
                      <w:color w:val="auto"/>
                      <w:kern w:val="0"/>
                      <w:sz w:val="21"/>
                      <w:szCs w:val="21"/>
                    </w:rPr>
                    <w:t>域进行重点防</w:t>
                  </w:r>
                  <w:bookmarkEnd w:id="27"/>
                  <w:r>
                    <w:rPr>
                      <w:rFonts w:hint="default" w:ascii="Times New Roman" w:hAnsi="Times New Roman" w:eastAsia="宋体" w:cs="Times New Roman"/>
                      <w:color w:val="auto"/>
                      <w:kern w:val="0"/>
                      <w:sz w:val="21"/>
                      <w:szCs w:val="21"/>
                    </w:rPr>
                    <w:t>渗，</w:t>
                  </w:r>
                  <w:r>
                    <w:rPr>
                      <w:rFonts w:hint="default" w:ascii="Times New Roman" w:hAnsi="Times New Roman" w:eastAsia="宋体" w:cs="Times New Roman"/>
                      <w:color w:val="auto"/>
                      <w:kern w:val="0"/>
                      <w:sz w:val="21"/>
                      <w:szCs w:val="21"/>
                      <w:lang w:val="en-US" w:eastAsia="zh-CN"/>
                    </w:rPr>
                    <w:t>原料库</w:t>
                  </w:r>
                  <w:r>
                    <w:rPr>
                      <w:rFonts w:hint="default" w:ascii="Times New Roman" w:hAnsi="Times New Roman" w:eastAsia="宋体" w:cs="Times New Roman"/>
                      <w:color w:val="auto"/>
                      <w:kern w:val="0"/>
                      <w:sz w:val="21"/>
                      <w:szCs w:val="21"/>
                    </w:rPr>
                    <w:t>、</w:t>
                  </w:r>
                  <w:r>
                    <w:rPr>
                      <w:rFonts w:hint="default" w:ascii="Times New Roman" w:hAnsi="Times New Roman" w:eastAsia="宋体" w:cs="Times New Roman"/>
                      <w:color w:val="auto"/>
                      <w:kern w:val="0"/>
                      <w:sz w:val="21"/>
                      <w:szCs w:val="21"/>
                      <w:lang w:val="en-US" w:eastAsia="zh-CN"/>
                    </w:rPr>
                    <w:t>骨料库、各</w:t>
                  </w:r>
                  <w:r>
                    <w:rPr>
                      <w:rFonts w:hint="default" w:ascii="Times New Roman" w:hAnsi="Times New Roman" w:eastAsia="宋体" w:cs="Times New Roman"/>
                      <w:color w:val="auto"/>
                      <w:kern w:val="0"/>
                      <w:sz w:val="21"/>
                      <w:szCs w:val="21"/>
                    </w:rPr>
                    <w:t>生产车间</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一般固废库</w:t>
                  </w:r>
                  <w:r>
                    <w:rPr>
                      <w:rFonts w:hint="default" w:ascii="Times New Roman" w:hAnsi="Times New Roman" w:eastAsia="宋体" w:cs="Times New Roman"/>
                      <w:color w:val="auto"/>
                      <w:kern w:val="0"/>
                      <w:sz w:val="21"/>
                      <w:szCs w:val="21"/>
                    </w:rPr>
                    <w:t>采取一般防渗措施，其他区域采取一般地面硬化措施</w:t>
                  </w:r>
                </w:p>
              </w:tc>
            </w:tr>
          </w:tbl>
          <w:p w14:paraId="454F81A4">
            <w:pPr>
              <w:pStyle w:val="192"/>
              <w:ind w:firstLine="482"/>
              <w:rPr>
                <w:rStyle w:val="190"/>
                <w:rFonts w:hint="default" w:ascii="Times New Roman" w:hAnsi="Times New Roman" w:eastAsia="宋体" w:cs="Times New Roman"/>
                <w:color w:val="auto"/>
                <w:szCs w:val="24"/>
                <w:lang w:val="en-US" w:eastAsia="zh-CN"/>
              </w:rPr>
            </w:pPr>
          </w:p>
          <w:p w14:paraId="1626A352">
            <w:pPr>
              <w:pStyle w:val="192"/>
              <w:ind w:firstLine="482"/>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lang w:val="en-US" w:eastAsia="zh-CN"/>
              </w:rPr>
              <w:t>3</w:t>
            </w:r>
            <w:r>
              <w:rPr>
                <w:rStyle w:val="190"/>
                <w:rFonts w:hint="default" w:ascii="Times New Roman" w:hAnsi="Times New Roman" w:eastAsia="宋体" w:cs="Times New Roman"/>
                <w:color w:val="auto"/>
                <w:szCs w:val="24"/>
              </w:rPr>
              <w:t>.主要原辅材料使用情况及相关要求</w:t>
            </w:r>
          </w:p>
          <w:p w14:paraId="63543948">
            <w:pPr>
              <w:pStyle w:val="189"/>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rPr>
              <w:t>（1）原辅料用量情况</w:t>
            </w:r>
          </w:p>
          <w:p w14:paraId="31267DB6">
            <w:pPr>
              <w:pStyle w:val="189"/>
              <w:ind w:firstLine="480"/>
              <w:rPr>
                <w:rStyle w:val="190"/>
                <w:rFonts w:hint="default" w:ascii="Times New Roman" w:hAnsi="Times New Roman" w:eastAsia="宋体" w:cs="Times New Roman"/>
                <w:color w:val="auto"/>
                <w:szCs w:val="24"/>
                <w:lang w:val="en-US" w:eastAsia="zh-CN"/>
              </w:rPr>
            </w:pPr>
            <w:bookmarkStart w:id="28" w:name="OLE_LINK224"/>
            <w:r>
              <w:rPr>
                <w:rStyle w:val="190"/>
                <w:rFonts w:hint="default" w:ascii="Times New Roman" w:hAnsi="Times New Roman" w:eastAsia="宋体" w:cs="Times New Roman"/>
                <w:color w:val="auto"/>
                <w:szCs w:val="24"/>
                <w:lang w:val="en-US" w:eastAsia="zh-CN"/>
              </w:rPr>
              <w:t>本项目使用50万t/a建筑垃圾生产骨料用于RDF燃料和水稳，原料生产情况见表2-5。</w:t>
            </w:r>
          </w:p>
          <w:p w14:paraId="72092025">
            <w:pPr>
              <w:pStyle w:val="189"/>
              <w:spacing w:line="240" w:lineRule="auto"/>
              <w:ind w:left="0" w:leftChars="0" w:firstLine="0" w:firstLineChars="0"/>
              <w:jc w:val="center"/>
              <w:rPr>
                <w:rStyle w:val="190"/>
                <w:rFonts w:hint="default" w:ascii="Times New Roman" w:hAnsi="Times New Roman" w:eastAsia="宋体" w:cs="Times New Roman"/>
                <w:b/>
                <w:bCs/>
                <w:color w:val="auto"/>
                <w:sz w:val="21"/>
                <w:szCs w:val="21"/>
                <w:lang w:val="en-US" w:eastAsia="zh-CN"/>
              </w:rPr>
            </w:pPr>
            <w:r>
              <w:rPr>
                <w:rStyle w:val="190"/>
                <w:rFonts w:hint="default" w:ascii="Times New Roman" w:hAnsi="Times New Roman" w:eastAsia="宋体" w:cs="Times New Roman"/>
                <w:b/>
                <w:bCs/>
                <w:color w:val="auto"/>
                <w:sz w:val="21"/>
                <w:szCs w:val="21"/>
                <w:lang w:val="en-US" w:eastAsia="zh-CN"/>
              </w:rPr>
              <w:t>表2-5  原料组成情况</w:t>
            </w:r>
          </w:p>
          <w:tbl>
            <w:tblPr>
              <w:tblStyle w:val="34"/>
              <w:tblW w:w="0" w:type="auto"/>
              <w:tblInd w:w="-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93"/>
              <w:gridCol w:w="662"/>
              <w:gridCol w:w="1851"/>
              <w:gridCol w:w="1828"/>
              <w:gridCol w:w="2258"/>
              <w:gridCol w:w="1115"/>
            </w:tblGrid>
            <w:tr w14:paraId="2677FC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Align w:val="center"/>
                </w:tcPr>
                <w:p w14:paraId="2D2705C2">
                  <w:pPr>
                    <w:pStyle w:val="189"/>
                    <w:spacing w:line="240" w:lineRule="auto"/>
                    <w:ind w:firstLine="0" w:firstLineChars="0"/>
                    <w:jc w:val="center"/>
                    <w:rPr>
                      <w:rFonts w:hint="default" w:ascii="Times New Roman" w:hAnsi="Times New Roman" w:eastAsia="宋体" w:cs="Times New Roman"/>
                      <w:b/>
                      <w:bCs/>
                      <w:color w:val="auto"/>
                      <w:sz w:val="21"/>
                      <w:lang w:eastAsia="zh-CN"/>
                    </w:rPr>
                  </w:pPr>
                  <w:r>
                    <w:rPr>
                      <w:rFonts w:hint="default" w:ascii="Times New Roman" w:hAnsi="Times New Roman" w:eastAsia="宋体" w:cs="Times New Roman"/>
                      <w:b/>
                      <w:bCs/>
                      <w:color w:val="auto"/>
                      <w:sz w:val="21"/>
                      <w:lang w:val="en-US" w:eastAsia="zh-CN"/>
                    </w:rPr>
                    <w:t>原料</w:t>
                  </w:r>
                </w:p>
              </w:tc>
              <w:tc>
                <w:tcPr>
                  <w:tcW w:w="662" w:type="dxa"/>
                  <w:vAlign w:val="center"/>
                </w:tcPr>
                <w:p w14:paraId="4184C146">
                  <w:pPr>
                    <w:pStyle w:val="189"/>
                    <w:spacing w:line="240" w:lineRule="auto"/>
                    <w:ind w:firstLine="0" w:firstLineChars="0"/>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原料用量</w:t>
                  </w:r>
                </w:p>
              </w:tc>
              <w:tc>
                <w:tcPr>
                  <w:tcW w:w="1851" w:type="dxa"/>
                  <w:vAlign w:val="center"/>
                </w:tcPr>
                <w:p w14:paraId="25E67631">
                  <w:pPr>
                    <w:pStyle w:val="189"/>
                    <w:spacing w:line="240" w:lineRule="auto"/>
                    <w:ind w:firstLine="0" w:firstLineChars="0"/>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半成品种类</w:t>
                  </w:r>
                </w:p>
              </w:tc>
              <w:tc>
                <w:tcPr>
                  <w:tcW w:w="1828" w:type="dxa"/>
                  <w:vAlign w:val="center"/>
                </w:tcPr>
                <w:p w14:paraId="38654598">
                  <w:pPr>
                    <w:pStyle w:val="189"/>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产能</w:t>
                  </w:r>
                </w:p>
              </w:tc>
              <w:tc>
                <w:tcPr>
                  <w:tcW w:w="2258" w:type="dxa"/>
                  <w:vAlign w:val="center"/>
                </w:tcPr>
                <w:p w14:paraId="725067D6">
                  <w:pPr>
                    <w:pStyle w:val="189"/>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产品质量标准</w:t>
                  </w:r>
                </w:p>
              </w:tc>
              <w:tc>
                <w:tcPr>
                  <w:tcW w:w="1115" w:type="dxa"/>
                  <w:vAlign w:val="center"/>
                </w:tcPr>
                <w:p w14:paraId="2B84C100">
                  <w:pPr>
                    <w:pStyle w:val="189"/>
                    <w:spacing w:line="240" w:lineRule="auto"/>
                    <w:ind w:firstLine="0" w:firstLineChars="0"/>
                    <w:jc w:val="center"/>
                    <w:rPr>
                      <w:rFonts w:hint="default" w:ascii="Times New Roman" w:hAnsi="Times New Roman" w:eastAsia="宋体" w:cs="Times New Roman"/>
                      <w:b/>
                      <w:bCs/>
                      <w:color w:val="auto"/>
                      <w:sz w:val="21"/>
                    </w:rPr>
                  </w:pPr>
                  <w:r>
                    <w:rPr>
                      <w:rFonts w:hint="default" w:ascii="Times New Roman" w:hAnsi="Times New Roman" w:eastAsia="宋体" w:cs="Times New Roman"/>
                      <w:b/>
                      <w:bCs/>
                      <w:color w:val="auto"/>
                      <w:sz w:val="21"/>
                    </w:rPr>
                    <w:t>备注</w:t>
                  </w:r>
                </w:p>
              </w:tc>
            </w:tr>
            <w:tr w14:paraId="34585D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Merge w:val="restart"/>
                  <w:vAlign w:val="center"/>
                </w:tcPr>
                <w:p w14:paraId="219F2016">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建筑、装修垃圾</w:t>
                  </w:r>
                </w:p>
              </w:tc>
              <w:tc>
                <w:tcPr>
                  <w:tcW w:w="662" w:type="dxa"/>
                  <w:vMerge w:val="restart"/>
                  <w:vAlign w:val="center"/>
                </w:tcPr>
                <w:p w14:paraId="54661623">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50万t/a</w:t>
                  </w:r>
                </w:p>
              </w:tc>
              <w:tc>
                <w:tcPr>
                  <w:tcW w:w="1851" w:type="dxa"/>
                  <w:vAlign w:val="center"/>
                </w:tcPr>
                <w:p w14:paraId="4C6CA805">
                  <w:pPr>
                    <w:pStyle w:val="189"/>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石屑</w:t>
                  </w:r>
                  <w:r>
                    <w:rPr>
                      <w:rFonts w:hint="default" w:ascii="Times New Roman" w:hAnsi="Times New Roman" w:eastAsia="宋体" w:cs="Times New Roman"/>
                      <w:color w:val="auto"/>
                      <w:sz w:val="21"/>
                    </w:rPr>
                    <w:t>0-5mm</w:t>
                  </w:r>
                </w:p>
              </w:tc>
              <w:tc>
                <w:tcPr>
                  <w:tcW w:w="1828" w:type="dxa"/>
                  <w:vAlign w:val="center"/>
                </w:tcPr>
                <w:p w14:paraId="71451435">
                  <w:pPr>
                    <w:pStyle w:val="189"/>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87900吨/年</w:t>
                  </w:r>
                </w:p>
              </w:tc>
              <w:tc>
                <w:tcPr>
                  <w:tcW w:w="2258" w:type="dxa"/>
                  <w:vMerge w:val="restart"/>
                  <w:vAlign w:val="center"/>
                </w:tcPr>
                <w:p w14:paraId="2484E28D">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eastAsia="zh-CN"/>
                    </w:rPr>
                    <w:t>《道路用建筑垃圾 再生骨料无机混合料》（JCT2281-2014）</w:t>
                  </w:r>
                </w:p>
              </w:tc>
              <w:tc>
                <w:tcPr>
                  <w:tcW w:w="1115" w:type="dxa"/>
                  <w:vMerge w:val="restart"/>
                  <w:vAlign w:val="center"/>
                </w:tcPr>
                <w:p w14:paraId="68B7E86E">
                  <w:pPr>
                    <w:pStyle w:val="189"/>
                    <w:spacing w:line="240" w:lineRule="auto"/>
                    <w:ind w:firstLine="0" w:firstLineChars="0"/>
                    <w:jc w:val="both"/>
                    <w:rPr>
                      <w:rFonts w:hint="default" w:ascii="Times New Roman" w:hAnsi="Times New Roman" w:eastAsia="宋体" w:cs="Times New Roman"/>
                      <w:color w:val="auto"/>
                      <w:sz w:val="21"/>
                      <w:lang w:val="en-US" w:eastAsia="zh-CN"/>
                    </w:rPr>
                  </w:pPr>
                </w:p>
                <w:p w14:paraId="5139D0CC">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用于水稳</w:t>
                  </w:r>
                </w:p>
                <w:p w14:paraId="14DBB1A0">
                  <w:pPr>
                    <w:pStyle w:val="189"/>
                    <w:spacing w:line="240" w:lineRule="auto"/>
                    <w:ind w:firstLine="0" w:firstLineChars="0"/>
                    <w:jc w:val="both"/>
                    <w:rPr>
                      <w:rFonts w:hint="default" w:ascii="Times New Roman" w:hAnsi="Times New Roman" w:eastAsia="宋体" w:cs="Times New Roman"/>
                      <w:color w:val="auto"/>
                      <w:sz w:val="21"/>
                      <w:lang w:val="en-US" w:eastAsia="zh-CN"/>
                    </w:rPr>
                  </w:pPr>
                </w:p>
              </w:tc>
            </w:tr>
            <w:tr w14:paraId="35124B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Merge w:val="continue"/>
                  <w:vAlign w:val="center"/>
                </w:tcPr>
                <w:p w14:paraId="40EA54EF">
                  <w:pPr>
                    <w:pStyle w:val="189"/>
                    <w:spacing w:line="240" w:lineRule="auto"/>
                    <w:ind w:firstLine="0" w:firstLineChars="0"/>
                    <w:jc w:val="center"/>
                    <w:rPr>
                      <w:rFonts w:hint="default" w:ascii="Times New Roman" w:hAnsi="Times New Roman" w:eastAsia="宋体" w:cs="Times New Roman"/>
                      <w:color w:val="auto"/>
                      <w:sz w:val="21"/>
                    </w:rPr>
                  </w:pPr>
                </w:p>
              </w:tc>
              <w:tc>
                <w:tcPr>
                  <w:tcW w:w="662" w:type="dxa"/>
                  <w:vMerge w:val="continue"/>
                  <w:vAlign w:val="center"/>
                </w:tcPr>
                <w:p w14:paraId="2F69F450">
                  <w:pPr>
                    <w:pStyle w:val="189"/>
                    <w:spacing w:line="240" w:lineRule="auto"/>
                    <w:ind w:firstLine="0" w:firstLineChars="0"/>
                    <w:jc w:val="center"/>
                    <w:rPr>
                      <w:rFonts w:hint="default" w:ascii="Times New Roman" w:hAnsi="Times New Roman" w:eastAsia="宋体" w:cs="Times New Roman"/>
                      <w:color w:val="auto"/>
                      <w:sz w:val="21"/>
                    </w:rPr>
                  </w:pPr>
                </w:p>
              </w:tc>
              <w:tc>
                <w:tcPr>
                  <w:tcW w:w="1851" w:type="dxa"/>
                  <w:vAlign w:val="center"/>
                </w:tcPr>
                <w:p w14:paraId="72A956AF">
                  <w:pPr>
                    <w:pStyle w:val="189"/>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小碎石</w:t>
                  </w:r>
                  <w:r>
                    <w:rPr>
                      <w:rFonts w:hint="default" w:ascii="Times New Roman" w:hAnsi="Times New Roman" w:eastAsia="宋体" w:cs="Times New Roman"/>
                      <w:color w:val="auto"/>
                      <w:sz w:val="21"/>
                    </w:rPr>
                    <w:t>5-10mm</w:t>
                  </w:r>
                </w:p>
              </w:tc>
              <w:tc>
                <w:tcPr>
                  <w:tcW w:w="1828" w:type="dxa"/>
                  <w:vAlign w:val="center"/>
                </w:tcPr>
                <w:p w14:paraId="53B1BE63">
                  <w:pPr>
                    <w:pStyle w:val="189"/>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60000吨/年</w:t>
                  </w:r>
                </w:p>
              </w:tc>
              <w:tc>
                <w:tcPr>
                  <w:tcW w:w="2258" w:type="dxa"/>
                  <w:vMerge w:val="continue"/>
                  <w:vAlign w:val="center"/>
                </w:tcPr>
                <w:p w14:paraId="2D635272">
                  <w:pPr>
                    <w:pStyle w:val="189"/>
                    <w:spacing w:line="240" w:lineRule="auto"/>
                    <w:ind w:firstLine="0" w:firstLineChars="0"/>
                    <w:jc w:val="center"/>
                    <w:rPr>
                      <w:rFonts w:hint="default" w:ascii="Times New Roman" w:hAnsi="Times New Roman" w:eastAsia="宋体" w:cs="Times New Roman"/>
                      <w:color w:val="auto"/>
                      <w:sz w:val="21"/>
                    </w:rPr>
                  </w:pPr>
                </w:p>
              </w:tc>
              <w:tc>
                <w:tcPr>
                  <w:tcW w:w="1115" w:type="dxa"/>
                  <w:vMerge w:val="continue"/>
                  <w:vAlign w:val="center"/>
                </w:tcPr>
                <w:p w14:paraId="2BF648A0">
                  <w:pPr>
                    <w:pStyle w:val="189"/>
                    <w:spacing w:line="240" w:lineRule="auto"/>
                    <w:ind w:firstLine="0" w:firstLineChars="0"/>
                    <w:jc w:val="center"/>
                    <w:rPr>
                      <w:rFonts w:hint="default" w:ascii="Times New Roman" w:hAnsi="Times New Roman" w:eastAsia="宋体" w:cs="Times New Roman"/>
                      <w:color w:val="auto"/>
                      <w:sz w:val="21"/>
                      <w:lang w:val="en-US" w:eastAsia="zh-CN"/>
                    </w:rPr>
                  </w:pPr>
                </w:p>
              </w:tc>
            </w:tr>
            <w:tr w14:paraId="157146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Merge w:val="continue"/>
                  <w:vAlign w:val="center"/>
                </w:tcPr>
                <w:p w14:paraId="2B34324C">
                  <w:pPr>
                    <w:pStyle w:val="189"/>
                    <w:spacing w:line="240" w:lineRule="auto"/>
                    <w:ind w:firstLine="0" w:firstLineChars="0"/>
                    <w:jc w:val="center"/>
                    <w:rPr>
                      <w:rFonts w:hint="default" w:ascii="Times New Roman" w:hAnsi="Times New Roman" w:eastAsia="宋体" w:cs="Times New Roman"/>
                      <w:color w:val="auto"/>
                      <w:sz w:val="21"/>
                    </w:rPr>
                  </w:pPr>
                </w:p>
              </w:tc>
              <w:tc>
                <w:tcPr>
                  <w:tcW w:w="662" w:type="dxa"/>
                  <w:vMerge w:val="continue"/>
                  <w:vAlign w:val="center"/>
                </w:tcPr>
                <w:p w14:paraId="014FF155">
                  <w:pPr>
                    <w:pStyle w:val="189"/>
                    <w:spacing w:line="240" w:lineRule="auto"/>
                    <w:ind w:firstLine="0" w:firstLineChars="0"/>
                    <w:jc w:val="center"/>
                    <w:rPr>
                      <w:rFonts w:hint="default" w:ascii="Times New Roman" w:hAnsi="Times New Roman" w:eastAsia="宋体" w:cs="Times New Roman"/>
                      <w:color w:val="auto"/>
                      <w:sz w:val="21"/>
                    </w:rPr>
                  </w:pPr>
                </w:p>
              </w:tc>
              <w:tc>
                <w:tcPr>
                  <w:tcW w:w="1851" w:type="dxa"/>
                  <w:vAlign w:val="center"/>
                </w:tcPr>
                <w:p w14:paraId="122A26DE">
                  <w:pPr>
                    <w:pStyle w:val="189"/>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大碎石10</w:t>
                  </w:r>
                  <w:r>
                    <w:rPr>
                      <w:rFonts w:hint="default" w:ascii="Times New Roman" w:hAnsi="Times New Roman" w:eastAsia="宋体" w:cs="Times New Roman"/>
                      <w:color w:val="auto"/>
                      <w:sz w:val="21"/>
                    </w:rPr>
                    <w:t>-</w:t>
                  </w:r>
                  <w:r>
                    <w:rPr>
                      <w:rFonts w:hint="default" w:ascii="Times New Roman" w:hAnsi="Times New Roman" w:eastAsia="宋体" w:cs="Times New Roman"/>
                      <w:color w:val="auto"/>
                      <w:sz w:val="21"/>
                      <w:lang w:val="en-US" w:eastAsia="zh-CN"/>
                    </w:rPr>
                    <w:t>25</w:t>
                  </w:r>
                  <w:r>
                    <w:rPr>
                      <w:rFonts w:hint="default" w:ascii="Times New Roman" w:hAnsi="Times New Roman" w:eastAsia="宋体" w:cs="Times New Roman"/>
                      <w:color w:val="auto"/>
                      <w:sz w:val="21"/>
                    </w:rPr>
                    <w:t>mm</w:t>
                  </w:r>
                </w:p>
              </w:tc>
              <w:tc>
                <w:tcPr>
                  <w:tcW w:w="1828" w:type="dxa"/>
                  <w:vAlign w:val="center"/>
                </w:tcPr>
                <w:p w14:paraId="403E6FAF">
                  <w:pPr>
                    <w:pStyle w:val="189"/>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120000吨/年</w:t>
                  </w:r>
                </w:p>
              </w:tc>
              <w:tc>
                <w:tcPr>
                  <w:tcW w:w="2258" w:type="dxa"/>
                  <w:vMerge w:val="continue"/>
                  <w:vAlign w:val="center"/>
                </w:tcPr>
                <w:p w14:paraId="6CCB49E2">
                  <w:pPr>
                    <w:pStyle w:val="189"/>
                    <w:spacing w:line="240" w:lineRule="auto"/>
                    <w:ind w:firstLine="0" w:firstLineChars="0"/>
                    <w:jc w:val="center"/>
                    <w:rPr>
                      <w:rFonts w:hint="default" w:ascii="Times New Roman" w:hAnsi="Times New Roman" w:eastAsia="宋体" w:cs="Times New Roman"/>
                      <w:color w:val="auto"/>
                      <w:sz w:val="21"/>
                    </w:rPr>
                  </w:pPr>
                </w:p>
              </w:tc>
              <w:tc>
                <w:tcPr>
                  <w:tcW w:w="1115" w:type="dxa"/>
                  <w:vMerge w:val="continue"/>
                  <w:vAlign w:val="center"/>
                </w:tcPr>
                <w:p w14:paraId="4D32F2A6">
                  <w:pPr>
                    <w:pStyle w:val="189"/>
                    <w:spacing w:line="240" w:lineRule="auto"/>
                    <w:ind w:firstLine="0" w:firstLineChars="0"/>
                    <w:jc w:val="center"/>
                    <w:rPr>
                      <w:rFonts w:hint="default" w:ascii="Times New Roman" w:hAnsi="Times New Roman" w:eastAsia="宋体" w:cs="Times New Roman"/>
                      <w:color w:val="auto"/>
                      <w:sz w:val="21"/>
                      <w:lang w:val="en-US" w:eastAsia="zh-CN"/>
                    </w:rPr>
                  </w:pPr>
                </w:p>
              </w:tc>
            </w:tr>
            <w:tr w14:paraId="1322C6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Merge w:val="continue"/>
                  <w:vAlign w:val="center"/>
                </w:tcPr>
                <w:p w14:paraId="1E1D6B49">
                  <w:pPr>
                    <w:pStyle w:val="189"/>
                    <w:spacing w:line="240" w:lineRule="auto"/>
                    <w:ind w:firstLine="0" w:firstLineChars="0"/>
                    <w:jc w:val="center"/>
                    <w:rPr>
                      <w:rFonts w:hint="default" w:ascii="Times New Roman" w:hAnsi="Times New Roman" w:eastAsia="宋体" w:cs="Times New Roman"/>
                      <w:color w:val="auto"/>
                      <w:sz w:val="21"/>
                    </w:rPr>
                  </w:pPr>
                </w:p>
              </w:tc>
              <w:tc>
                <w:tcPr>
                  <w:tcW w:w="662" w:type="dxa"/>
                  <w:vMerge w:val="continue"/>
                  <w:vAlign w:val="center"/>
                </w:tcPr>
                <w:p w14:paraId="494949B9">
                  <w:pPr>
                    <w:pStyle w:val="189"/>
                    <w:spacing w:line="240" w:lineRule="auto"/>
                    <w:ind w:firstLine="0" w:firstLineChars="0"/>
                    <w:jc w:val="center"/>
                    <w:rPr>
                      <w:rFonts w:hint="default" w:ascii="Times New Roman" w:hAnsi="Times New Roman" w:eastAsia="宋体" w:cs="Times New Roman"/>
                      <w:color w:val="auto"/>
                      <w:sz w:val="21"/>
                    </w:rPr>
                  </w:pPr>
                </w:p>
              </w:tc>
              <w:tc>
                <w:tcPr>
                  <w:tcW w:w="1851" w:type="dxa"/>
                  <w:vAlign w:val="center"/>
                </w:tcPr>
                <w:p w14:paraId="107E2632">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szCs w:val="21"/>
                      <w:lang w:val="en-US" w:eastAsia="zh-CN"/>
                    </w:rPr>
                    <w:t>木材</w:t>
                  </w:r>
                </w:p>
              </w:tc>
              <w:tc>
                <w:tcPr>
                  <w:tcW w:w="1828" w:type="dxa"/>
                  <w:vAlign w:val="center"/>
                </w:tcPr>
                <w:p w14:paraId="50A2FC78">
                  <w:pPr>
                    <w:pStyle w:val="189"/>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80000吨/年</w:t>
                  </w:r>
                </w:p>
              </w:tc>
              <w:tc>
                <w:tcPr>
                  <w:tcW w:w="2258" w:type="dxa"/>
                  <w:vAlign w:val="center"/>
                </w:tcPr>
                <w:p w14:paraId="03DCB7D8">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w:t>
                  </w:r>
                </w:p>
              </w:tc>
              <w:tc>
                <w:tcPr>
                  <w:tcW w:w="1115" w:type="dxa"/>
                  <w:vMerge w:val="restart"/>
                  <w:vAlign w:val="center"/>
                </w:tcPr>
                <w:p w14:paraId="1D766F86">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用于RDF燃料</w:t>
                  </w:r>
                </w:p>
              </w:tc>
            </w:tr>
            <w:tr w14:paraId="43D015F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Merge w:val="continue"/>
                  <w:vAlign w:val="center"/>
                </w:tcPr>
                <w:p w14:paraId="3358B48C">
                  <w:pPr>
                    <w:pStyle w:val="189"/>
                    <w:spacing w:line="240" w:lineRule="auto"/>
                    <w:ind w:firstLine="0" w:firstLineChars="0"/>
                    <w:jc w:val="center"/>
                    <w:rPr>
                      <w:rFonts w:hint="default" w:ascii="Times New Roman" w:hAnsi="Times New Roman" w:eastAsia="宋体" w:cs="Times New Roman"/>
                      <w:color w:val="auto"/>
                      <w:sz w:val="21"/>
                    </w:rPr>
                  </w:pPr>
                </w:p>
              </w:tc>
              <w:tc>
                <w:tcPr>
                  <w:tcW w:w="662" w:type="dxa"/>
                  <w:vMerge w:val="continue"/>
                  <w:vAlign w:val="center"/>
                </w:tcPr>
                <w:p w14:paraId="7AB86C06">
                  <w:pPr>
                    <w:pStyle w:val="189"/>
                    <w:spacing w:line="240" w:lineRule="auto"/>
                    <w:ind w:firstLine="0" w:firstLineChars="0"/>
                    <w:jc w:val="center"/>
                    <w:rPr>
                      <w:rFonts w:hint="default" w:ascii="Times New Roman" w:hAnsi="Times New Roman" w:eastAsia="宋体" w:cs="Times New Roman"/>
                      <w:color w:val="auto"/>
                      <w:sz w:val="21"/>
                    </w:rPr>
                  </w:pPr>
                </w:p>
              </w:tc>
              <w:tc>
                <w:tcPr>
                  <w:tcW w:w="1851" w:type="dxa"/>
                  <w:vAlign w:val="center"/>
                </w:tcPr>
                <w:p w14:paraId="61CFA5AC">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szCs w:val="21"/>
                      <w:lang w:val="en-US" w:eastAsia="zh-CN"/>
                    </w:rPr>
                    <w:t>废布头</w:t>
                  </w:r>
                </w:p>
              </w:tc>
              <w:tc>
                <w:tcPr>
                  <w:tcW w:w="1828" w:type="dxa"/>
                  <w:vAlign w:val="center"/>
                </w:tcPr>
                <w:p w14:paraId="2174C9F9">
                  <w:pPr>
                    <w:pStyle w:val="189"/>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60000吨/年</w:t>
                  </w:r>
                </w:p>
              </w:tc>
              <w:tc>
                <w:tcPr>
                  <w:tcW w:w="2258" w:type="dxa"/>
                  <w:vAlign w:val="center"/>
                </w:tcPr>
                <w:p w14:paraId="08E2DDF7">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w:t>
                  </w:r>
                </w:p>
              </w:tc>
              <w:tc>
                <w:tcPr>
                  <w:tcW w:w="1115" w:type="dxa"/>
                  <w:vMerge w:val="continue"/>
                  <w:vAlign w:val="center"/>
                </w:tcPr>
                <w:p w14:paraId="01A3FD2D">
                  <w:pPr>
                    <w:pStyle w:val="189"/>
                    <w:spacing w:line="240" w:lineRule="auto"/>
                    <w:ind w:firstLine="0" w:firstLineChars="0"/>
                    <w:jc w:val="center"/>
                    <w:rPr>
                      <w:rFonts w:hint="default" w:ascii="Times New Roman" w:hAnsi="Times New Roman" w:eastAsia="宋体" w:cs="Times New Roman"/>
                      <w:color w:val="auto"/>
                      <w:sz w:val="21"/>
                      <w:lang w:val="en-US" w:eastAsia="zh-CN"/>
                    </w:rPr>
                  </w:pPr>
                </w:p>
              </w:tc>
            </w:tr>
            <w:tr w14:paraId="0035DC3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Merge w:val="continue"/>
                  <w:vAlign w:val="center"/>
                </w:tcPr>
                <w:p w14:paraId="1FA324C1">
                  <w:pPr>
                    <w:pStyle w:val="189"/>
                    <w:spacing w:line="240" w:lineRule="auto"/>
                    <w:ind w:firstLine="0" w:firstLineChars="0"/>
                    <w:jc w:val="center"/>
                    <w:rPr>
                      <w:rFonts w:hint="default" w:ascii="Times New Roman" w:hAnsi="Times New Roman" w:eastAsia="宋体" w:cs="Times New Roman"/>
                      <w:color w:val="auto"/>
                      <w:sz w:val="21"/>
                    </w:rPr>
                  </w:pPr>
                </w:p>
              </w:tc>
              <w:tc>
                <w:tcPr>
                  <w:tcW w:w="662" w:type="dxa"/>
                  <w:vMerge w:val="continue"/>
                  <w:vAlign w:val="center"/>
                </w:tcPr>
                <w:p w14:paraId="528F3578">
                  <w:pPr>
                    <w:pStyle w:val="189"/>
                    <w:spacing w:line="240" w:lineRule="auto"/>
                    <w:ind w:firstLine="0" w:firstLineChars="0"/>
                    <w:jc w:val="center"/>
                    <w:rPr>
                      <w:rFonts w:hint="default" w:ascii="Times New Roman" w:hAnsi="Times New Roman" w:eastAsia="宋体" w:cs="Times New Roman"/>
                      <w:color w:val="auto"/>
                      <w:sz w:val="21"/>
                    </w:rPr>
                  </w:pPr>
                </w:p>
              </w:tc>
              <w:tc>
                <w:tcPr>
                  <w:tcW w:w="1851" w:type="dxa"/>
                  <w:vAlign w:val="center"/>
                </w:tcPr>
                <w:p w14:paraId="17834DAF">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szCs w:val="21"/>
                      <w:lang w:val="en-US" w:eastAsia="zh-CN"/>
                    </w:rPr>
                    <w:t>纸皮</w:t>
                  </w:r>
                </w:p>
              </w:tc>
              <w:tc>
                <w:tcPr>
                  <w:tcW w:w="1828" w:type="dxa"/>
                  <w:vAlign w:val="center"/>
                </w:tcPr>
                <w:p w14:paraId="18B108DF">
                  <w:pPr>
                    <w:pStyle w:val="189"/>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40000吨/年</w:t>
                  </w:r>
                </w:p>
              </w:tc>
              <w:tc>
                <w:tcPr>
                  <w:tcW w:w="2258" w:type="dxa"/>
                  <w:vAlign w:val="center"/>
                </w:tcPr>
                <w:p w14:paraId="143B99AB">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w:t>
                  </w:r>
                </w:p>
              </w:tc>
              <w:tc>
                <w:tcPr>
                  <w:tcW w:w="1115" w:type="dxa"/>
                  <w:vMerge w:val="continue"/>
                  <w:vAlign w:val="center"/>
                </w:tcPr>
                <w:p w14:paraId="7A6C5E9C">
                  <w:pPr>
                    <w:pStyle w:val="189"/>
                    <w:spacing w:line="240" w:lineRule="auto"/>
                    <w:ind w:firstLine="0" w:firstLineChars="0"/>
                    <w:jc w:val="center"/>
                    <w:rPr>
                      <w:rFonts w:hint="default" w:ascii="Times New Roman" w:hAnsi="Times New Roman" w:eastAsia="宋体" w:cs="Times New Roman"/>
                      <w:color w:val="auto"/>
                      <w:sz w:val="21"/>
                      <w:lang w:val="en-US" w:eastAsia="zh-CN"/>
                    </w:rPr>
                  </w:pPr>
                </w:p>
              </w:tc>
            </w:tr>
            <w:tr w14:paraId="6A47ED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Merge w:val="continue"/>
                  <w:vAlign w:val="center"/>
                </w:tcPr>
                <w:p w14:paraId="5FBFFBB0">
                  <w:pPr>
                    <w:pStyle w:val="189"/>
                    <w:spacing w:line="240" w:lineRule="auto"/>
                    <w:ind w:firstLine="0" w:firstLineChars="0"/>
                    <w:jc w:val="center"/>
                    <w:rPr>
                      <w:rFonts w:hint="default" w:ascii="Times New Roman" w:hAnsi="Times New Roman" w:eastAsia="宋体" w:cs="Times New Roman"/>
                      <w:color w:val="auto"/>
                      <w:sz w:val="21"/>
                    </w:rPr>
                  </w:pPr>
                </w:p>
              </w:tc>
              <w:tc>
                <w:tcPr>
                  <w:tcW w:w="662" w:type="dxa"/>
                  <w:vMerge w:val="continue"/>
                  <w:vAlign w:val="center"/>
                </w:tcPr>
                <w:p w14:paraId="7F8F43D0">
                  <w:pPr>
                    <w:pStyle w:val="189"/>
                    <w:spacing w:line="240" w:lineRule="auto"/>
                    <w:ind w:firstLine="0" w:firstLineChars="0"/>
                    <w:jc w:val="center"/>
                    <w:rPr>
                      <w:rFonts w:hint="default" w:ascii="Times New Roman" w:hAnsi="Times New Roman" w:eastAsia="宋体" w:cs="Times New Roman"/>
                      <w:color w:val="auto"/>
                      <w:sz w:val="21"/>
                    </w:rPr>
                  </w:pPr>
                </w:p>
              </w:tc>
              <w:tc>
                <w:tcPr>
                  <w:tcW w:w="1851" w:type="dxa"/>
                  <w:vAlign w:val="center"/>
                </w:tcPr>
                <w:p w14:paraId="15EB7F5D">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渣土</w:t>
                  </w:r>
                </w:p>
              </w:tc>
              <w:tc>
                <w:tcPr>
                  <w:tcW w:w="1828" w:type="dxa"/>
                  <w:vAlign w:val="center"/>
                </w:tcPr>
                <w:p w14:paraId="0D749386">
                  <w:pPr>
                    <w:pStyle w:val="189"/>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50000吨/年</w:t>
                  </w:r>
                </w:p>
              </w:tc>
              <w:tc>
                <w:tcPr>
                  <w:tcW w:w="2258" w:type="dxa"/>
                  <w:vAlign w:val="center"/>
                </w:tcPr>
                <w:p w14:paraId="592AF84D">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w:t>
                  </w:r>
                </w:p>
              </w:tc>
              <w:tc>
                <w:tcPr>
                  <w:tcW w:w="1115" w:type="dxa"/>
                  <w:vMerge w:val="restart"/>
                  <w:vAlign w:val="center"/>
                </w:tcPr>
                <w:p w14:paraId="36DF97F3">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综合利用</w:t>
                  </w:r>
                </w:p>
              </w:tc>
            </w:tr>
            <w:tr w14:paraId="788D3A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93" w:type="dxa"/>
                  <w:vMerge w:val="continue"/>
                  <w:vAlign w:val="center"/>
                </w:tcPr>
                <w:p w14:paraId="1F1CF6D0">
                  <w:pPr>
                    <w:pStyle w:val="189"/>
                    <w:spacing w:line="240" w:lineRule="auto"/>
                    <w:ind w:firstLine="0" w:firstLineChars="0"/>
                    <w:jc w:val="center"/>
                    <w:rPr>
                      <w:rFonts w:hint="default" w:ascii="Times New Roman" w:hAnsi="Times New Roman" w:eastAsia="宋体" w:cs="Times New Roman"/>
                      <w:color w:val="auto"/>
                      <w:sz w:val="21"/>
                    </w:rPr>
                  </w:pPr>
                </w:p>
              </w:tc>
              <w:tc>
                <w:tcPr>
                  <w:tcW w:w="662" w:type="dxa"/>
                  <w:vMerge w:val="continue"/>
                  <w:vAlign w:val="center"/>
                </w:tcPr>
                <w:p w14:paraId="59DB4E17">
                  <w:pPr>
                    <w:pStyle w:val="189"/>
                    <w:spacing w:line="240" w:lineRule="auto"/>
                    <w:ind w:firstLine="0" w:firstLineChars="0"/>
                    <w:jc w:val="center"/>
                    <w:rPr>
                      <w:rFonts w:hint="default" w:ascii="Times New Roman" w:hAnsi="Times New Roman" w:eastAsia="宋体" w:cs="Times New Roman"/>
                      <w:color w:val="auto"/>
                      <w:sz w:val="21"/>
                    </w:rPr>
                  </w:pPr>
                </w:p>
              </w:tc>
              <w:tc>
                <w:tcPr>
                  <w:tcW w:w="1851" w:type="dxa"/>
                  <w:vAlign w:val="center"/>
                </w:tcPr>
                <w:p w14:paraId="5BB84111">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塑料、玻璃、除尘灰等</w:t>
                  </w:r>
                </w:p>
              </w:tc>
              <w:tc>
                <w:tcPr>
                  <w:tcW w:w="1828" w:type="dxa"/>
                  <w:vAlign w:val="center"/>
                </w:tcPr>
                <w:p w14:paraId="62653FF6">
                  <w:pPr>
                    <w:pStyle w:val="189"/>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约2100吨/年</w:t>
                  </w:r>
                </w:p>
              </w:tc>
              <w:tc>
                <w:tcPr>
                  <w:tcW w:w="2258" w:type="dxa"/>
                  <w:vAlign w:val="center"/>
                </w:tcPr>
                <w:p w14:paraId="01A09E16">
                  <w:pPr>
                    <w:pStyle w:val="189"/>
                    <w:spacing w:line="240" w:lineRule="auto"/>
                    <w:ind w:firstLine="0" w:firstLineChars="0"/>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w:t>
                  </w:r>
                </w:p>
              </w:tc>
              <w:tc>
                <w:tcPr>
                  <w:tcW w:w="1115" w:type="dxa"/>
                  <w:vMerge w:val="continue"/>
                  <w:vAlign w:val="center"/>
                </w:tcPr>
                <w:p w14:paraId="6DA59CBA">
                  <w:pPr>
                    <w:pStyle w:val="189"/>
                    <w:spacing w:line="240" w:lineRule="auto"/>
                    <w:ind w:firstLine="0" w:firstLineChars="0"/>
                    <w:jc w:val="center"/>
                    <w:rPr>
                      <w:rFonts w:hint="default" w:ascii="Times New Roman" w:hAnsi="Times New Roman" w:eastAsia="宋体" w:cs="Times New Roman"/>
                      <w:color w:val="auto"/>
                      <w:sz w:val="21"/>
                      <w:lang w:val="en-US" w:eastAsia="zh-CN"/>
                    </w:rPr>
                  </w:pPr>
                </w:p>
              </w:tc>
            </w:tr>
          </w:tbl>
          <w:p w14:paraId="34CA44F0">
            <w:pPr>
              <w:pStyle w:val="189"/>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rPr>
              <w:t>本项目原辅材料及能源消耗情况见表2-</w:t>
            </w:r>
            <w:r>
              <w:rPr>
                <w:rStyle w:val="190"/>
                <w:rFonts w:hint="default" w:ascii="Times New Roman" w:hAnsi="Times New Roman" w:eastAsia="宋体" w:cs="Times New Roman"/>
                <w:color w:val="auto"/>
                <w:szCs w:val="24"/>
                <w:lang w:val="en-US" w:eastAsia="zh-CN"/>
              </w:rPr>
              <w:t>6</w:t>
            </w:r>
            <w:r>
              <w:rPr>
                <w:rStyle w:val="190"/>
                <w:rFonts w:hint="default" w:ascii="Times New Roman" w:hAnsi="Times New Roman" w:eastAsia="宋体" w:cs="Times New Roman"/>
                <w:color w:val="auto"/>
                <w:szCs w:val="24"/>
              </w:rPr>
              <w:t>。</w:t>
            </w:r>
          </w:p>
          <w:p w14:paraId="2CB180F1">
            <w:pPr>
              <w:pStyle w:val="59"/>
              <w:keepNext w:val="0"/>
              <w:keepLines w:val="0"/>
              <w:pageBreakBefore w:val="0"/>
              <w:widowControl/>
              <w:kinsoku/>
              <w:wordWrap/>
              <w:overflowPunct/>
              <w:topLinePunct w:val="0"/>
              <w:autoSpaceDE/>
              <w:autoSpaceDN/>
              <w:bidi w:val="0"/>
              <w:adjustRightInd w:val="0"/>
              <w:snapToGrid w:val="0"/>
              <w:spacing w:line="240" w:lineRule="auto"/>
              <w:ind w:firstLine="482"/>
              <w:textAlignment w:val="auto"/>
              <w:rPr>
                <w:rFonts w:hint="default" w:ascii="Times New Roman" w:hAnsi="Times New Roman" w:eastAsia="宋体" w:cs="Times New Roman"/>
                <w:color w:val="auto"/>
                <w:sz w:val="21"/>
                <w:szCs w:val="22"/>
              </w:rPr>
            </w:pPr>
            <w:bookmarkStart w:id="29" w:name="_Hlk171981301"/>
            <w:r>
              <w:rPr>
                <w:rFonts w:hint="default" w:ascii="Times New Roman" w:hAnsi="Times New Roman" w:eastAsia="宋体" w:cs="Times New Roman"/>
                <w:color w:val="auto"/>
                <w:sz w:val="21"/>
                <w:szCs w:val="22"/>
              </w:rPr>
              <w:t>表2-</w:t>
            </w:r>
            <w:r>
              <w:rPr>
                <w:rFonts w:hint="default" w:ascii="Times New Roman" w:hAnsi="Times New Roman" w:eastAsia="宋体" w:cs="Times New Roman"/>
                <w:color w:val="auto"/>
                <w:sz w:val="21"/>
                <w:szCs w:val="22"/>
                <w:lang w:val="en-US" w:eastAsia="zh-CN"/>
              </w:rPr>
              <w:t>6</w:t>
            </w:r>
            <w:r>
              <w:rPr>
                <w:rFonts w:hint="default" w:ascii="Times New Roman" w:hAnsi="Times New Roman" w:eastAsia="宋体" w:cs="Times New Roman"/>
                <w:color w:val="auto"/>
                <w:sz w:val="21"/>
                <w:szCs w:val="22"/>
              </w:rPr>
              <w:t xml:space="preserve">  原辅材料及能源消耗一览表</w:t>
            </w:r>
          </w:p>
          <w:tbl>
            <w:tblPr>
              <w:tblStyle w:val="34"/>
              <w:tblW w:w="4994" w:type="pct"/>
              <w:tblInd w:w="-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112"/>
              <w:gridCol w:w="1193"/>
              <w:gridCol w:w="1189"/>
              <w:gridCol w:w="1253"/>
              <w:gridCol w:w="1269"/>
              <w:gridCol w:w="1368"/>
              <w:gridCol w:w="1217"/>
            </w:tblGrid>
            <w:tr w14:paraId="05388A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20" w:hRule="atLeast"/>
              </w:trPr>
              <w:tc>
                <w:tcPr>
                  <w:tcW w:w="646" w:type="pct"/>
                  <w:vAlign w:val="center"/>
                </w:tcPr>
                <w:p w14:paraId="0290BBB0">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生产工序</w:t>
                  </w:r>
                </w:p>
              </w:tc>
              <w:tc>
                <w:tcPr>
                  <w:tcW w:w="693" w:type="pct"/>
                  <w:vAlign w:val="center"/>
                </w:tcPr>
                <w:p w14:paraId="6CD0DBDE">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名称</w:t>
                  </w:r>
                </w:p>
              </w:tc>
              <w:tc>
                <w:tcPr>
                  <w:tcW w:w="691" w:type="pct"/>
                  <w:vAlign w:val="center"/>
                </w:tcPr>
                <w:p w14:paraId="450F858C">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单位</w:t>
                  </w:r>
                </w:p>
              </w:tc>
              <w:tc>
                <w:tcPr>
                  <w:tcW w:w="728" w:type="pct"/>
                  <w:vAlign w:val="center"/>
                </w:tcPr>
                <w:p w14:paraId="3F99688A">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年用量</w:t>
                  </w:r>
                  <w:r>
                    <w:rPr>
                      <w:rFonts w:hint="default" w:ascii="Times New Roman" w:hAnsi="Times New Roman" w:eastAsia="宋体" w:cs="Times New Roman"/>
                      <w:b/>
                      <w:bCs/>
                      <w:color w:val="auto"/>
                      <w:sz w:val="21"/>
                      <w:szCs w:val="21"/>
                      <w:lang w:val="en-US" w:eastAsia="zh-CN"/>
                    </w:rPr>
                    <w:t>/t</w:t>
                  </w:r>
                </w:p>
              </w:tc>
              <w:tc>
                <w:tcPr>
                  <w:tcW w:w="737" w:type="pct"/>
                  <w:vAlign w:val="center"/>
                </w:tcPr>
                <w:p w14:paraId="58A6E555">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最大储存量/t</w:t>
                  </w:r>
                </w:p>
              </w:tc>
              <w:tc>
                <w:tcPr>
                  <w:tcW w:w="795" w:type="pct"/>
                  <w:vAlign w:val="center"/>
                </w:tcPr>
                <w:p w14:paraId="0C782576">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储存位置</w:t>
                  </w:r>
                </w:p>
              </w:tc>
              <w:tc>
                <w:tcPr>
                  <w:tcW w:w="707" w:type="pct"/>
                  <w:vAlign w:val="center"/>
                </w:tcPr>
                <w:p w14:paraId="3EFE73B7">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备注/来源</w:t>
                  </w:r>
                </w:p>
              </w:tc>
            </w:tr>
            <w:tr w14:paraId="1FC397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6" w:type="pct"/>
                  <w:vMerge w:val="restart"/>
                  <w:vAlign w:val="center"/>
                </w:tcPr>
                <w:p w14:paraId="578C0C46">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highlight w:val="none"/>
                      <w:lang w:eastAsia="zh-CN" w:bidi="ar"/>
                    </w:rPr>
                  </w:pPr>
                  <w:bookmarkStart w:id="30" w:name="OLE_LINK173" w:colFirst="5" w:colLast="5"/>
                  <w:bookmarkStart w:id="31" w:name="OLE_LINK170" w:colFirst="1" w:colLast="2"/>
                  <w:bookmarkStart w:id="32" w:name="OLE_LINK226" w:colFirst="1" w:colLast="6"/>
                  <w:r>
                    <w:rPr>
                      <w:rFonts w:hint="default" w:ascii="Times New Roman" w:hAnsi="Times New Roman" w:eastAsia="宋体" w:cs="Times New Roman"/>
                      <w:color w:val="auto"/>
                      <w:kern w:val="0"/>
                      <w:sz w:val="21"/>
                      <w:szCs w:val="21"/>
                      <w:highlight w:val="none"/>
                      <w:lang w:val="en-US" w:eastAsia="zh-CN" w:bidi="ar"/>
                    </w:rPr>
                    <w:t>RDF燃料</w:t>
                  </w:r>
                </w:p>
              </w:tc>
              <w:tc>
                <w:tcPr>
                  <w:tcW w:w="693" w:type="pct"/>
                  <w:tcBorders>
                    <w:left w:val="single" w:color="auto" w:sz="4" w:space="0"/>
                  </w:tcBorders>
                  <w:vAlign w:val="center"/>
                </w:tcPr>
                <w:p w14:paraId="7D8FD73F">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木材</w:t>
                  </w:r>
                </w:p>
              </w:tc>
              <w:tc>
                <w:tcPr>
                  <w:tcW w:w="691" w:type="pct"/>
                  <w:vAlign w:val="center"/>
                </w:tcPr>
                <w:p w14:paraId="43B1BD2E">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w:t>
                  </w:r>
                </w:p>
              </w:tc>
              <w:tc>
                <w:tcPr>
                  <w:tcW w:w="728" w:type="pct"/>
                  <w:shd w:val="clear" w:color="auto" w:fill="auto"/>
                  <w:vAlign w:val="center"/>
                </w:tcPr>
                <w:p w14:paraId="30DAF63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79940.53</w:t>
                  </w:r>
                </w:p>
              </w:tc>
              <w:tc>
                <w:tcPr>
                  <w:tcW w:w="737" w:type="pct"/>
                  <w:vAlign w:val="center"/>
                </w:tcPr>
                <w:p w14:paraId="54FE13DD">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10000</w:t>
                  </w:r>
                </w:p>
              </w:tc>
              <w:tc>
                <w:tcPr>
                  <w:tcW w:w="795" w:type="pct"/>
                  <w:vAlign w:val="center"/>
                </w:tcPr>
                <w:p w14:paraId="121E49E6">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骨料仓</w:t>
                  </w:r>
                </w:p>
              </w:tc>
              <w:tc>
                <w:tcPr>
                  <w:tcW w:w="707" w:type="pct"/>
                  <w:vAlign w:val="center"/>
                </w:tcPr>
                <w:p w14:paraId="3EB67EC3">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自产</w:t>
                  </w:r>
                </w:p>
              </w:tc>
            </w:tr>
            <w:tr w14:paraId="558807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6" w:type="pct"/>
                  <w:vMerge w:val="continue"/>
                  <w:vAlign w:val="center"/>
                </w:tcPr>
                <w:p w14:paraId="2928D8D6">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bidi="ar"/>
                    </w:rPr>
                  </w:pPr>
                  <w:bookmarkStart w:id="33" w:name="OLE_LINK225" w:colFirst="3" w:colLast="6"/>
                </w:p>
              </w:tc>
              <w:tc>
                <w:tcPr>
                  <w:tcW w:w="693" w:type="pct"/>
                  <w:tcBorders>
                    <w:left w:val="single" w:color="auto" w:sz="4" w:space="0"/>
                  </w:tcBorders>
                  <w:vAlign w:val="center"/>
                </w:tcPr>
                <w:p w14:paraId="7019960A">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废布头</w:t>
                  </w:r>
                </w:p>
              </w:tc>
              <w:tc>
                <w:tcPr>
                  <w:tcW w:w="691" w:type="pct"/>
                  <w:vAlign w:val="center"/>
                </w:tcPr>
                <w:p w14:paraId="0242E0EF">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w:t>
                  </w:r>
                </w:p>
              </w:tc>
              <w:tc>
                <w:tcPr>
                  <w:tcW w:w="728" w:type="pct"/>
                  <w:shd w:val="clear" w:color="auto" w:fill="auto"/>
                  <w:vAlign w:val="center"/>
                </w:tcPr>
                <w:p w14:paraId="75B745F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59955.40</w:t>
                  </w:r>
                </w:p>
              </w:tc>
              <w:tc>
                <w:tcPr>
                  <w:tcW w:w="737" w:type="pct"/>
                  <w:vAlign w:val="center"/>
                </w:tcPr>
                <w:p w14:paraId="41FD9D05">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5000</w:t>
                  </w:r>
                </w:p>
              </w:tc>
              <w:tc>
                <w:tcPr>
                  <w:tcW w:w="795" w:type="pct"/>
                  <w:vAlign w:val="center"/>
                </w:tcPr>
                <w:p w14:paraId="25629B2E">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骨料库</w:t>
                  </w:r>
                </w:p>
              </w:tc>
              <w:tc>
                <w:tcPr>
                  <w:tcW w:w="707" w:type="pct"/>
                  <w:vAlign w:val="center"/>
                </w:tcPr>
                <w:p w14:paraId="7F867AB9">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自产</w:t>
                  </w:r>
                </w:p>
              </w:tc>
            </w:tr>
            <w:bookmarkEnd w:id="30"/>
            <w:bookmarkEnd w:id="31"/>
            <w:tr w14:paraId="6AD74E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46" w:type="pct"/>
                  <w:vMerge w:val="continue"/>
                  <w:vAlign w:val="center"/>
                </w:tcPr>
                <w:p w14:paraId="17C67195">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bidi="ar"/>
                    </w:rPr>
                  </w:pPr>
                </w:p>
              </w:tc>
              <w:tc>
                <w:tcPr>
                  <w:tcW w:w="693" w:type="pct"/>
                  <w:tcBorders>
                    <w:left w:val="single" w:color="auto" w:sz="4" w:space="0"/>
                  </w:tcBorders>
                  <w:vAlign w:val="center"/>
                </w:tcPr>
                <w:p w14:paraId="5946167E">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纸皮</w:t>
                  </w:r>
                </w:p>
              </w:tc>
              <w:tc>
                <w:tcPr>
                  <w:tcW w:w="691" w:type="pct"/>
                  <w:vAlign w:val="center"/>
                </w:tcPr>
                <w:p w14:paraId="711A2FC9">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t/a</w:t>
                  </w:r>
                </w:p>
              </w:tc>
              <w:tc>
                <w:tcPr>
                  <w:tcW w:w="728" w:type="pct"/>
                  <w:shd w:val="clear" w:color="auto" w:fill="auto"/>
                  <w:vAlign w:val="center"/>
                </w:tcPr>
                <w:p w14:paraId="49343B7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39970.27</w:t>
                  </w:r>
                </w:p>
              </w:tc>
              <w:tc>
                <w:tcPr>
                  <w:tcW w:w="737" w:type="pct"/>
                  <w:vAlign w:val="center"/>
                </w:tcPr>
                <w:p w14:paraId="6F7CC956">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5000</w:t>
                  </w:r>
                </w:p>
              </w:tc>
              <w:tc>
                <w:tcPr>
                  <w:tcW w:w="795" w:type="pct"/>
                  <w:vAlign w:val="center"/>
                </w:tcPr>
                <w:p w14:paraId="445600BB">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lang w:val="en-US" w:eastAsia="zh-CN"/>
                    </w:rPr>
                    <w:t>仓库</w:t>
                  </w:r>
                </w:p>
              </w:tc>
              <w:tc>
                <w:tcPr>
                  <w:tcW w:w="707" w:type="pct"/>
                  <w:vAlign w:val="center"/>
                </w:tcPr>
                <w:p w14:paraId="2F76BCA9">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自产</w:t>
                  </w:r>
                </w:p>
              </w:tc>
            </w:tr>
            <w:tr w14:paraId="643BED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46" w:type="pct"/>
                  <w:vMerge w:val="continue"/>
                  <w:vAlign w:val="center"/>
                </w:tcPr>
                <w:p w14:paraId="7E5B1A2A">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highlight w:val="none"/>
                      <w:lang w:bidi="ar"/>
                    </w:rPr>
                  </w:pPr>
                  <w:bookmarkStart w:id="34" w:name="OLE_LINK171" w:colFirst="2" w:colLast="3"/>
                </w:p>
              </w:tc>
              <w:tc>
                <w:tcPr>
                  <w:tcW w:w="693" w:type="pct"/>
                  <w:tcBorders>
                    <w:left w:val="single" w:color="auto" w:sz="4" w:space="0"/>
                  </w:tcBorders>
                  <w:vAlign w:val="center"/>
                </w:tcPr>
                <w:p w14:paraId="0AF1983E">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污泥</w:t>
                  </w:r>
                </w:p>
              </w:tc>
              <w:tc>
                <w:tcPr>
                  <w:tcW w:w="691" w:type="pct"/>
                  <w:vAlign w:val="center"/>
                </w:tcPr>
                <w:p w14:paraId="547F55AD">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w:t>
                  </w:r>
                </w:p>
              </w:tc>
              <w:tc>
                <w:tcPr>
                  <w:tcW w:w="728" w:type="pct"/>
                  <w:shd w:val="clear" w:color="auto" w:fill="auto"/>
                  <w:vAlign w:val="center"/>
                </w:tcPr>
                <w:p w14:paraId="73D9EA1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20133.8</w:t>
                  </w:r>
                </w:p>
              </w:tc>
              <w:tc>
                <w:tcPr>
                  <w:tcW w:w="737" w:type="pct"/>
                  <w:vAlign w:val="center"/>
                </w:tcPr>
                <w:p w14:paraId="51B4FB69">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3000</w:t>
                  </w:r>
                </w:p>
              </w:tc>
              <w:tc>
                <w:tcPr>
                  <w:tcW w:w="795" w:type="pct"/>
                  <w:vAlign w:val="center"/>
                </w:tcPr>
                <w:p w14:paraId="6E6C6F46">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rPr>
                  </w:pPr>
                  <w:r>
                    <w:rPr>
                      <w:rFonts w:hint="default" w:ascii="Times New Roman" w:hAnsi="Times New Roman" w:eastAsia="宋体" w:cs="Times New Roman"/>
                      <w:b w:val="0"/>
                      <w:bCs w:val="0"/>
                      <w:color w:val="auto"/>
                      <w:sz w:val="21"/>
                      <w:szCs w:val="21"/>
                      <w:lang w:val="en-US" w:eastAsia="zh-CN"/>
                    </w:rPr>
                    <w:t>污泥贮存间</w:t>
                  </w:r>
                </w:p>
              </w:tc>
              <w:tc>
                <w:tcPr>
                  <w:tcW w:w="707" w:type="pct"/>
                  <w:vAlign w:val="center"/>
                </w:tcPr>
                <w:p w14:paraId="3D8FD16E">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外购</w:t>
                  </w:r>
                </w:p>
              </w:tc>
            </w:tr>
            <w:tr w14:paraId="7FAE37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46" w:type="pct"/>
                  <w:vMerge w:val="restart"/>
                  <w:vAlign w:val="center"/>
                </w:tcPr>
                <w:p w14:paraId="39F73970">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水稳</w:t>
                  </w:r>
                </w:p>
              </w:tc>
              <w:tc>
                <w:tcPr>
                  <w:tcW w:w="693" w:type="pct"/>
                  <w:vAlign w:val="center"/>
                </w:tcPr>
                <w:p w14:paraId="36E6DBBA">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大碎石</w:t>
                  </w:r>
                </w:p>
              </w:tc>
              <w:tc>
                <w:tcPr>
                  <w:tcW w:w="691" w:type="pct"/>
                  <w:vAlign w:val="center"/>
                </w:tcPr>
                <w:p w14:paraId="4C050A90">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t/a</w:t>
                  </w:r>
                </w:p>
              </w:tc>
              <w:tc>
                <w:tcPr>
                  <w:tcW w:w="728" w:type="pct"/>
                  <w:vAlign w:val="center"/>
                </w:tcPr>
                <w:p w14:paraId="444B9C0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119768.72</w:t>
                  </w:r>
                </w:p>
              </w:tc>
              <w:tc>
                <w:tcPr>
                  <w:tcW w:w="737" w:type="pct"/>
                  <w:shd w:val="clear" w:color="auto" w:fill="auto"/>
                  <w:vAlign w:val="center"/>
                </w:tcPr>
                <w:p w14:paraId="70416BD0">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10000</w:t>
                  </w:r>
                </w:p>
              </w:tc>
              <w:tc>
                <w:tcPr>
                  <w:tcW w:w="795" w:type="pct"/>
                  <w:shd w:val="clear" w:color="auto" w:fill="auto"/>
                  <w:vAlign w:val="center"/>
                </w:tcPr>
                <w:p w14:paraId="7E298A3E">
                  <w:pPr>
                    <w:adjustRightInd w:val="0"/>
                    <w:snapToGrid w:val="0"/>
                    <w:spacing w:line="240" w:lineRule="auto"/>
                    <w:ind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仓库</w:t>
                  </w:r>
                </w:p>
              </w:tc>
              <w:tc>
                <w:tcPr>
                  <w:tcW w:w="707" w:type="pct"/>
                  <w:shd w:val="clear" w:color="auto" w:fill="auto"/>
                  <w:vAlign w:val="center"/>
                </w:tcPr>
                <w:p w14:paraId="0283E438">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自产</w:t>
                  </w:r>
                </w:p>
              </w:tc>
            </w:tr>
            <w:tr w14:paraId="37E161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46" w:type="pct"/>
                  <w:vMerge w:val="continue"/>
                  <w:vAlign w:val="center"/>
                </w:tcPr>
                <w:p w14:paraId="63D8D388">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bidi="ar"/>
                    </w:rPr>
                  </w:pPr>
                </w:p>
              </w:tc>
              <w:tc>
                <w:tcPr>
                  <w:tcW w:w="693" w:type="pct"/>
                  <w:vAlign w:val="center"/>
                </w:tcPr>
                <w:p w14:paraId="04DFA9D5">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小碎石</w:t>
                  </w:r>
                </w:p>
              </w:tc>
              <w:tc>
                <w:tcPr>
                  <w:tcW w:w="691" w:type="pct"/>
                  <w:vAlign w:val="center"/>
                </w:tcPr>
                <w:p w14:paraId="5CAE19E9">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w:t>
                  </w:r>
                </w:p>
              </w:tc>
              <w:tc>
                <w:tcPr>
                  <w:tcW w:w="728" w:type="pct"/>
                  <w:vAlign w:val="center"/>
                </w:tcPr>
                <w:p w14:paraId="76BDC39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59884.36</w:t>
                  </w:r>
                </w:p>
              </w:tc>
              <w:tc>
                <w:tcPr>
                  <w:tcW w:w="737" w:type="pct"/>
                  <w:shd w:val="clear" w:color="auto" w:fill="auto"/>
                  <w:vAlign w:val="center"/>
                </w:tcPr>
                <w:p w14:paraId="6DD0C23F">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5000</w:t>
                  </w:r>
                </w:p>
              </w:tc>
              <w:tc>
                <w:tcPr>
                  <w:tcW w:w="795" w:type="pct"/>
                  <w:shd w:val="clear" w:color="auto" w:fill="auto"/>
                  <w:vAlign w:val="center"/>
                </w:tcPr>
                <w:p w14:paraId="144BB55B">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骨料库</w:t>
                  </w:r>
                </w:p>
              </w:tc>
              <w:tc>
                <w:tcPr>
                  <w:tcW w:w="707" w:type="pct"/>
                  <w:shd w:val="clear" w:color="auto" w:fill="auto"/>
                  <w:vAlign w:val="center"/>
                </w:tcPr>
                <w:p w14:paraId="321CC212">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自产</w:t>
                  </w:r>
                </w:p>
              </w:tc>
            </w:tr>
            <w:tr w14:paraId="0E4352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46" w:type="pct"/>
                  <w:vMerge w:val="continue"/>
                  <w:vAlign w:val="center"/>
                </w:tcPr>
                <w:p w14:paraId="71911D5A">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bidi="ar"/>
                    </w:rPr>
                  </w:pPr>
                </w:p>
              </w:tc>
              <w:tc>
                <w:tcPr>
                  <w:tcW w:w="693" w:type="pct"/>
                  <w:vAlign w:val="center"/>
                </w:tcPr>
                <w:p w14:paraId="641D8981">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水泥</w:t>
                  </w:r>
                </w:p>
              </w:tc>
              <w:tc>
                <w:tcPr>
                  <w:tcW w:w="691" w:type="pct"/>
                  <w:vAlign w:val="center"/>
                </w:tcPr>
                <w:p w14:paraId="36A13750">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w:t>
                  </w:r>
                </w:p>
              </w:tc>
              <w:tc>
                <w:tcPr>
                  <w:tcW w:w="728" w:type="pct"/>
                  <w:vAlign w:val="center"/>
                </w:tcPr>
                <w:p w14:paraId="5EC454D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14100.017</w:t>
                  </w:r>
                </w:p>
              </w:tc>
              <w:tc>
                <w:tcPr>
                  <w:tcW w:w="737" w:type="pct"/>
                  <w:shd w:val="clear" w:color="auto" w:fill="auto"/>
                  <w:vAlign w:val="center"/>
                </w:tcPr>
                <w:p w14:paraId="3F9A7AA2">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50</w:t>
                  </w:r>
                </w:p>
              </w:tc>
              <w:tc>
                <w:tcPr>
                  <w:tcW w:w="795" w:type="pct"/>
                  <w:shd w:val="clear" w:color="auto" w:fill="auto"/>
                  <w:vAlign w:val="center"/>
                </w:tcPr>
                <w:p w14:paraId="1FE9404B">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筒仓</w:t>
                  </w:r>
                </w:p>
              </w:tc>
              <w:tc>
                <w:tcPr>
                  <w:tcW w:w="707" w:type="pct"/>
                  <w:shd w:val="clear" w:color="auto" w:fill="auto"/>
                  <w:vAlign w:val="center"/>
                </w:tcPr>
                <w:p w14:paraId="2FF2AECF">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外购</w:t>
                  </w:r>
                </w:p>
              </w:tc>
            </w:tr>
            <w:tr w14:paraId="049BF6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646" w:type="pct"/>
                  <w:vMerge w:val="continue"/>
                  <w:vAlign w:val="center"/>
                </w:tcPr>
                <w:p w14:paraId="6F9612ED">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bidi="ar"/>
                    </w:rPr>
                  </w:pPr>
                </w:p>
              </w:tc>
              <w:tc>
                <w:tcPr>
                  <w:tcW w:w="693" w:type="pct"/>
                  <w:vAlign w:val="center"/>
                </w:tcPr>
                <w:p w14:paraId="54823243">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石屑</w:t>
                  </w:r>
                </w:p>
              </w:tc>
              <w:tc>
                <w:tcPr>
                  <w:tcW w:w="691" w:type="pct"/>
                  <w:vAlign w:val="center"/>
                </w:tcPr>
                <w:p w14:paraId="7AE86760">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w:t>
                  </w:r>
                </w:p>
              </w:tc>
              <w:tc>
                <w:tcPr>
                  <w:tcW w:w="728" w:type="pct"/>
                  <w:vAlign w:val="center"/>
                </w:tcPr>
                <w:p w14:paraId="78CFC62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kern w:val="0"/>
                      <w:sz w:val="21"/>
                      <w:szCs w:val="21"/>
                      <w:lang w:val="en-US" w:bidi="ar"/>
                    </w:rPr>
                  </w:pPr>
                  <w:r>
                    <w:rPr>
                      <w:rFonts w:hint="default" w:ascii="Times New Roman" w:hAnsi="Times New Roman" w:eastAsia="宋体" w:cs="Times New Roman"/>
                      <w:i w:val="0"/>
                      <w:iCs w:val="0"/>
                      <w:color w:val="auto"/>
                      <w:kern w:val="0"/>
                      <w:sz w:val="21"/>
                      <w:szCs w:val="21"/>
                      <w:u w:val="none"/>
                      <w:lang w:val="en-US" w:eastAsia="zh-CN" w:bidi="ar"/>
                    </w:rPr>
                    <w:t>87730.59</w:t>
                  </w:r>
                </w:p>
              </w:tc>
              <w:tc>
                <w:tcPr>
                  <w:tcW w:w="737" w:type="pct"/>
                  <w:shd w:val="clear" w:color="auto" w:fill="auto"/>
                  <w:vAlign w:val="center"/>
                </w:tcPr>
                <w:p w14:paraId="4814E7AA">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5000</w:t>
                  </w:r>
                </w:p>
              </w:tc>
              <w:tc>
                <w:tcPr>
                  <w:tcW w:w="795" w:type="pct"/>
                  <w:shd w:val="clear" w:color="auto" w:fill="auto"/>
                  <w:vAlign w:val="center"/>
                </w:tcPr>
                <w:p w14:paraId="6F37DF89">
                  <w:pPr>
                    <w:adjustRightInd w:val="0"/>
                    <w:snapToGrid w:val="0"/>
                    <w:spacing w:line="240" w:lineRule="auto"/>
                    <w:ind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仓库</w:t>
                  </w:r>
                </w:p>
              </w:tc>
              <w:tc>
                <w:tcPr>
                  <w:tcW w:w="707" w:type="pct"/>
                  <w:shd w:val="clear" w:color="auto" w:fill="auto"/>
                  <w:vAlign w:val="center"/>
                </w:tcPr>
                <w:p w14:paraId="5240673D">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自产</w:t>
                  </w:r>
                </w:p>
              </w:tc>
            </w:tr>
            <w:tr w14:paraId="73A06E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46" w:type="pct"/>
                  <w:vMerge w:val="continue"/>
                  <w:vAlign w:val="center"/>
                </w:tcPr>
                <w:p w14:paraId="6841830A">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bidi="ar"/>
                    </w:rPr>
                  </w:pPr>
                </w:p>
              </w:tc>
              <w:tc>
                <w:tcPr>
                  <w:tcW w:w="693" w:type="pct"/>
                  <w:vAlign w:val="center"/>
                </w:tcPr>
                <w:p w14:paraId="5B49501D">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w:t>
                  </w:r>
                </w:p>
              </w:tc>
              <w:tc>
                <w:tcPr>
                  <w:tcW w:w="691" w:type="pct"/>
                  <w:vAlign w:val="center"/>
                </w:tcPr>
                <w:p w14:paraId="64CF504D">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t/a</w:t>
                  </w:r>
                </w:p>
              </w:tc>
              <w:tc>
                <w:tcPr>
                  <w:tcW w:w="728" w:type="pct"/>
                  <w:vAlign w:val="center"/>
                </w:tcPr>
                <w:p w14:paraId="658CB93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18516.33</w:t>
                  </w:r>
                </w:p>
              </w:tc>
              <w:tc>
                <w:tcPr>
                  <w:tcW w:w="737" w:type="pct"/>
                  <w:shd w:val="clear" w:color="auto" w:fill="auto"/>
                  <w:vAlign w:val="center"/>
                </w:tcPr>
                <w:p w14:paraId="5C938B44">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795" w:type="pct"/>
                  <w:shd w:val="clear" w:color="auto" w:fill="auto"/>
                  <w:vAlign w:val="center"/>
                </w:tcPr>
                <w:p w14:paraId="1F690BE7">
                  <w:pPr>
                    <w:adjustRightInd w:val="0"/>
                    <w:snapToGrid w:val="0"/>
                    <w:spacing w:line="240" w:lineRule="auto"/>
                    <w:ind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w:t>
                  </w:r>
                </w:p>
              </w:tc>
              <w:tc>
                <w:tcPr>
                  <w:tcW w:w="707" w:type="pct"/>
                  <w:shd w:val="clear" w:color="auto" w:fill="auto"/>
                  <w:vAlign w:val="center"/>
                </w:tcPr>
                <w:p w14:paraId="09259073">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r>
            <w:tr w14:paraId="34735D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46" w:type="pct"/>
                  <w:vAlign w:val="center"/>
                </w:tcPr>
                <w:p w14:paraId="03E3473D">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维修</w:t>
                  </w:r>
                </w:p>
              </w:tc>
              <w:tc>
                <w:tcPr>
                  <w:tcW w:w="693" w:type="pct"/>
                  <w:vAlign w:val="center"/>
                </w:tcPr>
                <w:p w14:paraId="717841C7">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机油</w:t>
                  </w:r>
                </w:p>
              </w:tc>
              <w:tc>
                <w:tcPr>
                  <w:tcW w:w="691" w:type="pct"/>
                  <w:vAlign w:val="center"/>
                </w:tcPr>
                <w:p w14:paraId="35D424E9">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w:t>
                  </w:r>
                </w:p>
              </w:tc>
              <w:tc>
                <w:tcPr>
                  <w:tcW w:w="728" w:type="pct"/>
                  <w:vAlign w:val="center"/>
                </w:tcPr>
                <w:p w14:paraId="3D2EF19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0.05</w:t>
                  </w:r>
                </w:p>
              </w:tc>
              <w:tc>
                <w:tcPr>
                  <w:tcW w:w="737" w:type="pct"/>
                  <w:shd w:val="clear" w:color="auto" w:fill="auto"/>
                  <w:vAlign w:val="center"/>
                </w:tcPr>
                <w:p w14:paraId="75672170">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0.05</w:t>
                  </w:r>
                </w:p>
              </w:tc>
              <w:tc>
                <w:tcPr>
                  <w:tcW w:w="795" w:type="pct"/>
                  <w:shd w:val="clear" w:color="auto" w:fill="auto"/>
                  <w:vAlign w:val="center"/>
                </w:tcPr>
                <w:p w14:paraId="6ADCCEE6">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仓库</w:t>
                  </w:r>
                </w:p>
              </w:tc>
              <w:tc>
                <w:tcPr>
                  <w:tcW w:w="707" w:type="pct"/>
                  <w:shd w:val="clear" w:color="auto" w:fill="auto"/>
                  <w:vAlign w:val="center"/>
                </w:tcPr>
                <w:p w14:paraId="6EBF6168">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外购</w:t>
                  </w:r>
                </w:p>
              </w:tc>
            </w:tr>
            <w:tr w14:paraId="21063C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46" w:type="pct"/>
                  <w:vAlign w:val="center"/>
                </w:tcPr>
                <w:p w14:paraId="35932E18">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其他用水</w:t>
                  </w:r>
                </w:p>
              </w:tc>
              <w:tc>
                <w:tcPr>
                  <w:tcW w:w="693" w:type="pct"/>
                  <w:vAlign w:val="center"/>
                </w:tcPr>
                <w:p w14:paraId="125A57B6">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水</w:t>
                  </w:r>
                </w:p>
              </w:tc>
              <w:tc>
                <w:tcPr>
                  <w:tcW w:w="691" w:type="pct"/>
                  <w:vAlign w:val="center"/>
                </w:tcPr>
                <w:p w14:paraId="1EFA8242">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t/a</w:t>
                  </w:r>
                </w:p>
              </w:tc>
              <w:tc>
                <w:tcPr>
                  <w:tcW w:w="728" w:type="pct"/>
                  <w:vAlign w:val="center"/>
                </w:tcPr>
                <w:p w14:paraId="7947191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16273.6</w:t>
                  </w:r>
                </w:p>
              </w:tc>
              <w:tc>
                <w:tcPr>
                  <w:tcW w:w="737" w:type="pct"/>
                  <w:shd w:val="clear" w:color="auto" w:fill="auto"/>
                  <w:vAlign w:val="center"/>
                </w:tcPr>
                <w:p w14:paraId="6F28F6DA">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795" w:type="pct"/>
                  <w:shd w:val="clear" w:color="auto" w:fill="auto"/>
                  <w:vAlign w:val="center"/>
                </w:tcPr>
                <w:p w14:paraId="6BD476D5">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707" w:type="pct"/>
                  <w:shd w:val="clear" w:color="auto" w:fill="auto"/>
                  <w:vAlign w:val="center"/>
                </w:tcPr>
                <w:p w14:paraId="63B7658D">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r>
            <w:tr w14:paraId="08C3D6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46" w:type="pct"/>
                  <w:vAlign w:val="center"/>
                </w:tcPr>
                <w:p w14:paraId="101FA9C3">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生产</w:t>
                  </w:r>
                </w:p>
              </w:tc>
              <w:tc>
                <w:tcPr>
                  <w:tcW w:w="693" w:type="pct"/>
                  <w:vAlign w:val="center"/>
                </w:tcPr>
                <w:p w14:paraId="10FD4FF1">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电</w:t>
                  </w:r>
                </w:p>
              </w:tc>
              <w:tc>
                <w:tcPr>
                  <w:tcW w:w="691" w:type="pct"/>
                  <w:vAlign w:val="center"/>
                </w:tcPr>
                <w:p w14:paraId="53FF4EEC">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万kwh/a</w:t>
                  </w:r>
                </w:p>
              </w:tc>
              <w:tc>
                <w:tcPr>
                  <w:tcW w:w="728" w:type="pct"/>
                  <w:vAlign w:val="center"/>
                </w:tcPr>
                <w:p w14:paraId="12F6A41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490</w:t>
                  </w:r>
                </w:p>
              </w:tc>
              <w:tc>
                <w:tcPr>
                  <w:tcW w:w="737" w:type="pct"/>
                  <w:shd w:val="clear" w:color="auto" w:fill="auto"/>
                  <w:vAlign w:val="center"/>
                </w:tcPr>
                <w:p w14:paraId="7DA6CADA">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795" w:type="pct"/>
                  <w:shd w:val="clear" w:color="auto" w:fill="auto"/>
                  <w:vAlign w:val="center"/>
                </w:tcPr>
                <w:p w14:paraId="3948E395">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707" w:type="pct"/>
                  <w:shd w:val="clear" w:color="auto" w:fill="auto"/>
                  <w:vAlign w:val="center"/>
                </w:tcPr>
                <w:p w14:paraId="0D373277">
                  <w:pPr>
                    <w:adjustRightInd w:val="0"/>
                    <w:snapToGrid w:val="0"/>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r>
            <w:bookmarkEnd w:id="28"/>
            <w:bookmarkEnd w:id="29"/>
            <w:bookmarkEnd w:id="32"/>
            <w:bookmarkEnd w:id="33"/>
            <w:bookmarkEnd w:id="34"/>
          </w:tbl>
          <w:p w14:paraId="5B0F2C73">
            <w:pPr>
              <w:widowControl/>
              <w:numPr>
                <w:ilvl w:val="0"/>
                <w:numId w:val="4"/>
              </w:numPr>
              <w:adjustRightInd w:val="0"/>
              <w:snapToGrid w:val="0"/>
              <w:spacing w:line="240" w:lineRule="auto"/>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原辅料固废类别分类</w:t>
            </w:r>
          </w:p>
          <w:p w14:paraId="70291DAD">
            <w:pPr>
              <w:widowControl/>
              <w:adjustRightInd w:val="0"/>
              <w:snapToGrid w:val="0"/>
              <w:spacing w:line="240" w:lineRule="auto"/>
              <w:ind w:firstLine="48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表2-</w:t>
            </w:r>
            <w:r>
              <w:rPr>
                <w:rFonts w:hint="default" w:ascii="Times New Roman" w:hAnsi="Times New Roman" w:eastAsia="宋体" w:cs="Times New Roman"/>
                <w:b/>
                <w:bCs/>
                <w:color w:val="auto"/>
                <w:sz w:val="21"/>
                <w:szCs w:val="21"/>
                <w:lang w:val="en-US" w:eastAsia="zh-CN"/>
              </w:rPr>
              <w:t>7</w:t>
            </w:r>
            <w:r>
              <w:rPr>
                <w:rFonts w:hint="default" w:ascii="Times New Roman" w:hAnsi="Times New Roman" w:eastAsia="宋体" w:cs="Times New Roman"/>
                <w:b/>
                <w:bCs/>
                <w:color w:val="auto"/>
                <w:sz w:val="21"/>
                <w:szCs w:val="21"/>
              </w:rPr>
              <w:t xml:space="preserve">  项目</w:t>
            </w:r>
            <w:r>
              <w:rPr>
                <w:rFonts w:hint="default" w:ascii="Times New Roman" w:hAnsi="Times New Roman" w:eastAsia="宋体" w:cs="Times New Roman"/>
                <w:b/>
                <w:bCs/>
                <w:color w:val="auto"/>
                <w:sz w:val="21"/>
                <w:szCs w:val="21"/>
                <w:lang w:val="en-US" w:eastAsia="zh-CN"/>
              </w:rPr>
              <w:t>建筑垃圾</w:t>
            </w:r>
            <w:r>
              <w:rPr>
                <w:rFonts w:hint="default" w:ascii="Times New Roman" w:hAnsi="Times New Roman" w:eastAsia="宋体" w:cs="Times New Roman"/>
                <w:b/>
                <w:bCs/>
                <w:color w:val="auto"/>
                <w:sz w:val="21"/>
                <w:szCs w:val="21"/>
              </w:rPr>
              <w:t>分类</w:t>
            </w:r>
          </w:p>
          <w:tbl>
            <w:tblPr>
              <w:tblStyle w:val="35"/>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1362"/>
              <w:gridCol w:w="1076"/>
              <w:gridCol w:w="4294"/>
              <w:gridCol w:w="1017"/>
            </w:tblGrid>
            <w:tr w14:paraId="7F36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499" w:type="pct"/>
                  <w:tcBorders>
                    <w:tl2br w:val="nil"/>
                    <w:tr2bl w:val="nil"/>
                  </w:tcBorders>
                  <w:vAlign w:val="center"/>
                </w:tcPr>
                <w:p w14:paraId="7464773F">
                  <w:pPr>
                    <w:widowControl/>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废物种类</w:t>
                  </w:r>
                </w:p>
              </w:tc>
              <w:tc>
                <w:tcPr>
                  <w:tcW w:w="791" w:type="pct"/>
                  <w:tcBorders>
                    <w:tl2br w:val="nil"/>
                    <w:tr2bl w:val="nil"/>
                  </w:tcBorders>
                  <w:vAlign w:val="center"/>
                </w:tcPr>
                <w:p w14:paraId="4D3FA066">
                  <w:pPr>
                    <w:widowControl/>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行业来源</w:t>
                  </w:r>
                </w:p>
              </w:tc>
              <w:tc>
                <w:tcPr>
                  <w:tcW w:w="625" w:type="pct"/>
                  <w:tcBorders>
                    <w:tl2br w:val="nil"/>
                    <w:tr2bl w:val="nil"/>
                  </w:tcBorders>
                  <w:vAlign w:val="center"/>
                </w:tcPr>
                <w:p w14:paraId="1CF95448">
                  <w:pPr>
                    <w:widowControl/>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废物代码</w:t>
                  </w:r>
                </w:p>
              </w:tc>
              <w:tc>
                <w:tcPr>
                  <w:tcW w:w="2494" w:type="pct"/>
                  <w:tcBorders>
                    <w:tl2br w:val="nil"/>
                    <w:tr2bl w:val="nil"/>
                  </w:tcBorders>
                  <w:vAlign w:val="center"/>
                </w:tcPr>
                <w:p w14:paraId="2422FEDD">
                  <w:pPr>
                    <w:widowControl/>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说明</w:t>
                  </w:r>
                </w:p>
              </w:tc>
              <w:tc>
                <w:tcPr>
                  <w:tcW w:w="589" w:type="pct"/>
                  <w:tcBorders>
                    <w:tl2br w:val="nil"/>
                    <w:tr2bl w:val="nil"/>
                  </w:tcBorders>
                  <w:vAlign w:val="center"/>
                </w:tcPr>
                <w:p w14:paraId="6D981A4E">
                  <w:pPr>
                    <w:widowControl/>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本项目</w:t>
                  </w:r>
                </w:p>
              </w:tc>
            </w:tr>
            <w:tr w14:paraId="7691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5000" w:type="pct"/>
                  <w:gridSpan w:val="5"/>
                  <w:tcBorders>
                    <w:tl2br w:val="nil"/>
                    <w:tr2bl w:val="nil"/>
                  </w:tcBorders>
                  <w:vAlign w:val="center"/>
                </w:tcPr>
                <w:p w14:paraId="5AA13C43">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建筑垃圾</w:t>
                  </w:r>
                </w:p>
              </w:tc>
            </w:tr>
            <w:tr w14:paraId="0726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99" w:type="pct"/>
                  <w:tcBorders>
                    <w:tl2br w:val="nil"/>
                    <w:tr2bl w:val="nil"/>
                  </w:tcBorders>
                  <w:vAlign w:val="center"/>
                </w:tcPr>
                <w:p w14:paraId="192374C0">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SW73拆除垃圾</w:t>
                  </w:r>
                </w:p>
              </w:tc>
              <w:tc>
                <w:tcPr>
                  <w:tcW w:w="791" w:type="pct"/>
                  <w:tcBorders>
                    <w:tl2br w:val="nil"/>
                    <w:tr2bl w:val="nil"/>
                  </w:tcBorders>
                  <w:vAlign w:val="center"/>
                </w:tcPr>
                <w:p w14:paraId="0042A386">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建筑物拆除和场地准备活动</w:t>
                  </w:r>
                </w:p>
              </w:tc>
              <w:tc>
                <w:tcPr>
                  <w:tcW w:w="625" w:type="pct"/>
                  <w:tcBorders>
                    <w:tl2br w:val="nil"/>
                    <w:tr2bl w:val="nil"/>
                  </w:tcBorders>
                  <w:vAlign w:val="center"/>
                </w:tcPr>
                <w:p w14:paraId="178800E2">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502-099-S73</w:t>
                  </w:r>
                </w:p>
              </w:tc>
              <w:tc>
                <w:tcPr>
                  <w:tcW w:w="2494" w:type="pct"/>
                  <w:tcBorders>
                    <w:tl2br w:val="nil"/>
                    <w:tr2bl w:val="nil"/>
                  </w:tcBorders>
                  <w:vAlign w:val="center"/>
                </w:tcPr>
                <w:p w14:paraId="5796903B">
                  <w:pPr>
                    <w:widowControl/>
                    <w:adjustRightInd w:val="0"/>
                    <w:snapToGrid w:val="0"/>
                    <w:spacing w:line="240" w:lineRule="auto"/>
                    <w:ind w:firstLine="0" w:firstLineChars="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以上之外的各类建筑物、构筑物等拆除过程中产生的其他弃料。</w:t>
                  </w:r>
                </w:p>
              </w:tc>
              <w:tc>
                <w:tcPr>
                  <w:tcW w:w="589" w:type="pct"/>
                  <w:vMerge w:val="restart"/>
                  <w:tcBorders>
                    <w:tl2br w:val="nil"/>
                    <w:tr2bl w:val="nil"/>
                  </w:tcBorders>
                  <w:vAlign w:val="center"/>
                </w:tcPr>
                <w:p w14:paraId="4627FD22">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建筑垃圾</w:t>
                  </w:r>
                </w:p>
              </w:tc>
            </w:tr>
            <w:tr w14:paraId="3795A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99" w:type="pct"/>
                  <w:tcBorders>
                    <w:tl2br w:val="nil"/>
                    <w:tr2bl w:val="nil"/>
                  </w:tcBorders>
                  <w:vAlign w:val="center"/>
                </w:tcPr>
                <w:p w14:paraId="78B69857">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SW74 </w:t>
                  </w:r>
                </w:p>
                <w:p w14:paraId="0FFF3D3E">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装修垃圾</w:t>
                  </w:r>
                </w:p>
              </w:tc>
              <w:tc>
                <w:tcPr>
                  <w:tcW w:w="791" w:type="pct"/>
                  <w:tcBorders>
                    <w:tl2br w:val="nil"/>
                    <w:tr2bl w:val="nil"/>
                  </w:tcBorders>
                  <w:vAlign w:val="center"/>
                </w:tcPr>
                <w:p w14:paraId="4DDD1BE9">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建筑装饰和装修业</w:t>
                  </w:r>
                </w:p>
              </w:tc>
              <w:tc>
                <w:tcPr>
                  <w:tcW w:w="625" w:type="pct"/>
                  <w:tcBorders>
                    <w:tl2br w:val="nil"/>
                    <w:tr2bl w:val="nil"/>
                  </w:tcBorders>
                  <w:vAlign w:val="center"/>
                </w:tcPr>
                <w:p w14:paraId="36848FD0">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501-001-S74</w:t>
                  </w:r>
                </w:p>
              </w:tc>
              <w:tc>
                <w:tcPr>
                  <w:tcW w:w="2494" w:type="pct"/>
                  <w:tcBorders>
                    <w:tl2br w:val="nil"/>
                    <w:tr2bl w:val="nil"/>
                  </w:tcBorders>
                  <w:vAlign w:val="center"/>
                </w:tcPr>
                <w:p w14:paraId="168DF40F">
                  <w:pPr>
                    <w:widowControl/>
                    <w:adjustRightInd w:val="0"/>
                    <w:snapToGrid w:val="0"/>
                    <w:spacing w:line="240" w:lineRule="auto"/>
                    <w:ind w:firstLine="0" w:firstLineChars="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装修垃圾。装饰装修房屋过程中产生的废弃物。</w:t>
                  </w:r>
                </w:p>
              </w:tc>
              <w:tc>
                <w:tcPr>
                  <w:tcW w:w="589" w:type="pct"/>
                  <w:vMerge w:val="continue"/>
                  <w:tcBorders>
                    <w:tl2br w:val="nil"/>
                    <w:tr2bl w:val="nil"/>
                  </w:tcBorders>
                  <w:vAlign w:val="center"/>
                </w:tcPr>
                <w:p w14:paraId="5ED8A097">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r>
          </w:tbl>
          <w:p w14:paraId="59748851">
            <w:pPr>
              <w:widowControl/>
              <w:numPr>
                <w:ilvl w:val="0"/>
                <w:numId w:val="4"/>
              </w:numPr>
              <w:adjustRightInd w:val="0"/>
              <w:snapToGrid w:val="0"/>
              <w:spacing w:line="360" w:lineRule="auto"/>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主要原辅材料理化性质</w:t>
            </w:r>
          </w:p>
          <w:p w14:paraId="669E7034">
            <w:pPr>
              <w:widowControl/>
              <w:adjustRightInd w:val="0"/>
              <w:snapToGrid w:val="0"/>
              <w:spacing w:line="360" w:lineRule="auto"/>
              <w:ind w:firstLine="480"/>
              <w:rPr>
                <w:rFonts w:hint="default" w:ascii="Times New Roman" w:hAnsi="Times New Roman" w:eastAsia="宋体" w:cs="Times New Roman"/>
                <w:color w:val="auto"/>
                <w:kern w:val="0"/>
                <w:sz w:val="24"/>
                <w:szCs w:val="24"/>
                <w:lang w:bidi="ar"/>
              </w:rPr>
            </w:pPr>
            <w:r>
              <w:rPr>
                <w:rFonts w:hint="default" w:ascii="Times New Roman" w:hAnsi="Times New Roman" w:eastAsia="宋体" w:cs="Times New Roman"/>
                <w:color w:val="auto"/>
                <w:sz w:val="24"/>
                <w:szCs w:val="24"/>
              </w:rPr>
              <w:t>机油：棕色液体，闪点240℃，密度约为897kg/m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，爆炸下限（V%）1，爆炸上限（V%）10，LD50大鼠经口：＞5000mg/kg（备注：预期毒性低），LD50兔子经皮：＞5000mg/kg（备注：预期毒性低），未被评为可燃物，但会燃烧。</w:t>
            </w:r>
          </w:p>
          <w:p w14:paraId="6743607E">
            <w:pPr>
              <w:pStyle w:val="135"/>
              <w:widowControl w:val="0"/>
              <w:adjustRightInd w:val="0"/>
              <w:spacing w:before="0" w:after="0" w:line="360" w:lineRule="auto"/>
              <w:ind w:right="0"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szCs w:val="24"/>
              </w:rPr>
              <w:t>外加剂：聚羧酸减水剂，无色透明</w:t>
            </w:r>
            <w:r>
              <w:rPr>
                <w:rFonts w:hint="default" w:ascii="Times New Roman" w:hAnsi="Times New Roman" w:eastAsia="宋体" w:cs="Times New Roman"/>
                <w:color w:val="auto"/>
                <w:sz w:val="24"/>
                <w:szCs w:val="24"/>
                <w:lang w:eastAsia="zh-CN"/>
              </w:rPr>
              <w:t>黏稠</w:t>
            </w:r>
            <w:r>
              <w:rPr>
                <w:rFonts w:hint="default" w:ascii="Times New Roman" w:hAnsi="Times New Roman" w:eastAsia="宋体" w:cs="Times New Roman"/>
                <w:color w:val="auto"/>
                <w:sz w:val="24"/>
                <w:szCs w:val="24"/>
              </w:rPr>
              <w:t>液体，稍有气味。</w:t>
            </w:r>
            <w:r>
              <w:rPr>
                <w:rFonts w:hint="default" w:ascii="Times New Roman" w:hAnsi="Times New Roman" w:eastAsia="宋体" w:cs="Times New Roman"/>
                <w:color w:val="auto"/>
                <w:sz w:val="24"/>
                <w:szCs w:val="24"/>
                <w:lang w:eastAsia="zh-CN"/>
              </w:rPr>
              <w:t>成分</w:t>
            </w:r>
            <w:r>
              <w:rPr>
                <w:rFonts w:hint="default" w:ascii="Times New Roman" w:hAnsi="Times New Roman" w:eastAsia="宋体" w:cs="Times New Roman"/>
                <w:color w:val="auto"/>
                <w:sz w:val="24"/>
                <w:szCs w:val="24"/>
              </w:rPr>
              <w:t>:75%水、25%甲基烯丙基聚氧乙烯醚与丙烯酸的共聚物。聚羧酸减水剂是一种高性能减水剂，是水泥混凝土运用中的一种水泥分散剂，能防止混凝土坍落度损失而不</w:t>
            </w:r>
            <w:r>
              <w:rPr>
                <w:rFonts w:hint="default" w:ascii="Times New Roman" w:hAnsi="Times New Roman" w:eastAsia="宋体" w:cs="Times New Roman"/>
                <w:color w:val="auto"/>
                <w:sz w:val="24"/>
              </w:rPr>
              <w:t>引起明显缓凝，低掺量下发挥较高的塑化效果，流动性保持性好、水泥适应广分子构造上自由度大、合成技术多、高性能化的余地很大，对混凝土增强效果显著，能降低混凝土收缩，有害物质含量极低等技术性能特点，赋予了混凝土出色的施工和易性、良好的强度发展、优良的耐久性、聚羧酸系高性能减水剂具有良好的综合技术性能优势及环保特点，符合现代化混凝土工程的需要。</w:t>
            </w:r>
          </w:p>
          <w:p w14:paraId="1ED9A74E">
            <w:pPr>
              <w:pStyle w:val="135"/>
              <w:widowControl w:val="0"/>
              <w:adjustRightInd w:val="0"/>
              <w:spacing w:after="0"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（4）原料来源情况及属性情况</w:t>
            </w:r>
          </w:p>
          <w:p w14:paraId="12E7CD4D">
            <w:pPr>
              <w:pStyle w:val="135"/>
              <w:widowControl w:val="0"/>
              <w:adjustRightInd w:val="0"/>
              <w:spacing w:before="0" w:after="0" w:line="360" w:lineRule="auto"/>
              <w:ind w:right="0" w:firstLine="480" w:firstLineChars="200"/>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b w:val="0"/>
                <w:bCs w:val="0"/>
                <w:color w:val="auto"/>
                <w:sz w:val="24"/>
                <w:szCs w:val="24"/>
                <w:lang w:val="en-US" w:eastAsia="zh-CN"/>
              </w:rPr>
              <w:t>①</w:t>
            </w:r>
            <w:r>
              <w:rPr>
                <w:rFonts w:hint="default" w:ascii="Times New Roman" w:hAnsi="Times New Roman" w:eastAsia="宋体" w:cs="Times New Roman"/>
                <w:b w:val="0"/>
                <w:bCs w:val="0"/>
                <w:color w:val="auto"/>
                <w:sz w:val="24"/>
                <w:szCs w:val="24"/>
              </w:rPr>
              <w:t>建筑垃圾：</w:t>
            </w:r>
            <w:r>
              <w:rPr>
                <w:rFonts w:hint="default" w:ascii="Times New Roman" w:hAnsi="Times New Roman" w:eastAsia="宋体" w:cs="Times New Roman"/>
                <w:color w:val="auto"/>
                <w:sz w:val="24"/>
                <w:szCs w:val="24"/>
              </w:rPr>
              <w:t>本项目建筑垃圾来源于</w:t>
            </w:r>
            <w:r>
              <w:rPr>
                <w:rFonts w:hint="default" w:ascii="Times New Roman" w:hAnsi="Times New Roman" w:eastAsia="宋体" w:cs="Times New Roman"/>
                <w:color w:val="auto"/>
                <w:sz w:val="24"/>
                <w:szCs w:val="24"/>
                <w:lang w:val="en-US" w:eastAsia="zh-CN"/>
              </w:rPr>
              <w:t>东至县</w:t>
            </w:r>
            <w:r>
              <w:rPr>
                <w:rFonts w:hint="default" w:ascii="Times New Roman" w:hAnsi="Times New Roman" w:eastAsia="宋体" w:cs="Times New Roman"/>
                <w:color w:val="auto"/>
                <w:sz w:val="24"/>
                <w:szCs w:val="24"/>
              </w:rPr>
              <w:t>，项目所使用的建筑垃圾主要包含建筑拆除垃圾和装修垃圾，不包含沥青路面等有害建筑垃圾。</w:t>
            </w:r>
            <w:r>
              <w:rPr>
                <w:rFonts w:hint="default" w:ascii="Times New Roman" w:hAnsi="Times New Roman" w:eastAsia="宋体" w:cs="Times New Roman"/>
                <w:color w:val="auto"/>
                <w:kern w:val="24"/>
                <w:sz w:val="24"/>
                <w:szCs w:val="24"/>
              </w:rPr>
              <w:t>不接收含有《国家危险废物名录》（2025年版）或者根据《危险废物鉴别技术规范》（HJ/T298-2019）和《危险废物鉴别标准》（GB5085.7-2019）认定具有危险特性的固体废物。</w:t>
            </w:r>
          </w:p>
          <w:p w14:paraId="4BDB0F7B">
            <w:pPr>
              <w:pStyle w:val="192"/>
              <w:ind w:firstLine="480"/>
              <w:rPr>
                <w:rStyle w:val="190"/>
                <w:rFonts w:hint="default" w:ascii="Times New Roman" w:hAnsi="Times New Roman" w:eastAsia="宋体" w:cs="Times New Roman"/>
                <w:b w:val="0"/>
                <w:bCs/>
                <w:color w:val="auto"/>
                <w:szCs w:val="24"/>
              </w:rPr>
            </w:pPr>
            <w:r>
              <w:rPr>
                <w:rStyle w:val="190"/>
                <w:rFonts w:hint="default" w:ascii="Times New Roman" w:hAnsi="Times New Roman" w:eastAsia="宋体" w:cs="Times New Roman"/>
                <w:b w:val="0"/>
                <w:bCs/>
                <w:color w:val="auto"/>
                <w:szCs w:val="24"/>
              </w:rPr>
              <w:t>建设单位应建立台账制度，记录来料来源、数量、属性等情况。</w:t>
            </w:r>
          </w:p>
          <w:p w14:paraId="1B667780">
            <w:pPr>
              <w:pStyle w:val="192"/>
              <w:numPr>
                <w:ilvl w:val="0"/>
                <w:numId w:val="0"/>
              </w:numPr>
              <w:ind w:leftChars="200"/>
              <w:rPr>
                <w:rStyle w:val="190"/>
                <w:rFonts w:hint="default" w:ascii="Times New Roman" w:hAnsi="Times New Roman" w:eastAsia="宋体" w:cs="Times New Roman"/>
                <w:b w:val="0"/>
                <w:bCs/>
                <w:color w:val="auto"/>
                <w:szCs w:val="24"/>
                <w:lang w:val="en-US" w:eastAsia="zh-CN"/>
              </w:rPr>
            </w:pPr>
            <w:r>
              <w:rPr>
                <w:rStyle w:val="190"/>
                <w:rFonts w:hint="default" w:ascii="Times New Roman" w:hAnsi="Times New Roman" w:eastAsia="宋体" w:cs="Times New Roman"/>
                <w:b w:val="0"/>
                <w:bCs/>
                <w:color w:val="auto"/>
                <w:szCs w:val="24"/>
                <w:lang w:val="en-US" w:eastAsia="zh-CN"/>
              </w:rPr>
              <w:t>②污泥来源说明</w:t>
            </w:r>
          </w:p>
          <w:p w14:paraId="535A37FF">
            <w:pPr>
              <w:pStyle w:val="192"/>
              <w:numPr>
                <w:ilvl w:val="0"/>
                <w:numId w:val="0"/>
              </w:numPr>
              <w:ind w:firstLine="480" w:firstLineChars="200"/>
              <w:rPr>
                <w:rStyle w:val="190"/>
                <w:rFonts w:hint="default" w:ascii="Times New Roman" w:hAnsi="Times New Roman" w:eastAsia="宋体" w:cs="Times New Roman"/>
                <w:b w:val="0"/>
                <w:bCs/>
                <w:color w:val="auto"/>
                <w:szCs w:val="24"/>
                <w:lang w:val="en-US" w:eastAsia="zh-CN"/>
              </w:rPr>
            </w:pPr>
            <w:r>
              <w:rPr>
                <w:rStyle w:val="190"/>
                <w:rFonts w:hint="default" w:ascii="Times New Roman" w:hAnsi="Times New Roman" w:eastAsia="宋体" w:cs="Times New Roman"/>
                <w:b w:val="0"/>
                <w:bCs/>
                <w:color w:val="auto"/>
                <w:szCs w:val="24"/>
                <w:lang w:val="en-US" w:eastAsia="zh-CN"/>
              </w:rPr>
              <w:t>拟建项目拟接收的市政污泥来源于城市生活污水处理厂污水处理设施产生的一般固废污泥，污泥均为脱水污泥(含水率为80%)，项目目前意向合作单位为东至县国祯污水处理厂，为本项目提供城镇生活污水处理厂产生的污泥。</w:t>
            </w:r>
          </w:p>
          <w:p w14:paraId="25705D13">
            <w:pPr>
              <w:pStyle w:val="192"/>
              <w:numPr>
                <w:ilvl w:val="0"/>
                <w:numId w:val="0"/>
              </w:numPr>
              <w:ind w:firstLine="480" w:firstLineChars="200"/>
              <w:rPr>
                <w:rStyle w:val="190"/>
                <w:rFonts w:hint="default" w:ascii="Times New Roman" w:hAnsi="Times New Roman" w:eastAsia="宋体" w:cs="Times New Roman"/>
                <w:b w:val="0"/>
                <w:bCs/>
                <w:color w:val="auto"/>
                <w:szCs w:val="24"/>
                <w:lang w:val="en-US" w:eastAsia="zh-CN"/>
              </w:rPr>
            </w:pPr>
            <w:r>
              <w:rPr>
                <w:rStyle w:val="190"/>
                <w:rFonts w:hint="default" w:ascii="Times New Roman" w:hAnsi="Times New Roman" w:eastAsia="宋体" w:cs="Times New Roman"/>
                <w:b w:val="0"/>
                <w:bCs/>
                <w:color w:val="auto"/>
                <w:szCs w:val="24"/>
                <w:lang w:val="en-US" w:eastAsia="zh-CN"/>
              </w:rPr>
              <w:t>③市政污泥入场控制</w:t>
            </w:r>
          </w:p>
          <w:p w14:paraId="5CF1AA9B">
            <w:pPr>
              <w:pStyle w:val="192"/>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Style w:val="190"/>
                <w:rFonts w:hint="default" w:ascii="Times New Roman" w:hAnsi="Times New Roman" w:eastAsia="宋体" w:cs="Times New Roman"/>
                <w:b w:val="0"/>
                <w:bCs/>
                <w:color w:val="auto"/>
                <w:szCs w:val="24"/>
                <w:lang w:val="en-US" w:eastAsia="zh-CN"/>
              </w:rPr>
            </w:pPr>
            <w:r>
              <w:rPr>
                <w:rStyle w:val="190"/>
                <w:rFonts w:hint="default" w:ascii="Times New Roman" w:hAnsi="Times New Roman" w:eastAsia="宋体" w:cs="Times New Roman"/>
                <w:b w:val="0"/>
                <w:bCs/>
                <w:color w:val="auto"/>
                <w:szCs w:val="24"/>
                <w:lang w:val="en-US" w:eastAsia="zh-CN"/>
              </w:rPr>
              <w:t>参照《城镇污水处理厂污泥泥质》(GB24188-2009)等文件，建设单位对入厂污泥泥质按以下要求加以控制。对于未达到进厂控制要求的市政污泥，建设单位应拒绝接收其入厂。</w:t>
            </w:r>
          </w:p>
          <w:p w14:paraId="07EEC3C1">
            <w:pPr>
              <w:pStyle w:val="192"/>
              <w:numPr>
                <w:ilvl w:val="0"/>
                <w:numId w:val="0"/>
              </w:numPr>
              <w:rPr>
                <w:rStyle w:val="190"/>
                <w:rFonts w:hint="default" w:ascii="Times New Roman" w:hAnsi="Times New Roman" w:eastAsia="宋体" w:cs="Times New Roman"/>
                <w:b w:val="0"/>
                <w:bCs/>
                <w:color w:val="auto"/>
                <w:szCs w:val="24"/>
                <w:lang w:val="en-US" w:eastAsia="zh-CN"/>
              </w:rPr>
            </w:pPr>
          </w:p>
          <w:p w14:paraId="39A5AD7E">
            <w:pPr>
              <w:pStyle w:val="192"/>
              <w:numPr>
                <w:ilvl w:val="0"/>
                <w:numId w:val="0"/>
              </w:numPr>
              <w:jc w:val="center"/>
              <w:rPr>
                <w:rStyle w:val="190"/>
                <w:rFonts w:hint="default" w:ascii="Times New Roman" w:hAnsi="Times New Roman" w:eastAsia="宋体" w:cs="Times New Roman"/>
                <w:b/>
                <w:bCs w:val="0"/>
                <w:color w:val="auto"/>
                <w:sz w:val="21"/>
                <w:szCs w:val="21"/>
                <w:lang w:val="en-US" w:eastAsia="zh-CN"/>
              </w:rPr>
            </w:pPr>
          </w:p>
          <w:p w14:paraId="73E83DDF">
            <w:pPr>
              <w:pStyle w:val="192"/>
              <w:numPr>
                <w:ilvl w:val="0"/>
                <w:numId w:val="0"/>
              </w:numPr>
              <w:jc w:val="center"/>
              <w:rPr>
                <w:rStyle w:val="190"/>
                <w:rFonts w:hint="default" w:ascii="Times New Roman" w:hAnsi="Times New Roman" w:eastAsia="宋体" w:cs="Times New Roman"/>
                <w:b/>
                <w:bCs w:val="0"/>
                <w:color w:val="auto"/>
                <w:sz w:val="21"/>
                <w:szCs w:val="21"/>
                <w:vertAlign w:val="baseline"/>
                <w:lang w:val="en-US" w:eastAsia="zh-CN"/>
              </w:rPr>
            </w:pPr>
            <w:r>
              <w:rPr>
                <w:rStyle w:val="190"/>
                <w:rFonts w:hint="default" w:ascii="Times New Roman" w:hAnsi="Times New Roman" w:eastAsia="宋体" w:cs="Times New Roman"/>
                <w:b/>
                <w:bCs w:val="0"/>
                <w:color w:val="auto"/>
                <w:sz w:val="21"/>
                <w:szCs w:val="21"/>
                <w:lang w:val="en-US" w:eastAsia="zh-CN"/>
              </w:rPr>
              <w:t>表2-8市政污泥入场控制要求</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4"/>
              <w:gridCol w:w="5053"/>
            </w:tblGrid>
            <w:tr w14:paraId="19747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4" w:type="dxa"/>
                  <w:vAlign w:val="center"/>
                </w:tcPr>
                <w:p w14:paraId="71CF7819">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Style w:val="190"/>
                      <w:rFonts w:hint="default" w:ascii="Times New Roman" w:hAnsi="Times New Roman" w:eastAsia="宋体" w:cs="Times New Roman"/>
                      <w:b/>
                      <w:bCs w:val="0"/>
                      <w:color w:val="auto"/>
                      <w:sz w:val="21"/>
                      <w:szCs w:val="21"/>
                      <w:vertAlign w:val="baseline"/>
                      <w:lang w:val="en-US" w:eastAsia="zh-CN"/>
                    </w:rPr>
                  </w:pPr>
                  <w:r>
                    <w:rPr>
                      <w:rFonts w:hint="default" w:ascii="Times New Roman" w:hAnsi="Times New Roman" w:eastAsia="宋体" w:cs="Times New Roman"/>
                      <w:b/>
                      <w:bCs/>
                      <w:color w:val="auto"/>
                      <w:sz w:val="21"/>
                      <w:szCs w:val="21"/>
                    </w:rPr>
                    <w:t>内容</w:t>
                  </w:r>
                </w:p>
              </w:tc>
              <w:tc>
                <w:tcPr>
                  <w:tcW w:w="5053" w:type="dxa"/>
                  <w:vAlign w:val="center"/>
                </w:tcPr>
                <w:p w14:paraId="1E0280E1">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Style w:val="190"/>
                      <w:rFonts w:hint="default" w:ascii="Times New Roman" w:hAnsi="Times New Roman" w:eastAsia="宋体" w:cs="Times New Roman"/>
                      <w:b/>
                      <w:bCs w:val="0"/>
                      <w:color w:val="auto"/>
                      <w:sz w:val="21"/>
                      <w:szCs w:val="21"/>
                      <w:vertAlign w:val="baseline"/>
                      <w:lang w:val="en-US" w:eastAsia="zh-CN"/>
                    </w:rPr>
                  </w:pPr>
                  <w:r>
                    <w:rPr>
                      <w:rFonts w:hint="default" w:ascii="Times New Roman" w:hAnsi="Times New Roman" w:eastAsia="宋体" w:cs="Times New Roman"/>
                      <w:b/>
                      <w:bCs/>
                      <w:color w:val="auto"/>
                      <w:sz w:val="21"/>
                      <w:szCs w:val="21"/>
                    </w:rPr>
                    <w:t>具体控制要求</w:t>
                  </w:r>
                </w:p>
              </w:tc>
            </w:tr>
            <w:tr w14:paraId="0A7E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4" w:type="dxa"/>
                  <w:vAlign w:val="center"/>
                </w:tcPr>
                <w:p w14:paraId="5E50F5E8">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Style w:val="190"/>
                      <w:rFonts w:hint="default" w:ascii="Times New Roman" w:hAnsi="Times New Roman" w:eastAsia="宋体" w:cs="Times New Roman"/>
                      <w:b/>
                      <w:bCs w:val="0"/>
                      <w:color w:val="auto"/>
                      <w:sz w:val="21"/>
                      <w:szCs w:val="21"/>
                      <w:vertAlign w:val="baseline"/>
                      <w:lang w:val="en-US" w:eastAsia="zh-CN"/>
                    </w:rPr>
                  </w:pPr>
                  <w:r>
                    <w:rPr>
                      <w:rFonts w:hint="default" w:ascii="Times New Roman" w:hAnsi="Times New Roman" w:eastAsia="宋体" w:cs="Times New Roman"/>
                      <w:color w:val="auto"/>
                      <w:sz w:val="21"/>
                      <w:szCs w:val="21"/>
                    </w:rPr>
                    <w:t>来源</w:t>
                  </w:r>
                </w:p>
              </w:tc>
              <w:tc>
                <w:tcPr>
                  <w:tcW w:w="5053" w:type="dxa"/>
                  <w:vAlign w:val="center"/>
                </w:tcPr>
                <w:p w14:paraId="1935FABA">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Style w:val="190"/>
                      <w:rFonts w:hint="default" w:ascii="Times New Roman" w:hAnsi="Times New Roman" w:eastAsia="宋体" w:cs="Times New Roman"/>
                      <w:b/>
                      <w:bCs w:val="0"/>
                      <w:color w:val="auto"/>
                      <w:sz w:val="21"/>
                      <w:szCs w:val="21"/>
                      <w:vertAlign w:val="baseline"/>
                      <w:lang w:val="en-US" w:eastAsia="zh-CN"/>
                    </w:rPr>
                  </w:pPr>
                  <w:r>
                    <w:rPr>
                      <w:rFonts w:hint="default" w:ascii="Times New Roman" w:hAnsi="Times New Roman" w:eastAsia="宋体" w:cs="Times New Roman"/>
                      <w:color w:val="auto"/>
                      <w:sz w:val="21"/>
                      <w:szCs w:val="21"/>
                    </w:rPr>
                    <w:t>城市生活污水处理厂产生的</w:t>
                  </w:r>
                  <w:r>
                    <w:rPr>
                      <w:rFonts w:hint="default" w:ascii="Times New Roman" w:hAnsi="Times New Roman" w:eastAsia="宋体" w:cs="Times New Roman"/>
                      <w:color w:val="auto"/>
                      <w:sz w:val="21"/>
                      <w:szCs w:val="21"/>
                      <w:lang w:eastAsia="zh-CN"/>
                    </w:rPr>
                    <w:t>污</w:t>
                  </w:r>
                  <w:r>
                    <w:rPr>
                      <w:rFonts w:hint="default" w:ascii="Times New Roman" w:hAnsi="Times New Roman" w:eastAsia="宋体" w:cs="Times New Roman"/>
                      <w:color w:val="auto"/>
                      <w:sz w:val="21"/>
                      <w:szCs w:val="21"/>
                    </w:rPr>
                    <w:t>水处理污泥</w:t>
                  </w:r>
                  <w:r>
                    <w:rPr>
                      <w:rFonts w:hint="default" w:ascii="Times New Roman" w:hAnsi="Times New Roman" w:eastAsia="宋体" w:cs="Times New Roman"/>
                      <w:color w:val="auto"/>
                      <w:sz w:val="21"/>
                      <w:szCs w:val="21"/>
                      <w:lang w:eastAsia="zh-CN"/>
                    </w:rPr>
                    <w:t>。</w:t>
                  </w:r>
                </w:p>
              </w:tc>
            </w:tr>
            <w:tr w14:paraId="71F65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4" w:type="dxa"/>
                  <w:vAlign w:val="center"/>
                </w:tcPr>
                <w:p w14:paraId="7552DCCC">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Style w:val="190"/>
                      <w:rFonts w:hint="default" w:ascii="Times New Roman" w:hAnsi="Times New Roman" w:eastAsia="宋体" w:cs="Times New Roman"/>
                      <w:b/>
                      <w:bCs w:val="0"/>
                      <w:color w:val="auto"/>
                      <w:sz w:val="21"/>
                      <w:szCs w:val="21"/>
                      <w:vertAlign w:val="baseline"/>
                      <w:lang w:val="en-US" w:eastAsia="zh-CN"/>
                    </w:rPr>
                  </w:pPr>
                  <w:r>
                    <w:rPr>
                      <w:rFonts w:hint="default" w:ascii="Times New Roman" w:hAnsi="Times New Roman" w:eastAsia="宋体" w:cs="Times New Roman"/>
                      <w:color w:val="auto"/>
                      <w:sz w:val="21"/>
                      <w:szCs w:val="21"/>
                    </w:rPr>
                    <w:t>污泥含水率</w:t>
                  </w:r>
                </w:p>
              </w:tc>
              <w:tc>
                <w:tcPr>
                  <w:tcW w:w="5053" w:type="dxa"/>
                  <w:vAlign w:val="center"/>
                </w:tcPr>
                <w:p w14:paraId="5133A893">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Style w:val="190"/>
                      <w:rFonts w:hint="default" w:ascii="Times New Roman" w:hAnsi="Times New Roman" w:eastAsia="宋体" w:cs="Times New Roman"/>
                      <w:b/>
                      <w:bCs w:val="0"/>
                      <w:color w:val="auto"/>
                      <w:sz w:val="21"/>
                      <w:szCs w:val="21"/>
                      <w:vertAlign w:val="baseline"/>
                      <w:lang w:val="en-US" w:eastAsia="zh-CN"/>
                    </w:rPr>
                  </w:pPr>
                  <w:r>
                    <w:rPr>
                      <w:rFonts w:hint="default" w:ascii="Times New Roman" w:hAnsi="Times New Roman" w:eastAsia="宋体" w:cs="Times New Roman"/>
                      <w:color w:val="auto"/>
                      <w:sz w:val="21"/>
                      <w:szCs w:val="21"/>
                    </w:rPr>
                    <w:t>最大含水率为</w:t>
                  </w:r>
                  <w:r>
                    <w:rPr>
                      <w:rFonts w:hint="default"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rPr>
                    <w:t>0%</w:t>
                  </w:r>
                </w:p>
              </w:tc>
            </w:tr>
            <w:tr w14:paraId="70336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54" w:type="dxa"/>
                  <w:vAlign w:val="center"/>
                </w:tcPr>
                <w:p w14:paraId="17415D61">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Style w:val="190"/>
                      <w:rFonts w:hint="default" w:ascii="Times New Roman" w:hAnsi="Times New Roman" w:eastAsia="宋体" w:cs="Times New Roman"/>
                      <w:b/>
                      <w:bCs w:val="0"/>
                      <w:color w:val="auto"/>
                      <w:sz w:val="21"/>
                      <w:szCs w:val="21"/>
                      <w:vertAlign w:val="baseline"/>
                      <w:lang w:val="en-US" w:eastAsia="zh-CN"/>
                    </w:rPr>
                  </w:pPr>
                  <w:r>
                    <w:rPr>
                      <w:rFonts w:hint="default" w:ascii="Times New Roman" w:hAnsi="Times New Roman" w:eastAsia="宋体" w:cs="Times New Roman"/>
                      <w:color w:val="auto"/>
                      <w:sz w:val="21"/>
                      <w:szCs w:val="21"/>
                    </w:rPr>
                    <w:t>性质</w:t>
                  </w:r>
                </w:p>
              </w:tc>
              <w:tc>
                <w:tcPr>
                  <w:tcW w:w="5053" w:type="dxa"/>
                  <w:vAlign w:val="center"/>
                </w:tcPr>
                <w:p w14:paraId="0ACDFC72">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Style w:val="190"/>
                      <w:rFonts w:hint="default" w:ascii="Times New Roman" w:hAnsi="Times New Roman" w:eastAsia="宋体" w:cs="Times New Roman"/>
                      <w:b/>
                      <w:bCs w:val="0"/>
                      <w:color w:val="auto"/>
                      <w:sz w:val="21"/>
                      <w:szCs w:val="21"/>
                      <w:vertAlign w:val="baseline"/>
                      <w:lang w:val="en-US" w:eastAsia="zh-CN"/>
                    </w:rPr>
                  </w:pPr>
                  <w:r>
                    <w:rPr>
                      <w:rFonts w:hint="default" w:ascii="Times New Roman" w:hAnsi="Times New Roman" w:eastAsia="宋体" w:cs="Times New Roman"/>
                      <w:color w:val="auto"/>
                      <w:sz w:val="21"/>
                      <w:szCs w:val="21"/>
                    </w:rPr>
                    <w:t>满足《城镇污水处理厂污泥泥质》（GB24188-2009）等标准中重金属控制指标限值，浸出毒性检测不得超过限值，pH范围在5-10</w:t>
                  </w:r>
                </w:p>
              </w:tc>
            </w:tr>
          </w:tbl>
          <w:p w14:paraId="229F40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b w:val="0"/>
                <w:bCs/>
                <w:color w:val="auto"/>
                <w:sz w:val="24"/>
                <w:lang w:val="en-US" w:eastAsia="zh-CN"/>
              </w:rPr>
            </w:pPr>
            <w:r>
              <w:rPr>
                <w:rFonts w:hint="default" w:ascii="Times New Roman" w:hAnsi="Times New Roman" w:eastAsia="宋体" w:cs="Times New Roman"/>
                <w:b w:val="0"/>
                <w:bCs/>
                <w:color w:val="auto"/>
                <w:sz w:val="24"/>
                <w:lang w:val="en-US" w:eastAsia="zh-CN"/>
              </w:rPr>
              <w:t>④污泥进场原料负面清单：</w:t>
            </w:r>
          </w:p>
          <w:p w14:paraId="3DD78F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b w:val="0"/>
                <w:bCs/>
                <w:color w:val="auto"/>
                <w:sz w:val="24"/>
                <w:szCs w:val="32"/>
                <w:lang w:val="en-US" w:eastAsia="zh-CN"/>
              </w:rPr>
            </w:pPr>
            <w:r>
              <w:rPr>
                <w:rFonts w:hint="default" w:ascii="Times New Roman" w:hAnsi="Times New Roman" w:eastAsia="宋体" w:cs="Times New Roman"/>
                <w:b w:val="0"/>
                <w:bCs/>
                <w:color w:val="auto"/>
                <w:sz w:val="24"/>
                <w:szCs w:val="32"/>
              </w:rPr>
              <w:t>建设单位须对进厂污泥进行严格控制</w:t>
            </w:r>
            <w:r>
              <w:rPr>
                <w:rFonts w:hint="default" w:ascii="Times New Roman" w:hAnsi="Times New Roman" w:eastAsia="宋体" w:cs="Times New Roman"/>
                <w:b w:val="0"/>
                <w:bCs/>
                <w:color w:val="auto"/>
                <w:sz w:val="24"/>
                <w:szCs w:val="32"/>
                <w:lang w:eastAsia="zh-CN"/>
              </w:rPr>
              <w:t>，</w:t>
            </w:r>
            <w:r>
              <w:rPr>
                <w:rFonts w:hint="default" w:ascii="Times New Roman" w:hAnsi="Times New Roman" w:eastAsia="宋体" w:cs="Times New Roman"/>
                <w:b w:val="0"/>
                <w:bCs/>
                <w:color w:val="auto"/>
                <w:sz w:val="24"/>
                <w:szCs w:val="32"/>
                <w:lang w:val="en-US" w:eastAsia="zh-CN"/>
              </w:rPr>
              <w:t>不接收工业废水处理厂污泥；不接收属于危险废物的污泥，主要有几种列入本项目进厂负面清单，详见下表。</w:t>
            </w:r>
          </w:p>
          <w:p w14:paraId="6C8626A3">
            <w:pPr>
              <w:wordWrap w:val="0"/>
              <w:adjustRightInd w:val="0"/>
              <w:snapToGrid w:val="0"/>
              <w:ind w:firstLine="422" w:firstLineChars="20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表2-</w:t>
            </w:r>
            <w:r>
              <w:rPr>
                <w:rFonts w:hint="default" w:ascii="Times New Roman" w:hAnsi="Times New Roman" w:eastAsia="宋体" w:cs="Times New Roman"/>
                <w:b/>
                <w:bCs/>
                <w:color w:val="auto"/>
                <w:sz w:val="21"/>
                <w:szCs w:val="21"/>
                <w:lang w:val="en-US" w:eastAsia="zh-CN"/>
              </w:rPr>
              <w:t>9</w:t>
            </w:r>
            <w:r>
              <w:rPr>
                <w:rFonts w:hint="default" w:ascii="Times New Roman" w:hAnsi="Times New Roman" w:eastAsia="宋体" w:cs="Times New Roman"/>
                <w:b/>
                <w:bCs/>
                <w:color w:val="auto"/>
                <w:sz w:val="21"/>
                <w:szCs w:val="21"/>
              </w:rPr>
              <w:t xml:space="preserve"> </w:t>
            </w:r>
            <w:r>
              <w:rPr>
                <w:rFonts w:hint="default" w:ascii="Times New Roman" w:hAnsi="Times New Roman" w:eastAsia="宋体" w:cs="Times New Roman"/>
                <w:b/>
                <w:bCs/>
                <w:color w:val="auto"/>
                <w:sz w:val="21"/>
                <w:szCs w:val="21"/>
                <w:lang w:val="en-US" w:eastAsia="zh-CN"/>
              </w:rPr>
              <w:t xml:space="preserve"> </w:t>
            </w:r>
            <w:r>
              <w:rPr>
                <w:rFonts w:hint="default" w:ascii="Times New Roman" w:hAnsi="Times New Roman" w:eastAsia="宋体" w:cs="Times New Roman"/>
                <w:b/>
                <w:bCs/>
                <w:color w:val="auto"/>
                <w:sz w:val="21"/>
                <w:szCs w:val="21"/>
                <w:lang w:eastAsia="zh-CN"/>
              </w:rPr>
              <w:t>污泥进场原料负面清单</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7216"/>
            </w:tblGrid>
            <w:tr w14:paraId="21D9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394" w:type="dxa"/>
                  <w:noWrap w:val="0"/>
                  <w:vAlign w:val="center"/>
                </w:tcPr>
                <w:p w14:paraId="44977221">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序号</w:t>
                  </w:r>
                </w:p>
              </w:tc>
              <w:tc>
                <w:tcPr>
                  <w:tcW w:w="7213" w:type="dxa"/>
                  <w:noWrap w:val="0"/>
                  <w:vAlign w:val="center"/>
                </w:tcPr>
                <w:p w14:paraId="0DC573D8">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禁止进场原料</w:t>
                  </w:r>
                </w:p>
              </w:tc>
            </w:tr>
            <w:tr w14:paraId="4DEC6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394" w:type="dxa"/>
                  <w:noWrap w:val="0"/>
                  <w:vAlign w:val="center"/>
                </w:tcPr>
                <w:p w14:paraId="47E500CF">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7213" w:type="dxa"/>
                  <w:noWrap w:val="0"/>
                  <w:vAlign w:val="center"/>
                </w:tcPr>
                <w:p w14:paraId="41478FC3">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含工业污水处理的污水处理厂污泥不予使用</w:t>
                  </w:r>
                </w:p>
              </w:tc>
            </w:tr>
            <w:tr w14:paraId="5BF4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394" w:type="dxa"/>
                  <w:noWrap w:val="0"/>
                  <w:vAlign w:val="center"/>
                </w:tcPr>
                <w:p w14:paraId="5E4AE551">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7213" w:type="dxa"/>
                  <w:noWrap w:val="0"/>
                  <w:vAlign w:val="center"/>
                </w:tcPr>
                <w:p w14:paraId="3DEF9856">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对于未进行污泥检测的不予使用，对污泥检测为危险废物的不予使用</w:t>
                  </w:r>
                </w:p>
              </w:tc>
            </w:tr>
            <w:tr w14:paraId="7E067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394" w:type="dxa"/>
                  <w:noWrap w:val="0"/>
                  <w:vAlign w:val="center"/>
                </w:tcPr>
                <w:p w14:paraId="77E2AFC9">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7213" w:type="dxa"/>
                  <w:noWrap w:val="0"/>
                  <w:vAlign w:val="center"/>
                </w:tcPr>
                <w:p w14:paraId="7E977164">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对于来历不明的原材料不予使用，建议企业做好原材料采购的清单及运输台账，严格按照规范执行</w:t>
                  </w:r>
                </w:p>
              </w:tc>
            </w:tr>
            <w:tr w14:paraId="1F22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394" w:type="dxa"/>
                  <w:noWrap w:val="0"/>
                  <w:vAlign w:val="center"/>
                </w:tcPr>
                <w:p w14:paraId="14A75A8F">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7213" w:type="dxa"/>
                  <w:noWrap w:val="0"/>
                  <w:vAlign w:val="center"/>
                </w:tcPr>
                <w:p w14:paraId="16FA049E">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其他不符合生产要求的污泥原料</w:t>
                  </w:r>
                </w:p>
              </w:tc>
            </w:tr>
          </w:tbl>
          <w:p w14:paraId="5AC8B678">
            <w:pPr>
              <w:pStyle w:val="192"/>
              <w:numPr>
                <w:ilvl w:val="0"/>
                <w:numId w:val="0"/>
              </w:numPr>
              <w:jc w:val="center"/>
              <w:rPr>
                <w:rStyle w:val="190"/>
                <w:rFonts w:hint="default" w:ascii="Times New Roman" w:hAnsi="Times New Roman" w:eastAsia="宋体" w:cs="Times New Roman"/>
                <w:b/>
                <w:bCs w:val="0"/>
                <w:color w:val="auto"/>
                <w:sz w:val="21"/>
                <w:szCs w:val="21"/>
                <w:lang w:val="en-US" w:eastAsia="zh-CN"/>
              </w:rPr>
            </w:pPr>
          </w:p>
          <w:p w14:paraId="3A2F8797">
            <w:pPr>
              <w:pStyle w:val="192"/>
              <w:ind w:firstLine="482"/>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lang w:val="en-US" w:eastAsia="zh-CN"/>
              </w:rPr>
              <w:t>4</w:t>
            </w:r>
            <w:r>
              <w:rPr>
                <w:rStyle w:val="190"/>
                <w:rFonts w:hint="default" w:ascii="Times New Roman" w:hAnsi="Times New Roman" w:eastAsia="宋体" w:cs="Times New Roman"/>
                <w:color w:val="auto"/>
                <w:szCs w:val="24"/>
              </w:rPr>
              <w:t>.主要设备清单</w:t>
            </w:r>
          </w:p>
          <w:p w14:paraId="4C718C36">
            <w:pPr>
              <w:pStyle w:val="189"/>
              <w:ind w:firstLine="480"/>
              <w:rPr>
                <w:rFonts w:hint="default" w:ascii="Times New Roman" w:hAnsi="Times New Roman" w:eastAsia="宋体" w:cs="Times New Roman"/>
                <w:color w:val="auto"/>
                <w:kern w:val="24"/>
                <w:sz w:val="24"/>
                <w:szCs w:val="24"/>
                <w:lang w:val="en-US" w:eastAsia="zh-CN" w:bidi="ar-SA"/>
              </w:rPr>
            </w:pPr>
            <w:r>
              <w:rPr>
                <w:rFonts w:hint="default" w:ascii="Times New Roman" w:hAnsi="Times New Roman" w:eastAsia="宋体" w:cs="Times New Roman"/>
                <w:color w:val="auto"/>
                <w:kern w:val="24"/>
                <w:sz w:val="24"/>
                <w:szCs w:val="24"/>
                <w:lang w:val="en-US" w:eastAsia="zh-CN" w:bidi="ar-SA"/>
              </w:rPr>
              <w:t>项目主要设备见表2-10。</w:t>
            </w:r>
          </w:p>
          <w:p w14:paraId="3B1CE416">
            <w:pPr>
              <w:pStyle w:val="59"/>
              <w:spacing w:line="240" w:lineRule="auto"/>
              <w:ind w:firstLine="482"/>
              <w:rPr>
                <w:rFonts w:hint="default" w:ascii="Times New Roman" w:hAnsi="Times New Roman" w:eastAsia="宋体" w:cs="Times New Roman"/>
                <w:color w:val="auto"/>
                <w:sz w:val="21"/>
                <w:szCs w:val="22"/>
              </w:rPr>
            </w:pPr>
            <w:bookmarkStart w:id="35" w:name="_Hlk171981315"/>
            <w:r>
              <w:rPr>
                <w:rFonts w:hint="default" w:ascii="Times New Roman" w:hAnsi="Times New Roman" w:eastAsia="宋体" w:cs="Times New Roman"/>
                <w:color w:val="auto"/>
                <w:sz w:val="21"/>
                <w:szCs w:val="22"/>
              </w:rPr>
              <w:t>表2-</w:t>
            </w:r>
            <w:r>
              <w:rPr>
                <w:rFonts w:hint="default" w:ascii="Times New Roman" w:hAnsi="Times New Roman" w:eastAsia="宋体" w:cs="Times New Roman"/>
                <w:color w:val="auto"/>
                <w:sz w:val="21"/>
                <w:szCs w:val="22"/>
                <w:lang w:val="en-US" w:eastAsia="zh-CN"/>
              </w:rPr>
              <w:t>10</w:t>
            </w:r>
            <w:r>
              <w:rPr>
                <w:rFonts w:hint="default" w:ascii="Times New Roman" w:hAnsi="Times New Roman" w:eastAsia="宋体" w:cs="Times New Roman"/>
                <w:color w:val="auto"/>
                <w:sz w:val="21"/>
                <w:szCs w:val="22"/>
              </w:rPr>
              <w:t xml:space="preserve"> 项目设备一览表</w:t>
            </w:r>
          </w:p>
          <w:bookmarkEnd w:id="35"/>
          <w:tbl>
            <w:tblPr>
              <w:tblStyle w:val="34"/>
              <w:tblW w:w="4998" w:type="pct"/>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autofit"/>
              <w:tblCellMar>
                <w:top w:w="0" w:type="dxa"/>
                <w:left w:w="108" w:type="dxa"/>
                <w:bottom w:w="0" w:type="dxa"/>
                <w:right w:w="108" w:type="dxa"/>
              </w:tblCellMar>
            </w:tblPr>
            <w:tblGrid>
              <w:gridCol w:w="920"/>
              <w:gridCol w:w="507"/>
              <w:gridCol w:w="636"/>
              <w:gridCol w:w="2059"/>
              <w:gridCol w:w="2243"/>
              <w:gridCol w:w="2243"/>
            </w:tblGrid>
            <w:tr w14:paraId="587F4DE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vAlign w:val="center"/>
                </w:tcPr>
                <w:p w14:paraId="39D8A7DA">
                  <w:pPr>
                    <w:spacing w:line="240" w:lineRule="auto"/>
                    <w:ind w:firstLine="0" w:firstLineChars="0"/>
                    <w:jc w:val="center"/>
                    <w:rPr>
                      <w:rFonts w:hint="default" w:ascii="Times New Roman" w:hAnsi="Times New Roman" w:eastAsia="宋体" w:cs="Times New Roman"/>
                      <w:b/>
                      <w:bCs/>
                      <w:color w:val="auto"/>
                      <w:sz w:val="21"/>
                      <w:szCs w:val="21"/>
                    </w:rPr>
                  </w:pPr>
                  <w:bookmarkStart w:id="36" w:name="OLE_LINK194"/>
                  <w:r>
                    <w:rPr>
                      <w:rFonts w:hint="default" w:ascii="Times New Roman" w:hAnsi="Times New Roman" w:eastAsia="宋体" w:cs="Times New Roman"/>
                      <w:b/>
                      <w:bCs/>
                      <w:color w:val="auto"/>
                      <w:sz w:val="21"/>
                      <w:szCs w:val="21"/>
                    </w:rPr>
                    <w:t>序号</w:t>
                  </w:r>
                </w:p>
              </w:tc>
              <w:tc>
                <w:tcPr>
                  <w:tcW w:w="663" w:type="pct"/>
                  <w:gridSpan w:val="2"/>
                  <w:vAlign w:val="center"/>
                </w:tcPr>
                <w:p w14:paraId="2A9BF4A3">
                  <w:pPr>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生产车间</w:t>
                  </w:r>
                </w:p>
              </w:tc>
              <w:tc>
                <w:tcPr>
                  <w:tcW w:w="1195" w:type="pct"/>
                  <w:vAlign w:val="center"/>
                </w:tcPr>
                <w:p w14:paraId="03DA41C3">
                  <w:pPr>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名称</w:t>
                  </w:r>
                </w:p>
              </w:tc>
              <w:tc>
                <w:tcPr>
                  <w:tcW w:w="1302" w:type="pct"/>
                  <w:vAlign w:val="center"/>
                </w:tcPr>
                <w:p w14:paraId="77122A4F">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型号/尺寸</w:t>
                  </w:r>
                </w:p>
              </w:tc>
              <w:tc>
                <w:tcPr>
                  <w:tcW w:w="1302" w:type="pct"/>
                  <w:vAlign w:val="center"/>
                </w:tcPr>
                <w:p w14:paraId="1C707ECB">
                  <w:pPr>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数量</w:t>
                  </w:r>
                </w:p>
              </w:tc>
            </w:tr>
            <w:tr w14:paraId="2FDD84D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34" w:type="pct"/>
                  <w:shd w:val="clear" w:color="auto" w:fill="auto"/>
                  <w:vAlign w:val="center"/>
                </w:tcPr>
                <w:p w14:paraId="445144CA">
                  <w:pPr>
                    <w:spacing w:line="240" w:lineRule="auto"/>
                    <w:ind w:firstLine="0" w:firstLineChars="0"/>
                    <w:jc w:val="center"/>
                    <w:rPr>
                      <w:rFonts w:hint="default" w:ascii="Times New Roman" w:hAnsi="Times New Roman" w:eastAsia="宋体" w:cs="Times New Roman"/>
                      <w:color w:val="auto"/>
                      <w:sz w:val="21"/>
                      <w:szCs w:val="21"/>
                    </w:rPr>
                  </w:pPr>
                  <w:bookmarkStart w:id="37" w:name="OLE_LINK180" w:colFirst="0" w:colLast="4"/>
                  <w:bookmarkStart w:id="38" w:name="OLE_LINK179" w:colFirst="1" w:colLast="4"/>
                  <w:r>
                    <w:rPr>
                      <w:rFonts w:hint="default" w:ascii="Times New Roman" w:hAnsi="Times New Roman" w:eastAsia="宋体" w:cs="Times New Roman"/>
                      <w:color w:val="auto"/>
                      <w:sz w:val="21"/>
                      <w:szCs w:val="21"/>
                    </w:rPr>
                    <w:t>1</w:t>
                  </w:r>
                </w:p>
              </w:tc>
              <w:tc>
                <w:tcPr>
                  <w:tcW w:w="294" w:type="pct"/>
                  <w:vMerge w:val="restart"/>
                  <w:vAlign w:val="center"/>
                </w:tcPr>
                <w:p w14:paraId="165D0ADA">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一号车间</w:t>
                  </w:r>
                </w:p>
              </w:tc>
              <w:tc>
                <w:tcPr>
                  <w:tcW w:w="369" w:type="pct"/>
                  <w:vMerge w:val="restart"/>
                  <w:vAlign w:val="center"/>
                </w:tcPr>
                <w:p w14:paraId="7F76C287">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骨料</w:t>
                  </w:r>
                  <w:r>
                    <w:rPr>
                      <w:rFonts w:hint="default" w:ascii="Times New Roman" w:hAnsi="Times New Roman" w:eastAsia="宋体" w:cs="Times New Roman"/>
                      <w:color w:val="auto"/>
                      <w:sz w:val="21"/>
                      <w:szCs w:val="21"/>
                      <w:lang w:val="en-US" w:eastAsia="zh-CN"/>
                    </w:rPr>
                    <w:t>破碎、筛分生产线</w:t>
                  </w:r>
                </w:p>
              </w:tc>
              <w:tc>
                <w:tcPr>
                  <w:tcW w:w="1195" w:type="pct"/>
                  <w:vAlign w:val="center"/>
                </w:tcPr>
                <w:p w14:paraId="61B3D2DB">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振动给料机</w:t>
                  </w:r>
                </w:p>
              </w:tc>
              <w:tc>
                <w:tcPr>
                  <w:tcW w:w="1302" w:type="pct"/>
                  <w:vAlign w:val="center"/>
                </w:tcPr>
                <w:p w14:paraId="73F4A80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ZSW4913</w:t>
                  </w:r>
                </w:p>
              </w:tc>
              <w:tc>
                <w:tcPr>
                  <w:tcW w:w="1302" w:type="pct"/>
                  <w:vAlign w:val="center"/>
                </w:tcPr>
                <w:p w14:paraId="2D9FDC91">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 台</w:t>
                  </w:r>
                </w:p>
              </w:tc>
            </w:tr>
            <w:tr w14:paraId="6EB66ADF">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1094E037">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w:t>
                  </w:r>
                </w:p>
              </w:tc>
              <w:tc>
                <w:tcPr>
                  <w:tcW w:w="294" w:type="pct"/>
                  <w:vMerge w:val="continue"/>
                  <w:vAlign w:val="center"/>
                </w:tcPr>
                <w:p w14:paraId="365A838E">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3E27A78D">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5E17B501">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反击式破碎机</w:t>
                  </w:r>
                </w:p>
              </w:tc>
              <w:tc>
                <w:tcPr>
                  <w:tcW w:w="1302" w:type="pct"/>
                  <w:vAlign w:val="center"/>
                </w:tcPr>
                <w:p w14:paraId="35244588">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PF-1317</w:t>
                  </w:r>
                </w:p>
              </w:tc>
              <w:tc>
                <w:tcPr>
                  <w:tcW w:w="1302" w:type="pct"/>
                  <w:vAlign w:val="center"/>
                </w:tcPr>
                <w:p w14:paraId="05784238">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 台</w:t>
                  </w:r>
                </w:p>
              </w:tc>
            </w:tr>
            <w:tr w14:paraId="2FF20D7C">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64D2D1E3">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3</w:t>
                  </w:r>
                </w:p>
              </w:tc>
              <w:tc>
                <w:tcPr>
                  <w:tcW w:w="294" w:type="pct"/>
                  <w:vMerge w:val="continue"/>
                  <w:vAlign w:val="center"/>
                </w:tcPr>
                <w:p w14:paraId="51CC08E3">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085ABB57">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2BABFD3F">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振动筛</w:t>
                  </w:r>
                </w:p>
              </w:tc>
              <w:tc>
                <w:tcPr>
                  <w:tcW w:w="1302" w:type="pct"/>
                  <w:vAlign w:val="center"/>
                </w:tcPr>
                <w:p w14:paraId="6F2DA0F0">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YK3-3075</w:t>
                  </w:r>
                </w:p>
              </w:tc>
              <w:tc>
                <w:tcPr>
                  <w:tcW w:w="1302" w:type="pct"/>
                  <w:vAlign w:val="center"/>
                </w:tcPr>
                <w:p w14:paraId="28CB799F">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 台</w:t>
                  </w:r>
                </w:p>
              </w:tc>
            </w:tr>
            <w:tr w14:paraId="4CC4EF9F">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159DE766">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4</w:t>
                  </w:r>
                </w:p>
              </w:tc>
              <w:tc>
                <w:tcPr>
                  <w:tcW w:w="294" w:type="pct"/>
                  <w:vMerge w:val="continue"/>
                  <w:vAlign w:val="center"/>
                </w:tcPr>
                <w:p w14:paraId="226F5477">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47C699D7">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6583AC65">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1号皮带机</w:t>
                  </w:r>
                </w:p>
              </w:tc>
              <w:tc>
                <w:tcPr>
                  <w:tcW w:w="1302" w:type="pct"/>
                  <w:vAlign w:val="center"/>
                </w:tcPr>
                <w:p w14:paraId="442F23E0">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1.2米×30米</w:t>
                  </w:r>
                </w:p>
              </w:tc>
              <w:tc>
                <w:tcPr>
                  <w:tcW w:w="1302" w:type="pct"/>
                  <w:vAlign w:val="center"/>
                </w:tcPr>
                <w:p w14:paraId="75196EC7">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0DCBCB0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45EE7E4D">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5</w:t>
                  </w:r>
                </w:p>
              </w:tc>
              <w:tc>
                <w:tcPr>
                  <w:tcW w:w="294" w:type="pct"/>
                  <w:vMerge w:val="continue"/>
                  <w:vAlign w:val="center"/>
                </w:tcPr>
                <w:p w14:paraId="5F7E5413">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121324D1">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192B7848">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2号皮带机</w:t>
                  </w:r>
                </w:p>
              </w:tc>
              <w:tc>
                <w:tcPr>
                  <w:tcW w:w="1302" w:type="pct"/>
                  <w:vAlign w:val="center"/>
                </w:tcPr>
                <w:p w14:paraId="3AB9952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0.8米×40米</w:t>
                  </w:r>
                </w:p>
              </w:tc>
              <w:tc>
                <w:tcPr>
                  <w:tcW w:w="1302" w:type="pct"/>
                  <w:vAlign w:val="center"/>
                </w:tcPr>
                <w:p w14:paraId="4F90196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289B920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2B2B9BF1">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6</w:t>
                  </w:r>
                </w:p>
              </w:tc>
              <w:tc>
                <w:tcPr>
                  <w:tcW w:w="294" w:type="pct"/>
                  <w:vMerge w:val="continue"/>
                  <w:vAlign w:val="center"/>
                </w:tcPr>
                <w:p w14:paraId="699EC102">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2274FC99">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164CEF49">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3号皮带机</w:t>
                  </w:r>
                </w:p>
              </w:tc>
              <w:tc>
                <w:tcPr>
                  <w:tcW w:w="1302" w:type="pct"/>
                  <w:vAlign w:val="center"/>
                </w:tcPr>
                <w:p w14:paraId="05CCDC32">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0.65米×15米</w:t>
                  </w:r>
                </w:p>
              </w:tc>
              <w:tc>
                <w:tcPr>
                  <w:tcW w:w="1302" w:type="pct"/>
                  <w:vAlign w:val="center"/>
                </w:tcPr>
                <w:p w14:paraId="7CBAE43B">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06012CE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24C90C2B">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bookmarkStart w:id="39" w:name="OLE_LINK239" w:colFirst="1" w:colLast="2"/>
                  <w:r>
                    <w:rPr>
                      <w:rFonts w:hint="default" w:ascii="Times New Roman" w:hAnsi="Times New Roman" w:eastAsia="宋体" w:cs="Times New Roman"/>
                      <w:color w:val="auto"/>
                      <w:sz w:val="21"/>
                      <w:szCs w:val="21"/>
                    </w:rPr>
                    <w:t>7</w:t>
                  </w:r>
                </w:p>
              </w:tc>
              <w:tc>
                <w:tcPr>
                  <w:tcW w:w="294" w:type="pct"/>
                  <w:vMerge w:val="continue"/>
                  <w:vAlign w:val="center"/>
                </w:tcPr>
                <w:p w14:paraId="54206567">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5E3CB822">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5A598883">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4号皮带机</w:t>
                  </w:r>
                </w:p>
              </w:tc>
              <w:tc>
                <w:tcPr>
                  <w:tcW w:w="1302" w:type="pct"/>
                  <w:vAlign w:val="center"/>
                </w:tcPr>
                <w:p w14:paraId="1651A508">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0.65米×15米</w:t>
                  </w:r>
                </w:p>
              </w:tc>
              <w:tc>
                <w:tcPr>
                  <w:tcW w:w="1302" w:type="pct"/>
                  <w:vAlign w:val="center"/>
                </w:tcPr>
                <w:p w14:paraId="79E86E7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49F4ADFA">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35446C4B">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bookmarkStart w:id="40" w:name="OLE_LINK181" w:colFirst="1" w:colLast="2"/>
                  <w:bookmarkStart w:id="41" w:name="OLE_LINK217" w:colFirst="3" w:colLast="3"/>
                  <w:r>
                    <w:rPr>
                      <w:rFonts w:hint="default" w:ascii="Times New Roman" w:hAnsi="Times New Roman" w:eastAsia="宋体" w:cs="Times New Roman"/>
                      <w:color w:val="auto"/>
                      <w:sz w:val="21"/>
                      <w:szCs w:val="21"/>
                    </w:rPr>
                    <w:t>8</w:t>
                  </w:r>
                </w:p>
              </w:tc>
              <w:tc>
                <w:tcPr>
                  <w:tcW w:w="294" w:type="pct"/>
                  <w:vMerge w:val="continue"/>
                  <w:vAlign w:val="center"/>
                </w:tcPr>
                <w:p w14:paraId="74512F58">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7D1E6106">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23468F2E">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5号皮带机</w:t>
                  </w:r>
                </w:p>
              </w:tc>
              <w:tc>
                <w:tcPr>
                  <w:tcW w:w="1302" w:type="pct"/>
                  <w:vAlign w:val="center"/>
                </w:tcPr>
                <w:p w14:paraId="24086A01">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0.65米×15米</w:t>
                  </w:r>
                </w:p>
              </w:tc>
              <w:tc>
                <w:tcPr>
                  <w:tcW w:w="1302" w:type="pct"/>
                  <w:vAlign w:val="center"/>
                </w:tcPr>
                <w:p w14:paraId="510A4281">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61EF340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4F21EEB1">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9</w:t>
                  </w:r>
                </w:p>
              </w:tc>
              <w:tc>
                <w:tcPr>
                  <w:tcW w:w="294" w:type="pct"/>
                  <w:vMerge w:val="continue"/>
                  <w:vAlign w:val="center"/>
                </w:tcPr>
                <w:p w14:paraId="3C27F822">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6FA53F47">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62FCD365">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6号皮带机</w:t>
                  </w:r>
                </w:p>
              </w:tc>
              <w:tc>
                <w:tcPr>
                  <w:tcW w:w="1302" w:type="pct"/>
                  <w:vAlign w:val="center"/>
                </w:tcPr>
                <w:p w14:paraId="61C65974">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0.65米×15米</w:t>
                  </w:r>
                </w:p>
              </w:tc>
              <w:tc>
                <w:tcPr>
                  <w:tcW w:w="1302" w:type="pct"/>
                  <w:vAlign w:val="center"/>
                </w:tcPr>
                <w:p w14:paraId="1A282F12">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37D661A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52EE38F1">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294" w:type="pct"/>
                  <w:vMerge w:val="continue"/>
                  <w:vAlign w:val="center"/>
                </w:tcPr>
                <w:p w14:paraId="5E9D921B">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19B1E50C">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75CB93BD">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除铁器</w:t>
                  </w:r>
                </w:p>
              </w:tc>
              <w:tc>
                <w:tcPr>
                  <w:tcW w:w="1302" w:type="pct"/>
                  <w:vAlign w:val="center"/>
                </w:tcPr>
                <w:p w14:paraId="71E644E9">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RCYD-10</w:t>
                  </w:r>
                </w:p>
              </w:tc>
              <w:tc>
                <w:tcPr>
                  <w:tcW w:w="1302" w:type="pct"/>
                  <w:vAlign w:val="center"/>
                </w:tcPr>
                <w:p w14:paraId="10D603A3">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 台</w:t>
                  </w:r>
                </w:p>
              </w:tc>
            </w:tr>
            <w:bookmarkEnd w:id="40"/>
            <w:tr w14:paraId="342F7EA0">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34" w:type="pct"/>
                  <w:shd w:val="clear" w:color="auto" w:fill="auto"/>
                  <w:vAlign w:val="center"/>
                </w:tcPr>
                <w:p w14:paraId="055ED849">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bookmarkStart w:id="42" w:name="OLE_LINK221" w:colFirst="1" w:colLast="2"/>
                  <w:r>
                    <w:rPr>
                      <w:rFonts w:hint="default" w:ascii="Times New Roman" w:hAnsi="Times New Roman" w:eastAsia="宋体" w:cs="Times New Roman"/>
                      <w:color w:val="auto"/>
                      <w:sz w:val="21"/>
                      <w:szCs w:val="21"/>
                    </w:rPr>
                    <w:t>11</w:t>
                  </w:r>
                </w:p>
              </w:tc>
              <w:tc>
                <w:tcPr>
                  <w:tcW w:w="294" w:type="pct"/>
                  <w:vMerge w:val="continue"/>
                  <w:vAlign w:val="center"/>
                </w:tcPr>
                <w:p w14:paraId="3F8836EA">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33EC5DE6">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0CB0571B">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除尘器</w:t>
                  </w:r>
                </w:p>
              </w:tc>
              <w:tc>
                <w:tcPr>
                  <w:tcW w:w="1302" w:type="pct"/>
                  <w:vAlign w:val="center"/>
                </w:tcPr>
                <w:p w14:paraId="404816B4">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DMC-400</w:t>
                  </w:r>
                </w:p>
              </w:tc>
              <w:tc>
                <w:tcPr>
                  <w:tcW w:w="1302" w:type="pct"/>
                  <w:vAlign w:val="center"/>
                </w:tcPr>
                <w:p w14:paraId="3AED6F57">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 台</w:t>
                  </w:r>
                </w:p>
              </w:tc>
            </w:tr>
            <w:tr w14:paraId="1BCA7F6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6B0F9AAC">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12</w:t>
                  </w:r>
                </w:p>
              </w:tc>
              <w:tc>
                <w:tcPr>
                  <w:tcW w:w="294" w:type="pct"/>
                  <w:vMerge w:val="continue"/>
                  <w:vAlign w:val="center"/>
                </w:tcPr>
                <w:p w14:paraId="4DF6052A">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4527FF7D">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5C552103">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设备控制柜</w:t>
                  </w:r>
                </w:p>
              </w:tc>
              <w:tc>
                <w:tcPr>
                  <w:tcW w:w="1302" w:type="pct"/>
                  <w:vAlign w:val="center"/>
                </w:tcPr>
                <w:p w14:paraId="7C54B801">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配套</w:t>
                  </w:r>
                </w:p>
              </w:tc>
              <w:tc>
                <w:tcPr>
                  <w:tcW w:w="1302" w:type="pct"/>
                  <w:vAlign w:val="center"/>
                </w:tcPr>
                <w:p w14:paraId="2AB32813">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 台</w:t>
                  </w:r>
                </w:p>
              </w:tc>
            </w:tr>
            <w:tr w14:paraId="14AB382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51DA5F5E">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13</w:t>
                  </w:r>
                </w:p>
              </w:tc>
              <w:tc>
                <w:tcPr>
                  <w:tcW w:w="294" w:type="pct"/>
                  <w:vMerge w:val="continue"/>
                  <w:vAlign w:val="center"/>
                </w:tcPr>
                <w:p w14:paraId="3557FC4E">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1395A8AC">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150146FB">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链板给料机</w:t>
                  </w:r>
                </w:p>
              </w:tc>
              <w:tc>
                <w:tcPr>
                  <w:tcW w:w="1302" w:type="pct"/>
                  <w:vAlign w:val="center"/>
                </w:tcPr>
                <w:p w14:paraId="40B67165">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YH-1240</w:t>
                  </w:r>
                </w:p>
              </w:tc>
              <w:tc>
                <w:tcPr>
                  <w:tcW w:w="1302" w:type="pct"/>
                  <w:vAlign w:val="center"/>
                </w:tcPr>
                <w:p w14:paraId="1148F308">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1台</w:t>
                  </w:r>
                </w:p>
              </w:tc>
            </w:tr>
            <w:tr w14:paraId="439A7DA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21D89383">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15</w:t>
                  </w:r>
                </w:p>
              </w:tc>
              <w:tc>
                <w:tcPr>
                  <w:tcW w:w="294" w:type="pct"/>
                  <w:vMerge w:val="continue"/>
                  <w:vAlign w:val="center"/>
                </w:tcPr>
                <w:p w14:paraId="35D5BA6C">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3747B29A">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5D6FBB24">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粗选筛</w:t>
                  </w:r>
                </w:p>
              </w:tc>
              <w:tc>
                <w:tcPr>
                  <w:tcW w:w="1302" w:type="pct"/>
                  <w:vAlign w:val="center"/>
                </w:tcPr>
                <w:p w14:paraId="0EEE2D68">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YH-1540</w:t>
                  </w:r>
                </w:p>
              </w:tc>
              <w:tc>
                <w:tcPr>
                  <w:tcW w:w="1302" w:type="pct"/>
                  <w:vAlign w:val="center"/>
                </w:tcPr>
                <w:p w14:paraId="72C95D19">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1台</w:t>
                  </w:r>
                </w:p>
              </w:tc>
            </w:tr>
            <w:tr w14:paraId="71ED8BDC">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575541B0">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16</w:t>
                  </w:r>
                </w:p>
              </w:tc>
              <w:tc>
                <w:tcPr>
                  <w:tcW w:w="294" w:type="pct"/>
                  <w:vMerge w:val="continue"/>
                  <w:vAlign w:val="center"/>
                </w:tcPr>
                <w:p w14:paraId="0937959D">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504A85DC">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5A97BDDF">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滚筒筛</w:t>
                  </w:r>
                </w:p>
              </w:tc>
              <w:tc>
                <w:tcPr>
                  <w:tcW w:w="1302" w:type="pct"/>
                  <w:vAlign w:val="center"/>
                </w:tcPr>
                <w:p w14:paraId="241C65A3">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2米×8米</w:t>
                  </w:r>
                </w:p>
              </w:tc>
              <w:tc>
                <w:tcPr>
                  <w:tcW w:w="1302" w:type="pct"/>
                  <w:vAlign w:val="center"/>
                </w:tcPr>
                <w:p w14:paraId="229431C6">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1台</w:t>
                  </w:r>
                </w:p>
              </w:tc>
            </w:tr>
            <w:tr w14:paraId="03B668D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3821C0AA">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17</w:t>
                  </w:r>
                </w:p>
              </w:tc>
              <w:tc>
                <w:tcPr>
                  <w:tcW w:w="294" w:type="pct"/>
                  <w:vMerge w:val="continue"/>
                  <w:vAlign w:val="center"/>
                </w:tcPr>
                <w:p w14:paraId="51BD18C6">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496605C0">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2AF58D09">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风选机</w:t>
                  </w:r>
                </w:p>
              </w:tc>
              <w:tc>
                <w:tcPr>
                  <w:tcW w:w="1302" w:type="pct"/>
                  <w:shd w:val="clear" w:color="auto" w:fill="auto"/>
                  <w:vAlign w:val="center"/>
                </w:tcPr>
                <w:p w14:paraId="7C289636">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YH-30型</w:t>
                  </w:r>
                </w:p>
              </w:tc>
              <w:tc>
                <w:tcPr>
                  <w:tcW w:w="1302" w:type="pct"/>
                  <w:shd w:val="clear" w:color="auto" w:fill="auto"/>
                  <w:vAlign w:val="center"/>
                </w:tcPr>
                <w:p w14:paraId="23FCCB9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1台</w:t>
                  </w:r>
                </w:p>
              </w:tc>
            </w:tr>
            <w:tr w14:paraId="6135ED6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582167F7">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8</w:t>
                  </w:r>
                </w:p>
              </w:tc>
              <w:tc>
                <w:tcPr>
                  <w:tcW w:w="294" w:type="pct"/>
                  <w:vMerge w:val="continue"/>
                  <w:vAlign w:val="center"/>
                </w:tcPr>
                <w:p w14:paraId="4D0BA8D8">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4C51EA8A">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1FE16980">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人工分拣台</w:t>
                  </w:r>
                </w:p>
              </w:tc>
              <w:tc>
                <w:tcPr>
                  <w:tcW w:w="1302" w:type="pct"/>
                  <w:shd w:val="clear" w:color="auto" w:fill="auto"/>
                  <w:vAlign w:val="center"/>
                </w:tcPr>
                <w:p w14:paraId="5A79953E">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1米×8米</w:t>
                  </w:r>
                </w:p>
              </w:tc>
              <w:tc>
                <w:tcPr>
                  <w:tcW w:w="1302" w:type="pct"/>
                  <w:shd w:val="clear" w:color="auto" w:fill="auto"/>
                  <w:vAlign w:val="center"/>
                </w:tcPr>
                <w:p w14:paraId="578B088D">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1台</w:t>
                  </w:r>
                </w:p>
              </w:tc>
            </w:tr>
            <w:tr w14:paraId="5D5F5930">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2D45D6BB">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9</w:t>
                  </w:r>
                </w:p>
              </w:tc>
              <w:tc>
                <w:tcPr>
                  <w:tcW w:w="294" w:type="pct"/>
                  <w:vMerge w:val="continue"/>
                  <w:vAlign w:val="center"/>
                </w:tcPr>
                <w:p w14:paraId="0BAE4960">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1F03CB5C">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47A85458">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除铁器</w:t>
                  </w:r>
                </w:p>
              </w:tc>
              <w:tc>
                <w:tcPr>
                  <w:tcW w:w="1302" w:type="pct"/>
                  <w:shd w:val="clear" w:color="auto" w:fill="auto"/>
                  <w:vAlign w:val="center"/>
                </w:tcPr>
                <w:p w14:paraId="094E29F1">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RCYD-10</w:t>
                  </w:r>
                </w:p>
              </w:tc>
              <w:tc>
                <w:tcPr>
                  <w:tcW w:w="1302" w:type="pct"/>
                  <w:shd w:val="clear" w:color="auto" w:fill="auto"/>
                  <w:vAlign w:val="center"/>
                </w:tcPr>
                <w:p w14:paraId="2DEC258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1台</w:t>
                  </w:r>
                </w:p>
              </w:tc>
            </w:tr>
            <w:tr w14:paraId="3C71832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3C7B92E7">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20</w:t>
                  </w:r>
                </w:p>
              </w:tc>
              <w:tc>
                <w:tcPr>
                  <w:tcW w:w="294" w:type="pct"/>
                  <w:vMerge w:val="continue"/>
                  <w:vAlign w:val="center"/>
                </w:tcPr>
                <w:p w14:paraId="1434743D">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37364151">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464C0F51">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撕碎机</w:t>
                  </w:r>
                </w:p>
              </w:tc>
              <w:tc>
                <w:tcPr>
                  <w:tcW w:w="1302" w:type="pct"/>
                  <w:shd w:val="clear" w:color="auto" w:fill="auto"/>
                  <w:vAlign w:val="center"/>
                </w:tcPr>
                <w:p w14:paraId="57404A78">
                  <w:pPr>
                    <w:widowControl/>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w:t>
                  </w:r>
                </w:p>
              </w:tc>
              <w:tc>
                <w:tcPr>
                  <w:tcW w:w="1302" w:type="pct"/>
                  <w:shd w:val="clear" w:color="auto" w:fill="auto"/>
                  <w:vAlign w:val="center"/>
                </w:tcPr>
                <w:p w14:paraId="138F244D">
                  <w:pPr>
                    <w:widowControl/>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2</w:t>
                  </w:r>
                  <w:r>
                    <w:rPr>
                      <w:rFonts w:hint="default" w:ascii="Times New Roman" w:hAnsi="Times New Roman" w:eastAsia="宋体" w:cs="Times New Roman"/>
                      <w:color w:val="auto"/>
                      <w:sz w:val="21"/>
                      <w:szCs w:val="21"/>
                      <w:lang w:val="en-US" w:eastAsia="zh-CN"/>
                    </w:rPr>
                    <w:t>台</w:t>
                  </w:r>
                </w:p>
              </w:tc>
            </w:tr>
            <w:tr w14:paraId="7205070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22F71268">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21</w:t>
                  </w:r>
                </w:p>
              </w:tc>
              <w:tc>
                <w:tcPr>
                  <w:tcW w:w="294" w:type="pct"/>
                  <w:vMerge w:val="continue"/>
                  <w:vAlign w:val="center"/>
                </w:tcPr>
                <w:p w14:paraId="4F6258A4">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5FCC5CDD">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0E646E8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1号皮带机</w:t>
                  </w:r>
                </w:p>
              </w:tc>
              <w:tc>
                <w:tcPr>
                  <w:tcW w:w="1302" w:type="pct"/>
                  <w:shd w:val="clear" w:color="auto" w:fill="auto"/>
                  <w:vAlign w:val="center"/>
                </w:tcPr>
                <w:p w14:paraId="44595B16">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1.2米×12米</w:t>
                  </w:r>
                </w:p>
              </w:tc>
              <w:tc>
                <w:tcPr>
                  <w:tcW w:w="1302" w:type="pct"/>
                  <w:shd w:val="clear" w:color="auto" w:fill="auto"/>
                  <w:vAlign w:val="center"/>
                </w:tcPr>
                <w:p w14:paraId="657A16F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34D69FD6">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1E163A5E">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22</w:t>
                  </w:r>
                </w:p>
              </w:tc>
              <w:tc>
                <w:tcPr>
                  <w:tcW w:w="294" w:type="pct"/>
                  <w:vMerge w:val="continue"/>
                  <w:vAlign w:val="center"/>
                </w:tcPr>
                <w:p w14:paraId="09C5511A">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663B429C">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482F29F4">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2号皮带机</w:t>
                  </w:r>
                </w:p>
              </w:tc>
              <w:tc>
                <w:tcPr>
                  <w:tcW w:w="1302" w:type="pct"/>
                  <w:shd w:val="clear" w:color="auto" w:fill="auto"/>
                  <w:vAlign w:val="center"/>
                </w:tcPr>
                <w:p w14:paraId="7639F360">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1.2米×14米</w:t>
                  </w:r>
                </w:p>
              </w:tc>
              <w:tc>
                <w:tcPr>
                  <w:tcW w:w="1302" w:type="pct"/>
                  <w:shd w:val="clear" w:color="auto" w:fill="auto"/>
                  <w:vAlign w:val="center"/>
                </w:tcPr>
                <w:p w14:paraId="714D1EBD">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3E9E933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513508A3">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23</w:t>
                  </w:r>
                </w:p>
              </w:tc>
              <w:tc>
                <w:tcPr>
                  <w:tcW w:w="294" w:type="pct"/>
                  <w:vMerge w:val="continue"/>
                  <w:vAlign w:val="center"/>
                </w:tcPr>
                <w:p w14:paraId="2B3B3F25">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47D64260">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32DBF127">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3号皮带机</w:t>
                  </w:r>
                </w:p>
              </w:tc>
              <w:tc>
                <w:tcPr>
                  <w:tcW w:w="1302" w:type="pct"/>
                  <w:shd w:val="clear" w:color="auto" w:fill="auto"/>
                  <w:vAlign w:val="center"/>
                </w:tcPr>
                <w:p w14:paraId="6ACA7FB2">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1米×12米</w:t>
                  </w:r>
                </w:p>
              </w:tc>
              <w:tc>
                <w:tcPr>
                  <w:tcW w:w="1302" w:type="pct"/>
                  <w:shd w:val="clear" w:color="auto" w:fill="auto"/>
                  <w:vAlign w:val="center"/>
                </w:tcPr>
                <w:p w14:paraId="51B9DD99">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0E8E2A9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7DD51909">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24</w:t>
                  </w:r>
                </w:p>
              </w:tc>
              <w:tc>
                <w:tcPr>
                  <w:tcW w:w="294" w:type="pct"/>
                  <w:vMerge w:val="continue"/>
                  <w:vAlign w:val="center"/>
                </w:tcPr>
                <w:p w14:paraId="19C42708">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151FD19F">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72A3413C">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4号皮带机</w:t>
                  </w:r>
                </w:p>
              </w:tc>
              <w:tc>
                <w:tcPr>
                  <w:tcW w:w="1302" w:type="pct"/>
                  <w:shd w:val="clear" w:color="auto" w:fill="auto"/>
                  <w:vAlign w:val="center"/>
                </w:tcPr>
                <w:p w14:paraId="62914715">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1.2米×10米</w:t>
                  </w:r>
                </w:p>
              </w:tc>
              <w:tc>
                <w:tcPr>
                  <w:tcW w:w="1302" w:type="pct"/>
                  <w:shd w:val="clear" w:color="auto" w:fill="auto"/>
                  <w:vAlign w:val="center"/>
                </w:tcPr>
                <w:p w14:paraId="59F8FF45">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68BB823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0B1FD1F3">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w:t>
                  </w:r>
                </w:p>
              </w:tc>
              <w:tc>
                <w:tcPr>
                  <w:tcW w:w="294" w:type="pct"/>
                  <w:vMerge w:val="continue"/>
                  <w:vAlign w:val="center"/>
                </w:tcPr>
                <w:p w14:paraId="0C223B2F">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719B968C">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602251F2">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5号皮带机</w:t>
                  </w:r>
                </w:p>
              </w:tc>
              <w:tc>
                <w:tcPr>
                  <w:tcW w:w="1302" w:type="pct"/>
                  <w:shd w:val="clear" w:color="auto" w:fill="auto"/>
                  <w:vAlign w:val="center"/>
                </w:tcPr>
                <w:p w14:paraId="3975F1B1">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1米×10米</w:t>
                  </w:r>
                </w:p>
              </w:tc>
              <w:tc>
                <w:tcPr>
                  <w:tcW w:w="1302" w:type="pct"/>
                  <w:shd w:val="clear" w:color="auto" w:fill="auto"/>
                  <w:vAlign w:val="center"/>
                </w:tcPr>
                <w:p w14:paraId="5C6757D7">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1架</w:t>
                  </w:r>
                </w:p>
              </w:tc>
            </w:tr>
            <w:tr w14:paraId="0DA0FE9E">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1E31246B">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26</w:t>
                  </w:r>
                </w:p>
              </w:tc>
              <w:tc>
                <w:tcPr>
                  <w:tcW w:w="294" w:type="pct"/>
                  <w:vMerge w:val="continue"/>
                  <w:vAlign w:val="center"/>
                </w:tcPr>
                <w:p w14:paraId="2A1ABB95">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76CDED2E">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65956F6B">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6号皮带机</w:t>
                  </w:r>
                </w:p>
              </w:tc>
              <w:tc>
                <w:tcPr>
                  <w:tcW w:w="1302" w:type="pct"/>
                  <w:shd w:val="clear" w:color="auto" w:fill="auto"/>
                  <w:vAlign w:val="center"/>
                </w:tcPr>
                <w:p w14:paraId="4471DBD1">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1米×10米</w:t>
                  </w:r>
                </w:p>
              </w:tc>
              <w:tc>
                <w:tcPr>
                  <w:tcW w:w="1302" w:type="pct"/>
                  <w:shd w:val="clear" w:color="auto" w:fill="auto"/>
                  <w:vAlign w:val="center"/>
                </w:tcPr>
                <w:p w14:paraId="0D64CD55">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1架</w:t>
                  </w:r>
                </w:p>
              </w:tc>
            </w:tr>
            <w:tr w14:paraId="4787955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03C1BFA0">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27</w:t>
                  </w:r>
                </w:p>
              </w:tc>
              <w:tc>
                <w:tcPr>
                  <w:tcW w:w="294" w:type="pct"/>
                  <w:vMerge w:val="continue"/>
                  <w:vAlign w:val="center"/>
                </w:tcPr>
                <w:p w14:paraId="15180012">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3D359B13">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22C380CE">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皮带机刮泥板</w:t>
                  </w:r>
                </w:p>
              </w:tc>
              <w:tc>
                <w:tcPr>
                  <w:tcW w:w="1302" w:type="pct"/>
                  <w:shd w:val="clear" w:color="auto" w:fill="auto"/>
                  <w:vAlign w:val="center"/>
                </w:tcPr>
                <w:p w14:paraId="34900F36">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配套</w:t>
                  </w:r>
                </w:p>
              </w:tc>
              <w:tc>
                <w:tcPr>
                  <w:tcW w:w="1302" w:type="pct"/>
                  <w:shd w:val="clear" w:color="auto" w:fill="auto"/>
                  <w:vAlign w:val="center"/>
                </w:tcPr>
                <w:p w14:paraId="5D1C4475">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6件</w:t>
                  </w:r>
                </w:p>
              </w:tc>
            </w:tr>
            <w:tr w14:paraId="55FB99E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6C6803DD">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28</w:t>
                  </w:r>
                </w:p>
              </w:tc>
              <w:tc>
                <w:tcPr>
                  <w:tcW w:w="294" w:type="pct"/>
                  <w:vMerge w:val="continue"/>
                  <w:vAlign w:val="center"/>
                </w:tcPr>
                <w:p w14:paraId="5121D2A9">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0BC08A3B">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7791C880">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除尘器</w:t>
                  </w:r>
                </w:p>
              </w:tc>
              <w:tc>
                <w:tcPr>
                  <w:tcW w:w="1302" w:type="pct"/>
                  <w:shd w:val="clear" w:color="auto" w:fill="auto"/>
                  <w:vAlign w:val="center"/>
                </w:tcPr>
                <w:p w14:paraId="5F902838">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DMC-400</w:t>
                  </w:r>
                </w:p>
              </w:tc>
              <w:tc>
                <w:tcPr>
                  <w:tcW w:w="1302" w:type="pct"/>
                  <w:shd w:val="clear" w:color="auto" w:fill="auto"/>
                  <w:vAlign w:val="center"/>
                </w:tcPr>
                <w:p w14:paraId="1AC3AE0F">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1台</w:t>
                  </w:r>
                </w:p>
              </w:tc>
            </w:tr>
            <w:tr w14:paraId="3EDAC39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644EA121">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29</w:t>
                  </w:r>
                </w:p>
              </w:tc>
              <w:tc>
                <w:tcPr>
                  <w:tcW w:w="294" w:type="pct"/>
                  <w:vMerge w:val="continue"/>
                  <w:vAlign w:val="center"/>
                </w:tcPr>
                <w:p w14:paraId="0DF16787">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45D722A2">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4D440120">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设备控制柜</w:t>
                  </w:r>
                </w:p>
              </w:tc>
              <w:tc>
                <w:tcPr>
                  <w:tcW w:w="1302" w:type="pct"/>
                  <w:shd w:val="clear" w:color="auto" w:fill="auto"/>
                  <w:vAlign w:val="center"/>
                </w:tcPr>
                <w:p w14:paraId="6FDC41AC">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配套</w:t>
                  </w:r>
                </w:p>
              </w:tc>
              <w:tc>
                <w:tcPr>
                  <w:tcW w:w="1302" w:type="pct"/>
                  <w:shd w:val="clear" w:color="auto" w:fill="auto"/>
                  <w:vAlign w:val="center"/>
                </w:tcPr>
                <w:p w14:paraId="5F1C9505">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1台</w:t>
                  </w:r>
                </w:p>
              </w:tc>
            </w:tr>
            <w:tr w14:paraId="1E0C6B0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09" w:hRule="atLeast"/>
              </w:trPr>
              <w:tc>
                <w:tcPr>
                  <w:tcW w:w="534" w:type="pct"/>
                  <w:shd w:val="clear" w:color="auto" w:fill="auto"/>
                  <w:vAlign w:val="center"/>
                </w:tcPr>
                <w:p w14:paraId="7A7EB622">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30</w:t>
                  </w:r>
                </w:p>
              </w:tc>
              <w:tc>
                <w:tcPr>
                  <w:tcW w:w="294" w:type="pct"/>
                  <w:vMerge w:val="continue"/>
                  <w:vAlign w:val="center"/>
                </w:tcPr>
                <w:p w14:paraId="38F30039">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263BBC2D">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2AE1C894">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铲车</w:t>
                  </w:r>
                </w:p>
              </w:tc>
              <w:tc>
                <w:tcPr>
                  <w:tcW w:w="1302" w:type="pct"/>
                  <w:shd w:val="clear" w:color="auto" w:fill="auto"/>
                  <w:vAlign w:val="center"/>
                </w:tcPr>
                <w:p w14:paraId="4171AEA7">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302" w:type="pct"/>
                  <w:shd w:val="clear" w:color="auto" w:fill="auto"/>
                  <w:vAlign w:val="center"/>
                </w:tcPr>
                <w:p w14:paraId="1E8949DD">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2台</w:t>
                  </w:r>
                </w:p>
              </w:tc>
            </w:tr>
            <w:tr w14:paraId="00F3579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5B4CB941">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31</w:t>
                  </w:r>
                </w:p>
              </w:tc>
              <w:tc>
                <w:tcPr>
                  <w:tcW w:w="294" w:type="pct"/>
                  <w:vMerge w:val="continue"/>
                  <w:vAlign w:val="center"/>
                </w:tcPr>
                <w:p w14:paraId="0E67E9AF">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restart"/>
                  <w:vAlign w:val="center"/>
                </w:tcPr>
                <w:p w14:paraId="64211184">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水稳</w:t>
                  </w:r>
                  <w:r>
                    <w:rPr>
                      <w:rFonts w:hint="default" w:ascii="Times New Roman" w:hAnsi="Times New Roman" w:eastAsia="宋体" w:cs="Times New Roman"/>
                      <w:color w:val="auto"/>
                      <w:sz w:val="21"/>
                      <w:szCs w:val="21"/>
                      <w:lang w:val="en-US" w:eastAsia="zh-CN"/>
                    </w:rPr>
                    <w:t>生产线</w:t>
                  </w:r>
                </w:p>
              </w:tc>
              <w:tc>
                <w:tcPr>
                  <w:tcW w:w="1195" w:type="pct"/>
                  <w:vAlign w:val="center"/>
                </w:tcPr>
                <w:p w14:paraId="1D8A42BF">
                  <w:pPr>
                    <w:widowControl/>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水泥筒仓</w:t>
                  </w:r>
                </w:p>
              </w:tc>
              <w:tc>
                <w:tcPr>
                  <w:tcW w:w="1302" w:type="pct"/>
                  <w:vAlign w:val="center"/>
                </w:tcPr>
                <w:p w14:paraId="06BC3BBB">
                  <w:pPr>
                    <w:widowControl/>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100t</w:t>
                  </w:r>
                </w:p>
              </w:tc>
              <w:tc>
                <w:tcPr>
                  <w:tcW w:w="1302" w:type="pct"/>
                  <w:vAlign w:val="center"/>
                </w:tcPr>
                <w:p w14:paraId="5E84D9C1">
                  <w:pPr>
                    <w:widowControl/>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2</w:t>
                  </w:r>
                  <w:r>
                    <w:rPr>
                      <w:rFonts w:hint="default" w:ascii="Times New Roman" w:hAnsi="Times New Roman" w:eastAsia="宋体" w:cs="Times New Roman"/>
                      <w:color w:val="auto"/>
                      <w:sz w:val="21"/>
                      <w:szCs w:val="21"/>
                      <w:lang w:val="en-US" w:eastAsia="zh-CN"/>
                    </w:rPr>
                    <w:t>台</w:t>
                  </w:r>
                </w:p>
              </w:tc>
            </w:tr>
            <w:bookmarkEnd w:id="39"/>
            <w:bookmarkEnd w:id="41"/>
            <w:bookmarkEnd w:id="42"/>
            <w:tr w14:paraId="78933B9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0B0CC306">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32</w:t>
                  </w:r>
                </w:p>
              </w:tc>
              <w:tc>
                <w:tcPr>
                  <w:tcW w:w="294" w:type="pct"/>
                  <w:vMerge w:val="continue"/>
                  <w:vAlign w:val="center"/>
                </w:tcPr>
                <w:p w14:paraId="25018660">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7366E452">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4128C701">
                  <w:pPr>
                    <w:widowControl/>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混合搅拌机</w:t>
                  </w:r>
                </w:p>
              </w:tc>
              <w:tc>
                <w:tcPr>
                  <w:tcW w:w="1302" w:type="pct"/>
                  <w:vAlign w:val="center"/>
                </w:tcPr>
                <w:p w14:paraId="42F7655C">
                  <w:pPr>
                    <w:widowControl/>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w:t>
                  </w:r>
                </w:p>
              </w:tc>
              <w:tc>
                <w:tcPr>
                  <w:tcW w:w="1302" w:type="pct"/>
                  <w:vAlign w:val="center"/>
                </w:tcPr>
                <w:p w14:paraId="58309461">
                  <w:pPr>
                    <w:widowControl/>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color w:val="auto"/>
                      <w:sz w:val="21"/>
                      <w:szCs w:val="21"/>
                      <w:lang w:val="en-US" w:eastAsia="zh-CN"/>
                    </w:rPr>
                    <w:t>台</w:t>
                  </w:r>
                </w:p>
              </w:tc>
            </w:tr>
            <w:tr w14:paraId="02200DAE">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1AD108B1">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33</w:t>
                  </w:r>
                </w:p>
              </w:tc>
              <w:tc>
                <w:tcPr>
                  <w:tcW w:w="294" w:type="pct"/>
                  <w:vMerge w:val="continue"/>
                  <w:vAlign w:val="center"/>
                </w:tcPr>
                <w:p w14:paraId="561F4CDC">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4E737EB5">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2450E5BF">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给料料斗</w:t>
                  </w:r>
                </w:p>
              </w:tc>
              <w:tc>
                <w:tcPr>
                  <w:tcW w:w="1302" w:type="pct"/>
                  <w:vAlign w:val="center"/>
                </w:tcPr>
                <w:p w14:paraId="10098326">
                  <w:pPr>
                    <w:widowControl/>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w:t>
                  </w:r>
                </w:p>
              </w:tc>
              <w:tc>
                <w:tcPr>
                  <w:tcW w:w="1302" w:type="pct"/>
                  <w:vAlign w:val="center"/>
                </w:tcPr>
                <w:p w14:paraId="14E46A89">
                  <w:pPr>
                    <w:widowControl/>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lang w:val="en-US" w:eastAsia="zh-CN"/>
                    </w:rPr>
                    <w:t>3台</w:t>
                  </w:r>
                </w:p>
              </w:tc>
            </w:tr>
            <w:tr w14:paraId="6B6D9FA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c>
                <w:tcPr>
                  <w:tcW w:w="534" w:type="pct"/>
                  <w:shd w:val="clear" w:color="auto" w:fill="auto"/>
                  <w:vAlign w:val="center"/>
                </w:tcPr>
                <w:p w14:paraId="59C04D15">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34</w:t>
                  </w:r>
                </w:p>
              </w:tc>
              <w:tc>
                <w:tcPr>
                  <w:tcW w:w="294" w:type="pct"/>
                  <w:vMerge w:val="continue"/>
                  <w:vAlign w:val="center"/>
                </w:tcPr>
                <w:p w14:paraId="754E85D2">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24DE54D0">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vAlign w:val="center"/>
                </w:tcPr>
                <w:p w14:paraId="6A7A8C8B">
                  <w:pPr>
                    <w:widowControl/>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皮带输送装置</w:t>
                  </w:r>
                </w:p>
              </w:tc>
              <w:tc>
                <w:tcPr>
                  <w:tcW w:w="1302" w:type="pct"/>
                  <w:vAlign w:val="center"/>
                </w:tcPr>
                <w:p w14:paraId="363094F2">
                  <w:pPr>
                    <w:widowControl/>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w:t>
                  </w:r>
                </w:p>
              </w:tc>
              <w:tc>
                <w:tcPr>
                  <w:tcW w:w="1302" w:type="pct"/>
                  <w:vAlign w:val="center"/>
                </w:tcPr>
                <w:p w14:paraId="218E79BA">
                  <w:pPr>
                    <w:widowControl/>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2</w:t>
                  </w:r>
                  <w:r>
                    <w:rPr>
                      <w:rFonts w:hint="default" w:ascii="Times New Roman" w:hAnsi="Times New Roman" w:eastAsia="宋体" w:cs="Times New Roman"/>
                      <w:color w:val="auto"/>
                      <w:sz w:val="21"/>
                      <w:szCs w:val="21"/>
                      <w:lang w:val="en-US" w:eastAsia="zh-CN"/>
                    </w:rPr>
                    <w:t>台</w:t>
                  </w:r>
                </w:p>
              </w:tc>
            </w:tr>
            <w:tr w14:paraId="4D3AE9B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281" w:hRule="atLeast"/>
              </w:trPr>
              <w:tc>
                <w:tcPr>
                  <w:tcW w:w="534" w:type="pct"/>
                  <w:shd w:val="clear" w:color="auto" w:fill="auto"/>
                  <w:vAlign w:val="center"/>
                </w:tcPr>
                <w:p w14:paraId="5D5003FC">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35</w:t>
                  </w:r>
                </w:p>
              </w:tc>
              <w:tc>
                <w:tcPr>
                  <w:tcW w:w="294" w:type="pct"/>
                  <w:vMerge w:val="restart"/>
                  <w:vAlign w:val="center"/>
                </w:tcPr>
                <w:p w14:paraId="05825B83">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二号车间</w:t>
                  </w:r>
                </w:p>
              </w:tc>
              <w:tc>
                <w:tcPr>
                  <w:tcW w:w="369" w:type="pct"/>
                  <w:vMerge w:val="restart"/>
                  <w:vAlign w:val="center"/>
                </w:tcPr>
                <w:p w14:paraId="48930579">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RDF燃料生产线</w:t>
                  </w:r>
                </w:p>
              </w:tc>
              <w:tc>
                <w:tcPr>
                  <w:tcW w:w="1195" w:type="pct"/>
                  <w:shd w:val="clear" w:color="auto" w:fill="auto"/>
                  <w:vAlign w:val="center"/>
                </w:tcPr>
                <w:p w14:paraId="7230CDB1">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混合机</w:t>
                  </w:r>
                </w:p>
              </w:tc>
              <w:tc>
                <w:tcPr>
                  <w:tcW w:w="1302" w:type="pct"/>
                  <w:shd w:val="clear" w:color="auto" w:fill="auto"/>
                  <w:vAlign w:val="center"/>
                </w:tcPr>
                <w:p w14:paraId="12544BBB">
                  <w:pPr>
                    <w:widowControl/>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w:t>
                  </w:r>
                </w:p>
              </w:tc>
              <w:tc>
                <w:tcPr>
                  <w:tcW w:w="1302" w:type="pct"/>
                  <w:shd w:val="clear" w:color="auto" w:fill="auto"/>
                  <w:vAlign w:val="center"/>
                </w:tcPr>
                <w:p w14:paraId="639BC76A">
                  <w:pPr>
                    <w:widowControl/>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1</w:t>
                  </w:r>
                  <w:r>
                    <w:rPr>
                      <w:rFonts w:hint="default" w:ascii="Times New Roman" w:hAnsi="Times New Roman" w:eastAsia="宋体" w:cs="Times New Roman"/>
                      <w:color w:val="auto"/>
                      <w:sz w:val="21"/>
                      <w:szCs w:val="21"/>
                      <w:lang w:val="en-US" w:eastAsia="zh-CN"/>
                    </w:rPr>
                    <w:t>台</w:t>
                  </w:r>
                </w:p>
              </w:tc>
            </w:tr>
            <w:tr w14:paraId="23130A9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34" w:type="pct"/>
                  <w:shd w:val="clear" w:color="auto" w:fill="auto"/>
                  <w:vAlign w:val="center"/>
                </w:tcPr>
                <w:p w14:paraId="7F725142">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36</w:t>
                  </w:r>
                </w:p>
              </w:tc>
              <w:tc>
                <w:tcPr>
                  <w:tcW w:w="294" w:type="pct"/>
                  <w:vMerge w:val="continue"/>
                  <w:vAlign w:val="center"/>
                </w:tcPr>
                <w:p w14:paraId="6B7972E7">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5CBD0228">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48F31D45">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成型一体机</w:t>
                  </w:r>
                </w:p>
              </w:tc>
              <w:tc>
                <w:tcPr>
                  <w:tcW w:w="1302" w:type="pct"/>
                  <w:shd w:val="clear" w:color="auto" w:fill="auto"/>
                  <w:vAlign w:val="center"/>
                </w:tcPr>
                <w:p w14:paraId="045CC3B7">
                  <w:pPr>
                    <w:widowControl/>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1000 型</w:t>
                  </w:r>
                </w:p>
              </w:tc>
              <w:tc>
                <w:tcPr>
                  <w:tcW w:w="1302" w:type="pct"/>
                  <w:shd w:val="clear" w:color="auto" w:fill="auto"/>
                  <w:vAlign w:val="center"/>
                </w:tcPr>
                <w:p w14:paraId="01DBDE25">
                  <w:pPr>
                    <w:widowControl/>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5台</w:t>
                  </w:r>
                </w:p>
              </w:tc>
            </w:tr>
            <w:tr w14:paraId="0D46A7F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534" w:type="pct"/>
                  <w:shd w:val="clear" w:color="auto" w:fill="auto"/>
                  <w:vAlign w:val="center"/>
                </w:tcPr>
                <w:p w14:paraId="7DC8F989">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37</w:t>
                  </w:r>
                </w:p>
              </w:tc>
              <w:tc>
                <w:tcPr>
                  <w:tcW w:w="294" w:type="pct"/>
                  <w:vMerge w:val="continue"/>
                  <w:vAlign w:val="center"/>
                </w:tcPr>
                <w:p w14:paraId="18A7B3EB">
                  <w:pPr>
                    <w:spacing w:line="240" w:lineRule="auto"/>
                    <w:ind w:firstLine="0" w:firstLineChars="0"/>
                    <w:jc w:val="center"/>
                    <w:rPr>
                      <w:rFonts w:hint="default" w:ascii="Times New Roman" w:hAnsi="Times New Roman" w:eastAsia="宋体" w:cs="Times New Roman"/>
                      <w:color w:val="auto"/>
                      <w:sz w:val="21"/>
                      <w:szCs w:val="21"/>
                    </w:rPr>
                  </w:pPr>
                </w:p>
              </w:tc>
              <w:tc>
                <w:tcPr>
                  <w:tcW w:w="369" w:type="pct"/>
                  <w:vMerge w:val="continue"/>
                  <w:vAlign w:val="center"/>
                </w:tcPr>
                <w:p w14:paraId="44984D00">
                  <w:pPr>
                    <w:spacing w:line="240" w:lineRule="auto"/>
                    <w:ind w:firstLine="0" w:firstLineChars="0"/>
                    <w:jc w:val="center"/>
                    <w:rPr>
                      <w:rFonts w:hint="default" w:ascii="Times New Roman" w:hAnsi="Times New Roman" w:eastAsia="宋体" w:cs="Times New Roman"/>
                      <w:color w:val="auto"/>
                      <w:sz w:val="21"/>
                      <w:szCs w:val="21"/>
                    </w:rPr>
                  </w:pPr>
                </w:p>
              </w:tc>
              <w:tc>
                <w:tcPr>
                  <w:tcW w:w="1195" w:type="pct"/>
                  <w:shd w:val="clear" w:color="auto" w:fill="auto"/>
                  <w:vAlign w:val="center"/>
                </w:tcPr>
                <w:p w14:paraId="6B7F63F7">
                  <w:pPr>
                    <w:widowControl/>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密闭传送带</w:t>
                  </w:r>
                </w:p>
              </w:tc>
              <w:tc>
                <w:tcPr>
                  <w:tcW w:w="1302" w:type="pct"/>
                  <w:shd w:val="clear" w:color="auto" w:fill="auto"/>
                  <w:vAlign w:val="center"/>
                </w:tcPr>
                <w:p w14:paraId="6327F448">
                  <w:pPr>
                    <w:widowControl/>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w:t>
                  </w:r>
                </w:p>
              </w:tc>
              <w:tc>
                <w:tcPr>
                  <w:tcW w:w="1302" w:type="pct"/>
                  <w:shd w:val="clear" w:color="auto" w:fill="auto"/>
                  <w:vAlign w:val="center"/>
                </w:tcPr>
                <w:p w14:paraId="5196CE3C">
                  <w:pPr>
                    <w:widowControl/>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若干</w:t>
                  </w:r>
                </w:p>
              </w:tc>
            </w:tr>
            <w:bookmarkEnd w:id="37"/>
            <w:bookmarkEnd w:id="38"/>
          </w:tbl>
          <w:p w14:paraId="5F12BBF8">
            <w:pPr>
              <w:adjustRightInd w:val="0"/>
              <w:spacing w:line="360" w:lineRule="auto"/>
              <w:ind w:firstLine="472" w:firstLineChars="196"/>
              <w:rPr>
                <w:rFonts w:hint="default" w:ascii="Times New Roman" w:hAnsi="Times New Roman" w:eastAsia="宋体" w:cs="Times New Roman"/>
                <w:b/>
                <w:color w:val="auto"/>
                <w:sz w:val="24"/>
                <w:szCs w:val="24"/>
                <w:lang w:val="en-US" w:eastAsia="zh-CN"/>
              </w:rPr>
            </w:pPr>
            <w:r>
              <w:rPr>
                <w:rFonts w:hint="default" w:ascii="Times New Roman" w:hAnsi="Times New Roman" w:eastAsia="宋体" w:cs="Times New Roman"/>
                <w:b/>
                <w:color w:val="auto"/>
                <w:sz w:val="24"/>
                <w:szCs w:val="24"/>
                <w:lang w:val="en-US" w:eastAsia="zh-CN"/>
              </w:rPr>
              <w:t>生产设备与产能匹配性分析</w:t>
            </w:r>
          </w:p>
          <w:p w14:paraId="48456E15">
            <w:pPr>
              <w:adjustRightInd w:val="0"/>
              <w:spacing w:line="360" w:lineRule="auto"/>
              <w:ind w:firstLine="413" w:firstLineChars="196"/>
              <w:jc w:val="center"/>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表2-11生产能力和生产规模相匹配性分析表</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945"/>
              <w:gridCol w:w="455"/>
              <w:gridCol w:w="1319"/>
              <w:gridCol w:w="1055"/>
              <w:gridCol w:w="1362"/>
              <w:gridCol w:w="1070"/>
              <w:gridCol w:w="1629"/>
            </w:tblGrid>
            <w:tr w14:paraId="2EDE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99" w:type="pct"/>
                  <w:gridSpan w:val="2"/>
                  <w:noWrap w:val="0"/>
                  <w:vAlign w:val="center"/>
                </w:tcPr>
                <w:p w14:paraId="48678383">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eastAsia="宋体" w:cs="Times New Roman"/>
                      <w:b/>
                      <w:color w:val="auto"/>
                      <w:sz w:val="21"/>
                      <w:szCs w:val="21"/>
                      <w:vertAlign w:val="baseline"/>
                      <w:lang w:val="en-US" w:eastAsia="zh-CN"/>
                    </w:rPr>
                    <w:t>设备</w:t>
                  </w:r>
                </w:p>
              </w:tc>
              <w:tc>
                <w:tcPr>
                  <w:tcW w:w="264" w:type="pct"/>
                  <w:noWrap w:val="0"/>
                  <w:vAlign w:val="center"/>
                </w:tcPr>
                <w:p w14:paraId="48D80BB4">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eastAsia="宋体" w:cs="Times New Roman"/>
                      <w:b/>
                      <w:color w:val="auto"/>
                      <w:sz w:val="21"/>
                      <w:szCs w:val="21"/>
                      <w:vertAlign w:val="baseline"/>
                      <w:lang w:val="en-US" w:eastAsia="zh-CN"/>
                    </w:rPr>
                    <w:t>数量</w:t>
                  </w:r>
                </w:p>
              </w:tc>
              <w:tc>
                <w:tcPr>
                  <w:tcW w:w="765" w:type="pct"/>
                  <w:noWrap w:val="0"/>
                  <w:vAlign w:val="center"/>
                </w:tcPr>
                <w:p w14:paraId="36F5C4FD">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eastAsia="宋体" w:cs="Times New Roman"/>
                      <w:b/>
                      <w:color w:val="auto"/>
                      <w:sz w:val="21"/>
                      <w:szCs w:val="21"/>
                      <w:vertAlign w:val="baseline"/>
                      <w:lang w:val="en-US" w:eastAsia="zh-CN"/>
                    </w:rPr>
                    <w:t>单台设备产能</w:t>
                  </w:r>
                </w:p>
              </w:tc>
              <w:tc>
                <w:tcPr>
                  <w:tcW w:w="612" w:type="pct"/>
                  <w:noWrap w:val="0"/>
                  <w:vAlign w:val="center"/>
                </w:tcPr>
                <w:p w14:paraId="5B880311">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eastAsia="宋体" w:cs="Times New Roman"/>
                      <w:b/>
                      <w:color w:val="auto"/>
                      <w:sz w:val="21"/>
                      <w:szCs w:val="21"/>
                      <w:vertAlign w:val="baseline"/>
                      <w:lang w:val="en-US" w:eastAsia="zh-CN"/>
                    </w:rPr>
                    <w:t>年工作时间</w:t>
                  </w:r>
                </w:p>
              </w:tc>
              <w:tc>
                <w:tcPr>
                  <w:tcW w:w="790" w:type="pct"/>
                  <w:noWrap w:val="0"/>
                  <w:vAlign w:val="center"/>
                </w:tcPr>
                <w:p w14:paraId="222D3B8B">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eastAsia="宋体" w:cs="Times New Roman"/>
                      <w:b/>
                      <w:color w:val="auto"/>
                      <w:sz w:val="21"/>
                      <w:szCs w:val="21"/>
                      <w:vertAlign w:val="baseline"/>
                      <w:lang w:val="en-US" w:eastAsia="zh-CN"/>
                    </w:rPr>
                    <w:t>总设计产能</w:t>
                  </w:r>
                </w:p>
              </w:tc>
              <w:tc>
                <w:tcPr>
                  <w:tcW w:w="621" w:type="pct"/>
                  <w:noWrap w:val="0"/>
                  <w:vAlign w:val="center"/>
                </w:tcPr>
                <w:p w14:paraId="3FD3D1B0">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eastAsia="宋体" w:cs="Times New Roman"/>
                      <w:b/>
                      <w:color w:val="auto"/>
                      <w:sz w:val="21"/>
                      <w:szCs w:val="21"/>
                      <w:vertAlign w:val="baseline"/>
                      <w:lang w:val="en-US" w:eastAsia="zh-CN"/>
                    </w:rPr>
                    <w:t>实际产能</w:t>
                  </w:r>
                </w:p>
              </w:tc>
              <w:tc>
                <w:tcPr>
                  <w:tcW w:w="945" w:type="pct"/>
                  <w:noWrap w:val="0"/>
                  <w:vAlign w:val="center"/>
                </w:tcPr>
                <w:p w14:paraId="541DD54F">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color w:val="auto"/>
                      <w:sz w:val="21"/>
                      <w:szCs w:val="21"/>
                      <w:vertAlign w:val="baseline"/>
                      <w:lang w:val="en-US" w:eastAsia="zh-CN"/>
                    </w:rPr>
                  </w:pPr>
                  <w:r>
                    <w:rPr>
                      <w:rFonts w:hint="default" w:ascii="Times New Roman" w:hAnsi="Times New Roman" w:eastAsia="宋体" w:cs="Times New Roman"/>
                      <w:b/>
                      <w:color w:val="auto"/>
                      <w:sz w:val="21"/>
                      <w:szCs w:val="21"/>
                      <w:vertAlign w:val="baseline"/>
                      <w:lang w:val="en-US" w:eastAsia="zh-CN"/>
                    </w:rPr>
                    <w:t>能否满足生产要求</w:t>
                  </w:r>
                </w:p>
              </w:tc>
            </w:tr>
            <w:tr w14:paraId="57B2F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51" w:type="pct"/>
                  <w:vMerge w:val="restart"/>
                  <w:noWrap w:val="0"/>
                  <w:vAlign w:val="center"/>
                </w:tcPr>
                <w:p w14:paraId="65057C72">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原料破碎筛分</w:t>
                  </w:r>
                </w:p>
              </w:tc>
              <w:tc>
                <w:tcPr>
                  <w:tcW w:w="547" w:type="pct"/>
                  <w:noWrap w:val="0"/>
                  <w:vAlign w:val="center"/>
                </w:tcPr>
                <w:p w14:paraId="768126DE">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color w:val="auto"/>
                      <w:sz w:val="21"/>
                      <w:szCs w:val="21"/>
                      <w:lang w:val="en-US" w:eastAsia="zh-CN"/>
                    </w:rPr>
                    <w:t>反击式破碎机</w:t>
                  </w:r>
                </w:p>
              </w:tc>
              <w:tc>
                <w:tcPr>
                  <w:tcW w:w="264" w:type="pct"/>
                  <w:noWrap w:val="0"/>
                  <w:vAlign w:val="center"/>
                </w:tcPr>
                <w:p w14:paraId="54AEB677">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765" w:type="pct"/>
                  <w:noWrap w:val="0"/>
                  <w:vAlign w:val="center"/>
                </w:tcPr>
                <w:p w14:paraId="3A184277">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200t/h</w:t>
                  </w:r>
                </w:p>
              </w:tc>
              <w:tc>
                <w:tcPr>
                  <w:tcW w:w="612" w:type="pct"/>
                  <w:vMerge w:val="restart"/>
                  <w:noWrap w:val="0"/>
                  <w:vAlign w:val="center"/>
                </w:tcPr>
                <w:p w14:paraId="5F4DAFAE">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2560h</w:t>
                  </w:r>
                </w:p>
              </w:tc>
              <w:tc>
                <w:tcPr>
                  <w:tcW w:w="790" w:type="pct"/>
                  <w:noWrap w:val="0"/>
                  <w:vAlign w:val="center"/>
                </w:tcPr>
                <w:p w14:paraId="24F303C0">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512000t/h</w:t>
                  </w:r>
                </w:p>
              </w:tc>
              <w:tc>
                <w:tcPr>
                  <w:tcW w:w="621" w:type="pct"/>
                  <w:noWrap w:val="0"/>
                  <w:vAlign w:val="center"/>
                </w:tcPr>
                <w:p w14:paraId="15AA06E1">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500000t/h</w:t>
                  </w:r>
                </w:p>
              </w:tc>
              <w:tc>
                <w:tcPr>
                  <w:tcW w:w="945" w:type="pct"/>
                  <w:noWrap w:val="0"/>
                  <w:vAlign w:val="center"/>
                </w:tcPr>
                <w:p w14:paraId="0F8321CC">
                  <w:pPr>
                    <w:keepNext w:val="0"/>
                    <w:keepLines w:val="0"/>
                    <w:pageBreakBefore w:val="0"/>
                    <w:widowControl w:val="0"/>
                    <w:kinsoku/>
                    <w:wordWrap/>
                    <w:overflowPunct/>
                    <w:topLinePunct w:val="0"/>
                    <w:autoSpaceDE/>
                    <w:autoSpaceDN/>
                    <w:bidi w:val="0"/>
                    <w:snapToGrid/>
                    <w:spacing w:line="0" w:lineRule="atLeas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满足</w:t>
                  </w:r>
                </w:p>
              </w:tc>
            </w:tr>
            <w:tr w14:paraId="3F03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51" w:type="pct"/>
                  <w:vMerge w:val="continue"/>
                  <w:noWrap w:val="0"/>
                  <w:vAlign w:val="center"/>
                </w:tcPr>
                <w:p w14:paraId="513E1416">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547" w:type="pct"/>
                  <w:noWrap w:val="0"/>
                  <w:vAlign w:val="center"/>
                </w:tcPr>
                <w:p w14:paraId="4A397BC0">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振动筛</w:t>
                  </w:r>
                </w:p>
              </w:tc>
              <w:tc>
                <w:tcPr>
                  <w:tcW w:w="264" w:type="pct"/>
                  <w:noWrap w:val="0"/>
                  <w:vAlign w:val="center"/>
                </w:tcPr>
                <w:p w14:paraId="60F2DE3E">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765" w:type="pct"/>
                  <w:noWrap w:val="0"/>
                  <w:vAlign w:val="center"/>
                </w:tcPr>
                <w:p w14:paraId="4349DC84">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250t/h</w:t>
                  </w:r>
                </w:p>
              </w:tc>
              <w:tc>
                <w:tcPr>
                  <w:tcW w:w="612" w:type="pct"/>
                  <w:vMerge w:val="continue"/>
                  <w:noWrap w:val="0"/>
                  <w:vAlign w:val="center"/>
                </w:tcPr>
                <w:p w14:paraId="46448984">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790" w:type="pct"/>
                  <w:noWrap w:val="0"/>
                  <w:vAlign w:val="center"/>
                </w:tcPr>
                <w:p w14:paraId="3F90FCB3">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640000t/h</w:t>
                  </w:r>
                </w:p>
              </w:tc>
              <w:tc>
                <w:tcPr>
                  <w:tcW w:w="621" w:type="pct"/>
                  <w:noWrap w:val="0"/>
                  <w:vAlign w:val="center"/>
                </w:tcPr>
                <w:p w14:paraId="1B0BDB6A">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500000t/h</w:t>
                  </w:r>
                </w:p>
              </w:tc>
              <w:tc>
                <w:tcPr>
                  <w:tcW w:w="945" w:type="pct"/>
                  <w:noWrap w:val="0"/>
                  <w:vAlign w:val="center"/>
                </w:tcPr>
                <w:p w14:paraId="32FD0F02">
                  <w:pPr>
                    <w:keepNext w:val="0"/>
                    <w:keepLines w:val="0"/>
                    <w:pageBreakBefore w:val="0"/>
                    <w:widowControl w:val="0"/>
                    <w:kinsoku/>
                    <w:wordWrap/>
                    <w:overflowPunct/>
                    <w:topLinePunct w:val="0"/>
                    <w:autoSpaceDE/>
                    <w:autoSpaceDN/>
                    <w:bidi w:val="0"/>
                    <w:snapToGrid/>
                    <w:spacing w:line="0" w:lineRule="atLeas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满足</w:t>
                  </w:r>
                </w:p>
              </w:tc>
            </w:tr>
            <w:tr w14:paraId="594E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51" w:type="pct"/>
                  <w:noWrap w:val="0"/>
                  <w:vAlign w:val="center"/>
                </w:tcPr>
                <w:p w14:paraId="6E15FC6A">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水稳</w:t>
                  </w:r>
                </w:p>
              </w:tc>
              <w:tc>
                <w:tcPr>
                  <w:tcW w:w="547" w:type="pct"/>
                  <w:noWrap w:val="0"/>
                  <w:vAlign w:val="center"/>
                </w:tcPr>
                <w:p w14:paraId="070ED4AD">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混合搅拌机</w:t>
                  </w:r>
                </w:p>
              </w:tc>
              <w:tc>
                <w:tcPr>
                  <w:tcW w:w="264" w:type="pct"/>
                  <w:noWrap w:val="0"/>
                  <w:vAlign w:val="center"/>
                </w:tcPr>
                <w:p w14:paraId="1C2A52D4">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w:t>
                  </w:r>
                </w:p>
              </w:tc>
              <w:tc>
                <w:tcPr>
                  <w:tcW w:w="765" w:type="pct"/>
                  <w:noWrap w:val="0"/>
                  <w:vAlign w:val="center"/>
                </w:tcPr>
                <w:p w14:paraId="205EE07E">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150t/h</w:t>
                  </w:r>
                </w:p>
              </w:tc>
              <w:tc>
                <w:tcPr>
                  <w:tcW w:w="612" w:type="pct"/>
                  <w:vMerge w:val="continue"/>
                  <w:noWrap w:val="0"/>
                  <w:vAlign w:val="center"/>
                </w:tcPr>
                <w:p w14:paraId="0815856E">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790" w:type="pct"/>
                  <w:noWrap w:val="0"/>
                  <w:vAlign w:val="center"/>
                </w:tcPr>
                <w:p w14:paraId="1A76E4AC">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384000t</w:t>
                  </w:r>
                </w:p>
              </w:tc>
              <w:tc>
                <w:tcPr>
                  <w:tcW w:w="621" w:type="pct"/>
                  <w:noWrap w:val="0"/>
                  <w:vAlign w:val="center"/>
                </w:tcPr>
                <w:p w14:paraId="122B36AC">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300000t</w:t>
                  </w:r>
                </w:p>
              </w:tc>
              <w:tc>
                <w:tcPr>
                  <w:tcW w:w="945" w:type="pct"/>
                  <w:noWrap w:val="0"/>
                  <w:vAlign w:val="center"/>
                </w:tcPr>
                <w:p w14:paraId="59314A29">
                  <w:pPr>
                    <w:keepNext w:val="0"/>
                    <w:keepLines w:val="0"/>
                    <w:pageBreakBefore w:val="0"/>
                    <w:widowControl w:val="0"/>
                    <w:kinsoku/>
                    <w:wordWrap/>
                    <w:overflowPunct/>
                    <w:topLinePunct w:val="0"/>
                    <w:autoSpaceDE/>
                    <w:autoSpaceDN/>
                    <w:bidi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color w:val="auto"/>
                      <w:sz w:val="21"/>
                      <w:szCs w:val="21"/>
                      <w:lang w:val="en-US" w:eastAsia="zh-CN"/>
                    </w:rPr>
                    <w:t>满足</w:t>
                  </w:r>
                </w:p>
              </w:tc>
            </w:tr>
            <w:tr w14:paraId="005B9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51" w:type="pct"/>
                  <w:noWrap w:val="0"/>
                  <w:vAlign w:val="center"/>
                </w:tcPr>
                <w:p w14:paraId="7932FD99">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RDF燃料</w:t>
                  </w:r>
                </w:p>
              </w:tc>
              <w:tc>
                <w:tcPr>
                  <w:tcW w:w="547" w:type="pct"/>
                  <w:noWrap w:val="0"/>
                  <w:vAlign w:val="center"/>
                </w:tcPr>
                <w:p w14:paraId="00E98F12">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成型一体机</w:t>
                  </w:r>
                </w:p>
              </w:tc>
              <w:tc>
                <w:tcPr>
                  <w:tcW w:w="264" w:type="pct"/>
                  <w:noWrap w:val="0"/>
                  <w:vAlign w:val="center"/>
                </w:tcPr>
                <w:p w14:paraId="12DAE555">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5</w:t>
                  </w:r>
                </w:p>
              </w:tc>
              <w:tc>
                <w:tcPr>
                  <w:tcW w:w="765" w:type="pct"/>
                  <w:noWrap w:val="0"/>
                  <w:vAlign w:val="center"/>
                </w:tcPr>
                <w:p w14:paraId="1BD8D299">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16t/h</w:t>
                  </w:r>
                </w:p>
              </w:tc>
              <w:tc>
                <w:tcPr>
                  <w:tcW w:w="612" w:type="pct"/>
                  <w:vMerge w:val="continue"/>
                  <w:noWrap w:val="0"/>
                  <w:vAlign w:val="center"/>
                </w:tcPr>
                <w:p w14:paraId="3FCEF844">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790" w:type="pct"/>
                  <w:noWrap w:val="0"/>
                  <w:vAlign w:val="center"/>
                </w:tcPr>
                <w:p w14:paraId="50F11EF7">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204800t</w:t>
                  </w:r>
                </w:p>
              </w:tc>
              <w:tc>
                <w:tcPr>
                  <w:tcW w:w="621" w:type="pct"/>
                  <w:noWrap w:val="0"/>
                  <w:vAlign w:val="center"/>
                </w:tcPr>
                <w:p w14:paraId="3BA5E7EC">
                  <w:pPr>
                    <w:keepNext w:val="0"/>
                    <w:keepLines w:val="0"/>
                    <w:pageBreakBefore w:val="0"/>
                    <w:widowControl w:val="0"/>
                    <w:kinsoku/>
                    <w:wordWrap/>
                    <w:overflowPunct/>
                    <w:topLinePunct w:val="0"/>
                    <w:autoSpaceDE/>
                    <w:autoSpaceDN/>
                    <w:bidi w:val="0"/>
                    <w:adjustRightInd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color w:val="auto"/>
                      <w:sz w:val="21"/>
                      <w:szCs w:val="21"/>
                      <w:vertAlign w:val="baseline"/>
                      <w:lang w:val="en-US" w:eastAsia="zh-CN"/>
                    </w:rPr>
                    <w:t>200000t</w:t>
                  </w:r>
                </w:p>
              </w:tc>
              <w:tc>
                <w:tcPr>
                  <w:tcW w:w="945" w:type="pct"/>
                  <w:noWrap w:val="0"/>
                  <w:vAlign w:val="center"/>
                </w:tcPr>
                <w:p w14:paraId="794C2CC8">
                  <w:pPr>
                    <w:keepNext w:val="0"/>
                    <w:keepLines w:val="0"/>
                    <w:pageBreakBefore w:val="0"/>
                    <w:widowControl w:val="0"/>
                    <w:kinsoku/>
                    <w:wordWrap/>
                    <w:overflowPunct/>
                    <w:topLinePunct w:val="0"/>
                    <w:autoSpaceDE/>
                    <w:autoSpaceDN/>
                    <w:bidi w:val="0"/>
                    <w:snapToGrid/>
                    <w:spacing w:line="0" w:lineRule="atLeast"/>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color w:val="auto"/>
                      <w:sz w:val="21"/>
                      <w:szCs w:val="21"/>
                      <w:lang w:val="en-US" w:eastAsia="zh-CN"/>
                    </w:rPr>
                    <w:t>满足</w:t>
                  </w:r>
                </w:p>
              </w:tc>
            </w:tr>
          </w:tbl>
          <w:p w14:paraId="44BB8DA5">
            <w:pPr>
              <w:pStyle w:val="192"/>
              <w:ind w:firstLine="482"/>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lang w:val="en-US" w:eastAsia="zh-CN"/>
              </w:rPr>
              <w:t>5</w:t>
            </w:r>
            <w:r>
              <w:rPr>
                <w:rFonts w:hint="default" w:ascii="Times New Roman" w:hAnsi="Times New Roman" w:eastAsia="宋体" w:cs="Times New Roman"/>
                <w:color w:val="auto"/>
                <w:szCs w:val="24"/>
              </w:rPr>
              <w:t>.劳动定员及工作制度</w:t>
            </w:r>
          </w:p>
          <w:p w14:paraId="6A35C80F">
            <w:pPr>
              <w:pStyle w:val="189"/>
              <w:ind w:firstLine="480"/>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本项目劳动定员</w:t>
            </w:r>
            <w:r>
              <w:rPr>
                <w:rFonts w:hint="default" w:ascii="Times New Roman" w:hAnsi="Times New Roman" w:eastAsia="宋体" w:cs="Times New Roman"/>
                <w:color w:val="auto"/>
                <w:szCs w:val="24"/>
                <w:lang w:val="en-US" w:eastAsia="zh-CN"/>
              </w:rPr>
              <w:t>50</w:t>
            </w:r>
            <w:r>
              <w:rPr>
                <w:rFonts w:hint="default" w:ascii="Times New Roman" w:hAnsi="Times New Roman" w:eastAsia="宋体" w:cs="Times New Roman"/>
                <w:color w:val="auto"/>
                <w:szCs w:val="24"/>
              </w:rPr>
              <w:t>人，年工作3</w:t>
            </w:r>
            <w:r>
              <w:rPr>
                <w:rFonts w:hint="default" w:ascii="Times New Roman" w:hAnsi="Times New Roman" w:eastAsia="宋体" w:cs="Times New Roman"/>
                <w:color w:val="auto"/>
                <w:szCs w:val="24"/>
                <w:lang w:val="en-US" w:eastAsia="zh-CN"/>
              </w:rPr>
              <w:t>20</w:t>
            </w:r>
            <w:r>
              <w:rPr>
                <w:rFonts w:hint="default" w:ascii="Times New Roman" w:hAnsi="Times New Roman" w:eastAsia="宋体" w:cs="Times New Roman"/>
                <w:color w:val="auto"/>
                <w:szCs w:val="24"/>
              </w:rPr>
              <w:t>天，</w:t>
            </w:r>
            <w:r>
              <w:rPr>
                <w:rFonts w:hint="default" w:ascii="Times New Roman" w:hAnsi="Times New Roman" w:eastAsia="宋体" w:cs="Times New Roman"/>
                <w:color w:val="auto"/>
                <w:szCs w:val="24"/>
                <w:lang w:val="en-US" w:eastAsia="zh-CN"/>
              </w:rPr>
              <w:t>1</w:t>
            </w:r>
            <w:r>
              <w:rPr>
                <w:rFonts w:hint="default" w:ascii="Times New Roman" w:hAnsi="Times New Roman" w:eastAsia="宋体" w:cs="Times New Roman"/>
                <w:color w:val="auto"/>
                <w:szCs w:val="24"/>
              </w:rPr>
              <w:t>班制，每天工作8h。</w:t>
            </w:r>
          </w:p>
          <w:p w14:paraId="2C48CE7A">
            <w:pPr>
              <w:pStyle w:val="192"/>
              <w:ind w:firstLine="482"/>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lang w:val="en-US" w:eastAsia="zh-CN"/>
              </w:rPr>
              <w:t>6</w:t>
            </w:r>
            <w:r>
              <w:rPr>
                <w:rFonts w:hint="default" w:ascii="Times New Roman" w:hAnsi="Times New Roman" w:eastAsia="宋体" w:cs="Times New Roman"/>
                <w:color w:val="auto"/>
                <w:szCs w:val="24"/>
              </w:rPr>
              <w:t>.公用工程及辅助设施</w:t>
            </w:r>
          </w:p>
          <w:p w14:paraId="0025EECC">
            <w:pPr>
              <w:pStyle w:val="189"/>
              <w:ind w:firstLine="480"/>
              <w:rPr>
                <w:rFonts w:hint="default" w:ascii="Times New Roman" w:hAnsi="Times New Roman" w:eastAsia="宋体" w:cs="Times New Roman"/>
                <w:color w:val="auto"/>
              </w:rPr>
            </w:pPr>
            <w:bookmarkStart w:id="43" w:name="OLE_LINK195"/>
            <w:bookmarkStart w:id="44" w:name="OLE_LINK258"/>
            <w:bookmarkStart w:id="45" w:name="OLE_LINK193"/>
            <w:r>
              <w:rPr>
                <w:rFonts w:hint="default" w:ascii="Times New Roman" w:hAnsi="Times New Roman" w:eastAsia="宋体" w:cs="Times New Roman"/>
                <w:color w:val="auto"/>
              </w:rPr>
              <w:t>（1）给排水</w:t>
            </w:r>
          </w:p>
          <w:p w14:paraId="4A46BEBB">
            <w:pPr>
              <w:pStyle w:val="189"/>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1）给水</w:t>
            </w:r>
          </w:p>
          <w:p w14:paraId="170FF5BD">
            <w:pPr>
              <w:pStyle w:val="189"/>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本项目用水主要为职工生活用水、混合搅拌用水、车辆冲洗用水、地面冲洗用水、搅拌机冲洗用水和抑尘用水，均来自市政供水管网。</w:t>
            </w:r>
          </w:p>
          <w:p w14:paraId="5A530171">
            <w:pPr>
              <w:pStyle w:val="189"/>
              <w:ind w:firstLine="480"/>
              <w:rPr>
                <w:rFonts w:hint="default" w:ascii="Times New Roman" w:hAnsi="Times New Roman" w:eastAsia="宋体" w:cs="Times New Roman"/>
                <w:color w:val="auto"/>
                <w:highlight w:val="none"/>
              </w:rPr>
            </w:pPr>
            <w:bookmarkStart w:id="46" w:name="OLE_LINK196"/>
            <w:bookmarkStart w:id="47" w:name="_Hlk176820383"/>
            <w:r>
              <w:rPr>
                <w:rFonts w:hint="default" w:ascii="Times New Roman" w:hAnsi="Times New Roman" w:eastAsia="宋体" w:cs="Times New Roman"/>
                <w:color w:val="auto"/>
              </w:rPr>
              <w:t>项目</w:t>
            </w:r>
            <w:bookmarkStart w:id="48" w:name="OLE_LINK187"/>
            <w:r>
              <w:rPr>
                <w:rFonts w:hint="default" w:ascii="Times New Roman" w:hAnsi="Times New Roman" w:eastAsia="宋体" w:cs="Times New Roman"/>
                <w:color w:val="auto"/>
              </w:rPr>
              <w:t>劳动定员</w:t>
            </w:r>
            <w:bookmarkStart w:id="49" w:name="OLE_LINK185"/>
            <w:bookmarkStart w:id="50" w:name="OLE_LINK182"/>
            <w:bookmarkStart w:id="51" w:name="OLE_LINK115"/>
            <w:r>
              <w:rPr>
                <w:rFonts w:hint="default" w:ascii="Times New Roman" w:hAnsi="Times New Roman" w:eastAsia="宋体" w:cs="Times New Roman"/>
                <w:color w:val="auto"/>
                <w:lang w:val="en-US" w:eastAsia="zh-CN"/>
              </w:rPr>
              <w:t>50</w:t>
            </w:r>
            <w:r>
              <w:rPr>
                <w:rFonts w:hint="default" w:ascii="Times New Roman" w:hAnsi="Times New Roman" w:eastAsia="宋体" w:cs="Times New Roman"/>
                <w:color w:val="auto"/>
              </w:rPr>
              <w:t>人</w:t>
            </w:r>
            <w:bookmarkStart w:id="52" w:name="OLE_LINK183"/>
            <w:r>
              <w:rPr>
                <w:rFonts w:hint="default" w:ascii="Times New Roman" w:hAnsi="Times New Roman" w:eastAsia="宋体" w:cs="Times New Roman"/>
                <w:color w:val="auto"/>
              </w:rPr>
              <w:t>，</w:t>
            </w:r>
            <w:bookmarkEnd w:id="52"/>
            <w:bookmarkStart w:id="53" w:name="OLE_LINK184"/>
            <w:r>
              <w:rPr>
                <w:rFonts w:hint="default" w:ascii="Times New Roman" w:hAnsi="Times New Roman" w:eastAsia="宋体" w:cs="Times New Roman"/>
                <w:color w:val="auto"/>
              </w:rPr>
              <w:t>平均每人每天用水50L</w:t>
            </w:r>
            <w:bookmarkEnd w:id="49"/>
            <w:r>
              <w:rPr>
                <w:rFonts w:hint="default" w:ascii="Times New Roman" w:hAnsi="Times New Roman" w:eastAsia="宋体" w:cs="Times New Roman"/>
                <w:color w:val="auto"/>
              </w:rPr>
              <w:t>，年运行3</w:t>
            </w:r>
            <w:r>
              <w:rPr>
                <w:rFonts w:hint="default" w:ascii="Times New Roman" w:hAnsi="Times New Roman" w:eastAsia="宋体" w:cs="Times New Roman"/>
                <w:color w:val="auto"/>
                <w:lang w:val="en-US" w:eastAsia="zh-CN"/>
              </w:rPr>
              <w:t>2</w:t>
            </w:r>
            <w:r>
              <w:rPr>
                <w:rFonts w:hint="default" w:ascii="Times New Roman" w:hAnsi="Times New Roman" w:eastAsia="宋体" w:cs="Times New Roman"/>
                <w:color w:val="auto"/>
              </w:rPr>
              <w:t>0天，因此生活用水量为</w:t>
            </w:r>
            <w:r>
              <w:rPr>
                <w:rFonts w:hint="default" w:ascii="Times New Roman" w:hAnsi="Times New Roman" w:eastAsia="宋体" w:cs="Times New Roman"/>
                <w:color w:val="auto"/>
                <w:lang w:val="en-US" w:eastAsia="zh-CN"/>
              </w:rPr>
              <w:t>2.5</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/d（</w:t>
            </w:r>
            <w:bookmarkEnd w:id="53"/>
            <w:r>
              <w:rPr>
                <w:rFonts w:hint="default" w:ascii="Times New Roman" w:hAnsi="Times New Roman" w:eastAsia="宋体" w:cs="Times New Roman"/>
                <w:color w:val="auto"/>
                <w:lang w:val="en-US" w:eastAsia="zh-CN"/>
              </w:rPr>
              <w:t>800</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w:t>
            </w:r>
            <w:bookmarkEnd w:id="50"/>
            <w:r>
              <w:rPr>
                <w:rFonts w:hint="default" w:ascii="Times New Roman" w:hAnsi="Times New Roman" w:eastAsia="宋体" w:cs="Times New Roman"/>
                <w:color w:val="auto"/>
              </w:rPr>
              <w:t>。</w:t>
            </w:r>
          </w:p>
          <w:bookmarkEnd w:id="43"/>
          <w:bookmarkEnd w:id="46"/>
          <w:bookmarkEnd w:id="48"/>
          <w:bookmarkEnd w:id="51"/>
          <w:p w14:paraId="3D6B2537">
            <w:pPr>
              <w:pStyle w:val="189"/>
              <w:ind w:firstLine="480"/>
              <w:rPr>
                <w:rFonts w:hint="default" w:ascii="Times New Roman" w:hAnsi="Times New Roman" w:eastAsia="宋体" w:cs="Times New Roman"/>
                <w:color w:val="auto"/>
              </w:rPr>
            </w:pPr>
            <w:r>
              <w:rPr>
                <w:rFonts w:hint="default" w:ascii="Times New Roman" w:hAnsi="Times New Roman" w:eastAsia="宋体" w:cs="Times New Roman"/>
                <w:color w:val="auto"/>
                <w:highlight w:val="none"/>
                <w:lang w:val="en-US" w:eastAsia="zh-CN"/>
              </w:rPr>
              <w:t>①</w:t>
            </w:r>
            <w:r>
              <w:rPr>
                <w:rFonts w:hint="default" w:ascii="Times New Roman" w:hAnsi="Times New Roman" w:eastAsia="宋体" w:cs="Times New Roman"/>
                <w:color w:val="auto"/>
                <w:highlight w:val="none"/>
              </w:rPr>
              <w:t>生产用水：</w:t>
            </w:r>
            <w:r>
              <w:rPr>
                <w:rFonts w:hint="default" w:ascii="Times New Roman" w:hAnsi="Times New Roman" w:eastAsia="宋体" w:cs="Times New Roman"/>
                <w:color w:val="auto"/>
              </w:rPr>
              <w:t>根据建设单位提供资料，</w:t>
            </w:r>
            <w:r>
              <w:rPr>
                <w:rFonts w:hint="default" w:ascii="Times New Roman" w:hAnsi="Times New Roman" w:eastAsia="宋体" w:cs="Times New Roman"/>
                <w:color w:val="auto"/>
                <w:highlight w:val="none"/>
              </w:rPr>
              <w:t>本项目水稳料混合搅拌过程加水量约5%，</w:t>
            </w:r>
            <w:r>
              <w:rPr>
                <w:rFonts w:hint="default" w:ascii="Times New Roman" w:hAnsi="Times New Roman" w:eastAsia="宋体" w:cs="Times New Roman"/>
                <w:color w:val="auto"/>
              </w:rPr>
              <w:t>用水量</w:t>
            </w:r>
            <w:r>
              <w:rPr>
                <w:rFonts w:hint="default" w:ascii="Times New Roman" w:hAnsi="Times New Roman" w:eastAsia="宋体" w:cs="Times New Roman"/>
                <w:color w:val="auto"/>
                <w:lang w:val="en-US" w:eastAsia="zh-CN"/>
              </w:rPr>
              <w:t>46.875</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/d（</w:t>
            </w:r>
            <w:r>
              <w:rPr>
                <w:rFonts w:hint="default" w:ascii="Times New Roman" w:hAnsi="Times New Roman" w:eastAsia="宋体" w:cs="Times New Roman"/>
                <w:color w:val="auto"/>
                <w:lang w:val="en-US" w:eastAsia="zh-CN"/>
              </w:rPr>
              <w:t>15000</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，生产用水来源于新鲜水、冲洗沉淀池沉淀后的水。</w:t>
            </w:r>
          </w:p>
          <w:p w14:paraId="527F8EAA">
            <w:pPr>
              <w:pStyle w:val="193"/>
              <w:ind w:firstLine="480"/>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②</w:t>
            </w:r>
            <w:r>
              <w:rPr>
                <w:rFonts w:hint="default" w:ascii="Times New Roman" w:hAnsi="Times New Roman" w:eastAsia="宋体" w:cs="Times New Roman"/>
                <w:color w:val="auto"/>
              </w:rPr>
              <w:t>车辆冲洗水：根据《建筑给水排水设计手册》，载重汽车使用循环水冲洗，用水定额40-60L/辆·次，本次取50L/辆·次。本项目物料进厂及产品外运的运输量约</w:t>
            </w:r>
            <w:r>
              <w:rPr>
                <w:rFonts w:hint="default" w:ascii="Times New Roman" w:hAnsi="Times New Roman" w:eastAsia="宋体" w:cs="Times New Roman"/>
                <w:color w:val="auto"/>
                <w:lang w:val="en-US" w:eastAsia="zh-CN"/>
              </w:rPr>
              <w:t>3125</w:t>
            </w:r>
            <w:r>
              <w:rPr>
                <w:rFonts w:hint="default" w:ascii="Times New Roman" w:hAnsi="Times New Roman" w:eastAsia="宋体" w:cs="Times New Roman"/>
                <w:color w:val="auto"/>
              </w:rPr>
              <w:t>t/d，平均每车运输</w:t>
            </w:r>
            <w:r>
              <w:rPr>
                <w:rFonts w:hint="default" w:ascii="Times New Roman" w:hAnsi="Times New Roman" w:eastAsia="宋体" w:cs="Times New Roman"/>
                <w:color w:val="auto"/>
                <w:lang w:val="en-US" w:eastAsia="zh-CN"/>
              </w:rPr>
              <w:t>30</w:t>
            </w:r>
            <w:r>
              <w:rPr>
                <w:rFonts w:hint="default" w:ascii="Times New Roman" w:hAnsi="Times New Roman" w:eastAsia="宋体" w:cs="Times New Roman"/>
                <w:color w:val="auto"/>
              </w:rPr>
              <w:t>t，每日车次约</w:t>
            </w:r>
            <w:r>
              <w:rPr>
                <w:rFonts w:hint="default" w:ascii="Times New Roman" w:hAnsi="Times New Roman" w:eastAsia="宋体" w:cs="Times New Roman"/>
                <w:color w:val="auto"/>
                <w:lang w:val="en-US" w:eastAsia="zh-CN"/>
              </w:rPr>
              <w:t>105</w:t>
            </w:r>
            <w:r>
              <w:rPr>
                <w:rFonts w:hint="default" w:ascii="Times New Roman" w:hAnsi="Times New Roman" w:eastAsia="宋体" w:cs="Times New Roman"/>
                <w:color w:val="auto"/>
              </w:rPr>
              <w:t>车次，则汽车冲洗用水量约</w:t>
            </w:r>
            <w:r>
              <w:rPr>
                <w:rFonts w:hint="default" w:ascii="Times New Roman" w:hAnsi="Times New Roman" w:eastAsia="宋体" w:cs="Times New Roman"/>
                <w:color w:val="auto"/>
                <w:lang w:val="en-US" w:eastAsia="zh-CN"/>
              </w:rPr>
              <w:t>5.25</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/d（</w:t>
            </w:r>
            <w:r>
              <w:rPr>
                <w:rFonts w:hint="default" w:ascii="Times New Roman" w:hAnsi="Times New Roman" w:eastAsia="宋体" w:cs="Times New Roman"/>
                <w:color w:val="auto"/>
                <w:lang w:val="en-US" w:eastAsia="zh-CN"/>
              </w:rPr>
              <w:t>1680</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/a）。汽车冲洗水经沉淀池沉淀后循环利用不外排，定期补充，补充量</w:t>
            </w:r>
            <w:r>
              <w:rPr>
                <w:rFonts w:hint="default" w:ascii="Times New Roman" w:hAnsi="Times New Roman" w:eastAsia="宋体" w:cs="Times New Roman"/>
                <w:color w:val="auto"/>
                <w:lang w:val="en-US" w:eastAsia="zh-CN"/>
              </w:rPr>
              <w:t>约为总量的20%，约为1.05</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/d（</w:t>
            </w:r>
            <w:r>
              <w:rPr>
                <w:rFonts w:hint="default" w:ascii="Times New Roman" w:hAnsi="Times New Roman" w:eastAsia="宋体" w:cs="Times New Roman"/>
                <w:color w:val="auto"/>
                <w:lang w:val="en-US" w:eastAsia="zh-CN"/>
              </w:rPr>
              <w:t>336</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w:t>
            </w:r>
          </w:p>
          <w:bookmarkEnd w:id="47"/>
          <w:p w14:paraId="72598FC8">
            <w:pPr>
              <w:pStyle w:val="189"/>
              <w:ind w:firstLine="480"/>
              <w:rPr>
                <w:rStyle w:val="190"/>
                <w:rFonts w:hint="default" w:ascii="Times New Roman" w:hAnsi="Times New Roman" w:eastAsia="宋体" w:cs="Times New Roman"/>
                <w:color w:val="auto"/>
                <w:sz w:val="24"/>
                <w:szCs w:val="24"/>
                <w:vertAlign w:val="baseline"/>
                <w:lang w:val="en-US" w:eastAsia="zh-CN"/>
              </w:rPr>
            </w:pPr>
            <w:bookmarkStart w:id="54" w:name="OLE_LINK213"/>
            <w:r>
              <w:rPr>
                <w:rStyle w:val="190"/>
                <w:rFonts w:hint="default" w:ascii="Times New Roman" w:hAnsi="Times New Roman" w:eastAsia="宋体" w:cs="Times New Roman"/>
                <w:color w:val="auto"/>
                <w:szCs w:val="24"/>
                <w:lang w:val="en-US" w:eastAsia="zh-CN"/>
              </w:rPr>
              <w:t>③</w:t>
            </w:r>
            <w:r>
              <w:rPr>
                <w:rStyle w:val="190"/>
                <w:rFonts w:hint="default" w:ascii="Times New Roman" w:hAnsi="Times New Roman" w:eastAsia="宋体" w:cs="Times New Roman"/>
                <w:color w:val="auto"/>
                <w:szCs w:val="24"/>
              </w:rPr>
              <w:t>抑尘用水：</w:t>
            </w:r>
            <w:r>
              <w:rPr>
                <w:rStyle w:val="190"/>
                <w:rFonts w:hint="default" w:ascii="Times New Roman" w:hAnsi="Times New Roman" w:eastAsia="宋体" w:cs="Times New Roman"/>
                <w:color w:val="auto"/>
                <w:sz w:val="24"/>
                <w:szCs w:val="24"/>
              </w:rPr>
              <w:t>本项目各车仓库/车间四周设置干雾抑尘装置，</w:t>
            </w:r>
            <w:r>
              <w:rPr>
                <w:rStyle w:val="190"/>
                <w:rFonts w:hint="default" w:ascii="Times New Roman" w:hAnsi="Times New Roman" w:eastAsia="宋体" w:cs="Times New Roman"/>
                <w:b w:val="0"/>
                <w:bCs w:val="0"/>
                <w:color w:val="auto"/>
                <w:sz w:val="24"/>
                <w:szCs w:val="24"/>
              </w:rPr>
              <w:t>单个喷头用水量</w:t>
            </w:r>
            <w:r>
              <w:rPr>
                <w:rStyle w:val="190"/>
                <w:rFonts w:hint="default" w:ascii="Times New Roman" w:hAnsi="Times New Roman" w:eastAsia="宋体" w:cs="Times New Roman"/>
                <w:color w:val="auto"/>
                <w:sz w:val="24"/>
                <w:szCs w:val="24"/>
              </w:rPr>
              <w:t>0.2L/min</w:t>
            </w:r>
            <w:r>
              <w:rPr>
                <w:rStyle w:val="190"/>
                <w:rFonts w:hint="default" w:ascii="Times New Roman" w:hAnsi="Times New Roman" w:eastAsia="宋体" w:cs="Times New Roman"/>
                <w:color w:val="auto"/>
                <w:sz w:val="24"/>
                <w:szCs w:val="24"/>
                <w:lang w:eastAsia="zh-CN"/>
              </w:rPr>
              <w:t>，</w:t>
            </w:r>
            <w:r>
              <w:rPr>
                <w:rStyle w:val="190"/>
                <w:rFonts w:hint="default" w:ascii="Times New Roman" w:hAnsi="Times New Roman" w:eastAsia="宋体" w:cs="Times New Roman"/>
                <w:color w:val="auto"/>
                <w:sz w:val="24"/>
                <w:szCs w:val="24"/>
                <w:lang w:val="en-US" w:eastAsia="zh-CN"/>
              </w:rPr>
              <w:t>厂区设置喷头数量为50个，则抑尘用水量约1536m</w:t>
            </w:r>
            <w:r>
              <w:rPr>
                <w:rStyle w:val="190"/>
                <w:rFonts w:hint="default" w:ascii="Times New Roman" w:hAnsi="Times New Roman" w:eastAsia="宋体" w:cs="Times New Roman"/>
                <w:color w:val="auto"/>
                <w:sz w:val="24"/>
                <w:szCs w:val="24"/>
                <w:vertAlign w:val="superscript"/>
                <w:lang w:val="en-US" w:eastAsia="zh-CN"/>
              </w:rPr>
              <w:t>3</w:t>
            </w:r>
            <w:r>
              <w:rPr>
                <w:rStyle w:val="190"/>
                <w:rFonts w:hint="default" w:ascii="Times New Roman" w:hAnsi="Times New Roman" w:eastAsia="宋体" w:cs="Times New Roman"/>
                <w:color w:val="auto"/>
                <w:sz w:val="24"/>
                <w:szCs w:val="24"/>
                <w:vertAlign w:val="baseline"/>
                <w:lang w:val="en-US" w:eastAsia="zh-CN"/>
              </w:rPr>
              <w:t>/a。</w:t>
            </w:r>
            <w:r>
              <w:rPr>
                <w:rStyle w:val="190"/>
                <w:rFonts w:hint="default" w:ascii="Times New Roman" w:hAnsi="Times New Roman" w:eastAsia="宋体" w:cs="Times New Roman"/>
                <w:color w:val="auto"/>
                <w:szCs w:val="24"/>
              </w:rPr>
              <w:t>同时物料装卸过程设置2台雾炮机辅以抑尘，</w:t>
            </w:r>
            <w:r>
              <w:rPr>
                <w:rStyle w:val="190"/>
                <w:rFonts w:hint="default" w:ascii="Times New Roman" w:hAnsi="Times New Roman" w:eastAsia="宋体" w:cs="Times New Roman"/>
                <w:b w:val="0"/>
                <w:bCs w:val="0"/>
                <w:color w:val="auto"/>
                <w:sz w:val="24"/>
                <w:szCs w:val="24"/>
              </w:rPr>
              <w:t>单个喷头用水量</w:t>
            </w:r>
            <w:r>
              <w:rPr>
                <w:rStyle w:val="190"/>
                <w:rFonts w:hint="default" w:ascii="Times New Roman" w:hAnsi="Times New Roman" w:eastAsia="宋体" w:cs="Times New Roman"/>
                <w:color w:val="auto"/>
                <w:sz w:val="24"/>
                <w:szCs w:val="24"/>
                <w:lang w:val="en-US" w:eastAsia="zh-CN"/>
              </w:rPr>
              <w:t>10</w:t>
            </w:r>
            <w:r>
              <w:rPr>
                <w:rStyle w:val="190"/>
                <w:rFonts w:hint="default" w:ascii="Times New Roman" w:hAnsi="Times New Roman" w:eastAsia="宋体" w:cs="Times New Roman"/>
                <w:color w:val="auto"/>
                <w:sz w:val="24"/>
                <w:szCs w:val="24"/>
              </w:rPr>
              <w:t>L/min</w:t>
            </w:r>
            <w:r>
              <w:rPr>
                <w:rStyle w:val="190"/>
                <w:rFonts w:hint="default" w:ascii="Times New Roman" w:hAnsi="Times New Roman" w:eastAsia="宋体" w:cs="Times New Roman"/>
                <w:color w:val="auto"/>
                <w:sz w:val="24"/>
                <w:szCs w:val="24"/>
                <w:lang w:eastAsia="zh-CN"/>
              </w:rPr>
              <w:t>，</w:t>
            </w:r>
            <w:r>
              <w:rPr>
                <w:rStyle w:val="190"/>
                <w:rFonts w:hint="default" w:ascii="Times New Roman" w:hAnsi="Times New Roman" w:eastAsia="宋体" w:cs="Times New Roman"/>
                <w:color w:val="auto"/>
                <w:sz w:val="24"/>
                <w:szCs w:val="24"/>
                <w:lang w:val="en-US" w:eastAsia="zh-CN"/>
              </w:rPr>
              <w:t>雾炮机主要是装卸过程进行工作，工作时间约每天2h，雾炮机抑尘用水量约768m</w:t>
            </w:r>
            <w:r>
              <w:rPr>
                <w:rStyle w:val="190"/>
                <w:rFonts w:hint="default" w:ascii="Times New Roman" w:hAnsi="Times New Roman" w:eastAsia="宋体" w:cs="Times New Roman"/>
                <w:color w:val="auto"/>
                <w:sz w:val="24"/>
                <w:szCs w:val="24"/>
                <w:vertAlign w:val="superscript"/>
                <w:lang w:val="en-US" w:eastAsia="zh-CN"/>
              </w:rPr>
              <w:t>3</w:t>
            </w:r>
            <w:r>
              <w:rPr>
                <w:rStyle w:val="190"/>
                <w:rFonts w:hint="default" w:ascii="Times New Roman" w:hAnsi="Times New Roman" w:eastAsia="宋体" w:cs="Times New Roman"/>
                <w:color w:val="auto"/>
                <w:sz w:val="24"/>
                <w:szCs w:val="24"/>
                <w:vertAlign w:val="baseline"/>
                <w:lang w:val="en-US" w:eastAsia="zh-CN"/>
              </w:rPr>
              <w:t>/a。故厂区抑尘用水为7.2</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/d（</w:t>
            </w:r>
            <w:r>
              <w:rPr>
                <w:rFonts w:hint="default" w:ascii="Times New Roman" w:hAnsi="Times New Roman" w:eastAsia="宋体" w:cs="Times New Roman"/>
                <w:color w:val="auto"/>
                <w:lang w:val="en-US" w:eastAsia="zh-CN"/>
              </w:rPr>
              <w:t>2304</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w:t>
            </w:r>
            <w:r>
              <w:rPr>
                <w:rFonts w:hint="default" w:ascii="Times New Roman" w:hAnsi="Times New Roman" w:eastAsia="宋体" w:cs="Times New Roman"/>
                <w:color w:val="auto"/>
                <w:lang w:eastAsia="zh-CN"/>
              </w:rPr>
              <w:t>）。</w:t>
            </w:r>
          </w:p>
          <w:p w14:paraId="4ECEB71A">
            <w:pPr>
              <w:pStyle w:val="189"/>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lang w:val="en-US" w:eastAsia="zh-CN"/>
              </w:rPr>
              <w:t>④</w:t>
            </w:r>
            <w:r>
              <w:rPr>
                <w:rStyle w:val="190"/>
                <w:rFonts w:hint="default" w:ascii="Times New Roman" w:hAnsi="Times New Roman" w:eastAsia="宋体" w:cs="Times New Roman"/>
                <w:color w:val="auto"/>
                <w:szCs w:val="24"/>
              </w:rPr>
              <w:t>搅拌机冲洗用水：根据建设单位提供资料，每台搅拌机每天作业完后进行冲洗，冲洗用水量0.5m</w:t>
            </w:r>
            <w:r>
              <w:rPr>
                <w:rStyle w:val="190"/>
                <w:rFonts w:hint="default" w:ascii="Times New Roman" w:hAnsi="Times New Roman" w:eastAsia="宋体" w:cs="Times New Roman"/>
                <w:color w:val="auto"/>
                <w:szCs w:val="24"/>
                <w:vertAlign w:val="superscript"/>
              </w:rPr>
              <w:t>3</w:t>
            </w:r>
            <w:r>
              <w:rPr>
                <w:rStyle w:val="190"/>
                <w:rFonts w:hint="default" w:ascii="Times New Roman" w:hAnsi="Times New Roman" w:eastAsia="宋体" w:cs="Times New Roman"/>
                <w:color w:val="auto"/>
                <w:szCs w:val="24"/>
              </w:rPr>
              <w:t>/d，项目设置</w:t>
            </w:r>
            <w:r>
              <w:rPr>
                <w:rStyle w:val="190"/>
                <w:rFonts w:hint="default" w:ascii="Times New Roman" w:hAnsi="Times New Roman" w:eastAsia="宋体" w:cs="Times New Roman"/>
                <w:color w:val="auto"/>
                <w:szCs w:val="24"/>
                <w:lang w:val="en-US" w:eastAsia="zh-CN"/>
              </w:rPr>
              <w:t>1</w:t>
            </w:r>
            <w:r>
              <w:rPr>
                <w:rStyle w:val="190"/>
                <w:rFonts w:hint="default" w:ascii="Times New Roman" w:hAnsi="Times New Roman" w:eastAsia="宋体" w:cs="Times New Roman"/>
                <w:color w:val="auto"/>
                <w:szCs w:val="24"/>
              </w:rPr>
              <w:t>台搅拌机，用水量</w:t>
            </w:r>
            <w:r>
              <w:rPr>
                <w:rStyle w:val="190"/>
                <w:rFonts w:hint="default" w:ascii="Times New Roman" w:hAnsi="Times New Roman" w:eastAsia="宋体" w:cs="Times New Roman"/>
                <w:color w:val="auto"/>
                <w:szCs w:val="24"/>
                <w:lang w:val="en-US" w:eastAsia="zh-CN"/>
              </w:rPr>
              <w:t>0.5</w:t>
            </w:r>
            <w:r>
              <w:rPr>
                <w:rStyle w:val="190"/>
                <w:rFonts w:hint="default" w:ascii="Times New Roman" w:hAnsi="Times New Roman" w:eastAsia="宋体" w:cs="Times New Roman"/>
                <w:color w:val="auto"/>
                <w:szCs w:val="24"/>
              </w:rPr>
              <w:t>m</w:t>
            </w:r>
            <w:r>
              <w:rPr>
                <w:rStyle w:val="190"/>
                <w:rFonts w:hint="default" w:ascii="Times New Roman" w:hAnsi="Times New Roman" w:eastAsia="宋体" w:cs="Times New Roman"/>
                <w:color w:val="auto"/>
                <w:szCs w:val="24"/>
                <w:vertAlign w:val="superscript"/>
              </w:rPr>
              <w:t>3</w:t>
            </w:r>
            <w:r>
              <w:rPr>
                <w:rStyle w:val="190"/>
                <w:rFonts w:hint="default" w:ascii="Times New Roman" w:hAnsi="Times New Roman" w:eastAsia="宋体" w:cs="Times New Roman"/>
                <w:color w:val="auto"/>
                <w:szCs w:val="24"/>
              </w:rPr>
              <w:t>/d（</w:t>
            </w:r>
            <w:r>
              <w:rPr>
                <w:rStyle w:val="190"/>
                <w:rFonts w:hint="default" w:ascii="Times New Roman" w:hAnsi="Times New Roman" w:eastAsia="宋体" w:cs="Times New Roman"/>
                <w:color w:val="auto"/>
                <w:szCs w:val="24"/>
                <w:lang w:val="en-US" w:eastAsia="zh-CN"/>
              </w:rPr>
              <w:t>15</w:t>
            </w:r>
            <w:r>
              <w:rPr>
                <w:rStyle w:val="190"/>
                <w:rFonts w:hint="default" w:ascii="Times New Roman" w:hAnsi="Times New Roman" w:eastAsia="宋体" w:cs="Times New Roman"/>
                <w:color w:val="auto"/>
                <w:szCs w:val="24"/>
              </w:rPr>
              <w:t>0m</w:t>
            </w:r>
            <w:r>
              <w:rPr>
                <w:rStyle w:val="190"/>
                <w:rFonts w:hint="default" w:ascii="Times New Roman" w:hAnsi="Times New Roman" w:eastAsia="宋体" w:cs="Times New Roman"/>
                <w:color w:val="auto"/>
                <w:szCs w:val="24"/>
                <w:vertAlign w:val="superscript"/>
              </w:rPr>
              <w:t>3</w:t>
            </w:r>
            <w:r>
              <w:rPr>
                <w:rStyle w:val="190"/>
                <w:rFonts w:hint="default" w:ascii="Times New Roman" w:hAnsi="Times New Roman" w:eastAsia="宋体" w:cs="Times New Roman"/>
                <w:color w:val="auto"/>
                <w:szCs w:val="24"/>
              </w:rPr>
              <w:t>/a）。</w:t>
            </w:r>
          </w:p>
          <w:p w14:paraId="765F6C9D">
            <w:pPr>
              <w:pStyle w:val="189"/>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lang w:val="en-US" w:eastAsia="zh-CN"/>
              </w:rPr>
              <w:t>⑤</w:t>
            </w:r>
            <w:r>
              <w:rPr>
                <w:rStyle w:val="190"/>
                <w:rFonts w:hint="default" w:ascii="Times New Roman" w:hAnsi="Times New Roman" w:eastAsia="宋体" w:cs="Times New Roman"/>
                <w:color w:val="auto"/>
                <w:szCs w:val="24"/>
              </w:rPr>
              <w:t>地面冲洗</w:t>
            </w:r>
            <w:r>
              <w:rPr>
                <w:rStyle w:val="190"/>
                <w:rFonts w:hint="default" w:ascii="Times New Roman" w:hAnsi="Times New Roman" w:eastAsia="宋体" w:cs="Times New Roman"/>
                <w:color w:val="auto"/>
                <w:szCs w:val="24"/>
                <w:lang w:val="en-US" w:eastAsia="zh-CN"/>
              </w:rPr>
              <w:t>用</w:t>
            </w:r>
            <w:r>
              <w:rPr>
                <w:rStyle w:val="190"/>
                <w:rFonts w:hint="default" w:ascii="Times New Roman" w:hAnsi="Times New Roman" w:eastAsia="宋体" w:cs="Times New Roman"/>
                <w:color w:val="auto"/>
                <w:szCs w:val="24"/>
              </w:rPr>
              <w:t>水：本项目水稳</w:t>
            </w:r>
            <w:r>
              <w:rPr>
                <w:rStyle w:val="190"/>
                <w:rFonts w:hint="default" w:ascii="Times New Roman" w:hAnsi="Times New Roman" w:eastAsia="宋体" w:cs="Times New Roman"/>
                <w:color w:val="auto"/>
                <w:szCs w:val="24"/>
                <w:lang w:val="en-US" w:eastAsia="zh-CN"/>
              </w:rPr>
              <w:t>生产线</w:t>
            </w:r>
            <w:r>
              <w:rPr>
                <w:rStyle w:val="190"/>
                <w:rFonts w:hint="default" w:ascii="Times New Roman" w:hAnsi="Times New Roman" w:eastAsia="宋体" w:cs="Times New Roman"/>
                <w:color w:val="auto"/>
                <w:szCs w:val="24"/>
              </w:rPr>
              <w:t>地面1天进行冲洗一次，冲洗用水量1L/m</w:t>
            </w:r>
            <w:r>
              <w:rPr>
                <w:rStyle w:val="190"/>
                <w:rFonts w:hint="default" w:ascii="Times New Roman" w:hAnsi="Times New Roman" w:eastAsia="宋体" w:cs="Times New Roman"/>
                <w:color w:val="auto"/>
                <w:szCs w:val="24"/>
                <w:vertAlign w:val="superscript"/>
              </w:rPr>
              <w:t>2</w:t>
            </w:r>
            <w:r>
              <w:rPr>
                <w:rStyle w:val="190"/>
                <w:rFonts w:hint="default" w:ascii="Times New Roman" w:hAnsi="Times New Roman" w:eastAsia="宋体" w:cs="Times New Roman"/>
                <w:color w:val="auto"/>
                <w:szCs w:val="24"/>
              </w:rPr>
              <w:t>，车间占地面积合计</w:t>
            </w:r>
            <w:r>
              <w:rPr>
                <w:rStyle w:val="190"/>
                <w:rFonts w:hint="default" w:ascii="Times New Roman" w:hAnsi="Times New Roman" w:eastAsia="宋体" w:cs="Times New Roman"/>
                <w:color w:val="auto"/>
                <w:szCs w:val="24"/>
                <w:lang w:val="en-US" w:eastAsia="zh-CN"/>
              </w:rPr>
              <w:t>800</w:t>
            </w:r>
            <w:r>
              <w:rPr>
                <w:rStyle w:val="190"/>
                <w:rFonts w:hint="default" w:ascii="Times New Roman" w:hAnsi="Times New Roman" w:eastAsia="宋体" w:cs="Times New Roman"/>
                <w:color w:val="auto"/>
                <w:szCs w:val="24"/>
              </w:rPr>
              <w:t>m</w:t>
            </w:r>
            <w:r>
              <w:rPr>
                <w:rStyle w:val="190"/>
                <w:rFonts w:hint="default" w:ascii="Times New Roman" w:hAnsi="Times New Roman" w:eastAsia="宋体" w:cs="Times New Roman"/>
                <w:color w:val="auto"/>
                <w:szCs w:val="24"/>
                <w:vertAlign w:val="superscript"/>
              </w:rPr>
              <w:t>2</w:t>
            </w:r>
            <w:r>
              <w:rPr>
                <w:rStyle w:val="190"/>
                <w:rFonts w:hint="default" w:ascii="Times New Roman" w:hAnsi="Times New Roman" w:eastAsia="宋体" w:cs="Times New Roman"/>
                <w:color w:val="auto"/>
                <w:szCs w:val="24"/>
              </w:rPr>
              <w:t>,每次用水约</w:t>
            </w:r>
            <w:r>
              <w:rPr>
                <w:rStyle w:val="190"/>
                <w:rFonts w:hint="default" w:ascii="Times New Roman" w:hAnsi="Times New Roman" w:eastAsia="宋体" w:cs="Times New Roman"/>
                <w:color w:val="auto"/>
                <w:szCs w:val="24"/>
                <w:lang w:val="en-US" w:eastAsia="zh-CN"/>
              </w:rPr>
              <w:t>0.8</w:t>
            </w:r>
            <w:r>
              <w:rPr>
                <w:rStyle w:val="190"/>
                <w:rFonts w:hint="default" w:ascii="Times New Roman" w:hAnsi="Times New Roman" w:eastAsia="宋体" w:cs="Times New Roman"/>
                <w:color w:val="auto"/>
                <w:szCs w:val="24"/>
              </w:rPr>
              <w:t>m</w:t>
            </w:r>
            <w:r>
              <w:rPr>
                <w:rStyle w:val="190"/>
                <w:rFonts w:hint="default" w:ascii="Times New Roman" w:hAnsi="Times New Roman" w:eastAsia="宋体" w:cs="Times New Roman"/>
                <w:color w:val="auto"/>
                <w:szCs w:val="24"/>
                <w:vertAlign w:val="superscript"/>
              </w:rPr>
              <w:t>3</w:t>
            </w:r>
            <w:r>
              <w:rPr>
                <w:rStyle w:val="190"/>
                <w:rFonts w:hint="default" w:ascii="Times New Roman" w:hAnsi="Times New Roman" w:eastAsia="宋体" w:cs="Times New Roman"/>
                <w:color w:val="auto"/>
                <w:szCs w:val="24"/>
              </w:rPr>
              <w:t>，年用量为</w:t>
            </w:r>
            <w:r>
              <w:rPr>
                <w:rStyle w:val="190"/>
                <w:rFonts w:hint="default" w:ascii="Times New Roman" w:hAnsi="Times New Roman" w:eastAsia="宋体" w:cs="Times New Roman"/>
                <w:color w:val="auto"/>
                <w:szCs w:val="24"/>
                <w:lang w:val="en-US" w:eastAsia="zh-CN"/>
              </w:rPr>
              <w:t>256</w:t>
            </w:r>
            <w:r>
              <w:rPr>
                <w:rStyle w:val="190"/>
                <w:rFonts w:hint="default" w:ascii="Times New Roman" w:hAnsi="Times New Roman" w:eastAsia="宋体" w:cs="Times New Roman"/>
                <w:color w:val="auto"/>
                <w:szCs w:val="24"/>
              </w:rPr>
              <w:t>m</w:t>
            </w:r>
            <w:r>
              <w:rPr>
                <w:rStyle w:val="190"/>
                <w:rFonts w:hint="default" w:ascii="Times New Roman" w:hAnsi="Times New Roman" w:eastAsia="宋体" w:cs="Times New Roman"/>
                <w:color w:val="auto"/>
                <w:szCs w:val="24"/>
                <w:vertAlign w:val="superscript"/>
              </w:rPr>
              <w:t>3</w:t>
            </w:r>
            <w:r>
              <w:rPr>
                <w:rStyle w:val="190"/>
                <w:rFonts w:hint="default" w:ascii="Times New Roman" w:hAnsi="Times New Roman" w:eastAsia="宋体" w:cs="Times New Roman"/>
                <w:color w:val="auto"/>
                <w:szCs w:val="24"/>
              </w:rPr>
              <w:t>。</w:t>
            </w:r>
          </w:p>
          <w:p w14:paraId="227EC1FC">
            <w:pPr>
              <w:pStyle w:val="189"/>
              <w:adjustRightInd w:val="0"/>
              <w:snapToGrid w:val="0"/>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rPr>
              <w:t>2）排水</w:t>
            </w:r>
          </w:p>
          <w:p w14:paraId="73E49AB0">
            <w:pPr>
              <w:pStyle w:val="189"/>
              <w:adjustRightInd w:val="0"/>
              <w:snapToGrid w:val="0"/>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lang w:val="en-US" w:eastAsia="zh-CN"/>
              </w:rPr>
              <w:t>①</w:t>
            </w:r>
            <w:r>
              <w:rPr>
                <w:rStyle w:val="190"/>
                <w:rFonts w:hint="default" w:ascii="Times New Roman" w:hAnsi="Times New Roman" w:eastAsia="宋体" w:cs="Times New Roman"/>
                <w:color w:val="auto"/>
                <w:szCs w:val="24"/>
              </w:rPr>
              <w:t>项目车辆冲洗水</w:t>
            </w:r>
            <w:r>
              <w:rPr>
                <w:rFonts w:hint="default" w:ascii="Times New Roman" w:hAnsi="Times New Roman" w:eastAsia="宋体" w:cs="Times New Roman"/>
                <w:color w:val="auto"/>
                <w:lang w:val="en-US" w:eastAsia="zh-CN"/>
              </w:rPr>
              <w:t>量</w:t>
            </w:r>
            <w:r>
              <w:rPr>
                <w:rStyle w:val="190"/>
                <w:rFonts w:hint="default" w:ascii="Times New Roman" w:hAnsi="Times New Roman" w:eastAsia="宋体" w:cs="Times New Roman"/>
                <w:color w:val="auto"/>
                <w:szCs w:val="24"/>
                <w:lang w:val="en-US" w:eastAsia="zh-CN"/>
              </w:rPr>
              <w:t>为1680</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/a，废水按80%计，则地面冲洗废水为</w:t>
            </w:r>
            <w:r>
              <w:rPr>
                <w:rFonts w:hint="default" w:ascii="Times New Roman" w:hAnsi="Times New Roman" w:eastAsia="宋体" w:cs="Times New Roman"/>
                <w:color w:val="auto"/>
                <w:lang w:val="en-US" w:eastAsia="zh-CN"/>
              </w:rPr>
              <w:t>1344</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w:t>
            </w:r>
            <w:r>
              <w:rPr>
                <w:rStyle w:val="190"/>
                <w:rFonts w:hint="default" w:ascii="Times New Roman" w:hAnsi="Times New Roman" w:eastAsia="宋体" w:cs="Times New Roman"/>
                <w:color w:val="auto"/>
                <w:szCs w:val="24"/>
              </w:rPr>
              <w:t>循环利用不外排，抑尘用水部分进入物料其他全部损耗无废水产生。</w:t>
            </w:r>
          </w:p>
          <w:p w14:paraId="240F5058">
            <w:pPr>
              <w:pStyle w:val="189"/>
              <w:adjustRightInd w:val="0"/>
              <w:snapToGrid w:val="0"/>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lang w:val="en-US" w:eastAsia="zh-CN"/>
              </w:rPr>
              <w:t>②</w:t>
            </w:r>
            <w:r>
              <w:rPr>
                <w:rStyle w:val="190"/>
                <w:rFonts w:hint="default" w:ascii="Times New Roman" w:hAnsi="Times New Roman" w:eastAsia="宋体" w:cs="Times New Roman"/>
                <w:color w:val="auto"/>
                <w:szCs w:val="24"/>
              </w:rPr>
              <w:t>地面冲洗废水:地面冲洗用水量</w:t>
            </w:r>
            <w:r>
              <w:rPr>
                <w:rFonts w:hint="default" w:ascii="Times New Roman" w:hAnsi="Times New Roman" w:eastAsia="宋体" w:cs="Times New Roman"/>
                <w:color w:val="auto"/>
              </w:rPr>
              <w:t>为</w:t>
            </w:r>
            <w:r>
              <w:rPr>
                <w:rFonts w:hint="default" w:ascii="Times New Roman" w:hAnsi="Times New Roman" w:eastAsia="宋体" w:cs="Times New Roman"/>
                <w:color w:val="auto"/>
                <w:lang w:val="en-US" w:eastAsia="zh-CN"/>
              </w:rPr>
              <w:t>256</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/a，废水按80%计，则地面冲洗废水为</w:t>
            </w:r>
            <w:r>
              <w:rPr>
                <w:rFonts w:hint="default" w:ascii="Times New Roman" w:hAnsi="Times New Roman" w:eastAsia="宋体" w:cs="Times New Roman"/>
                <w:color w:val="auto"/>
                <w:lang w:val="en-US" w:eastAsia="zh-CN"/>
              </w:rPr>
              <w:t>204.8</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/a，地面冲洗废水进入沉淀池沉淀后用于混合搅拌生产。</w:t>
            </w:r>
          </w:p>
          <w:p w14:paraId="7A8A03ED">
            <w:pPr>
              <w:pStyle w:val="189"/>
              <w:adjustRightInd w:val="0"/>
              <w:snapToGrid w:val="0"/>
              <w:ind w:firstLine="480"/>
              <w:rPr>
                <w:rStyle w:val="190"/>
                <w:rFonts w:hint="default" w:ascii="Times New Roman" w:hAnsi="Times New Roman" w:eastAsia="宋体" w:cs="Times New Roman"/>
                <w:color w:val="auto"/>
                <w:szCs w:val="24"/>
              </w:rPr>
            </w:pPr>
            <w:r>
              <w:rPr>
                <w:rStyle w:val="190"/>
                <w:rFonts w:hint="default" w:ascii="Times New Roman" w:hAnsi="Times New Roman" w:eastAsia="宋体" w:cs="Times New Roman"/>
                <w:color w:val="auto"/>
                <w:szCs w:val="24"/>
                <w:lang w:val="en-US" w:eastAsia="zh-CN"/>
              </w:rPr>
              <w:t>③</w:t>
            </w:r>
            <w:r>
              <w:rPr>
                <w:rStyle w:val="190"/>
                <w:rFonts w:hint="default" w:ascii="Times New Roman" w:hAnsi="Times New Roman" w:eastAsia="宋体" w:cs="Times New Roman"/>
                <w:color w:val="auto"/>
                <w:szCs w:val="24"/>
              </w:rPr>
              <w:t>搅拌机冲洗废水:搅拌机冲洗用水量</w:t>
            </w:r>
            <w:r>
              <w:rPr>
                <w:rFonts w:hint="default" w:ascii="Times New Roman" w:hAnsi="Times New Roman" w:eastAsia="宋体" w:cs="Times New Roman"/>
                <w:color w:val="auto"/>
              </w:rPr>
              <w:t>为</w:t>
            </w:r>
            <w:r>
              <w:rPr>
                <w:rFonts w:hint="default" w:ascii="Times New Roman" w:hAnsi="Times New Roman" w:eastAsia="宋体" w:cs="Times New Roman"/>
                <w:color w:val="auto"/>
                <w:lang w:val="en-US" w:eastAsia="zh-CN"/>
              </w:rPr>
              <w:t>15</w:t>
            </w:r>
            <w:r>
              <w:rPr>
                <w:rFonts w:hint="default" w:ascii="Times New Roman" w:hAnsi="Times New Roman" w:eastAsia="宋体" w:cs="Times New Roman"/>
                <w:color w:val="auto"/>
              </w:rPr>
              <w:t>0m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/a，废水按80%计，则搅拌机冲洗废水为</w:t>
            </w:r>
            <w:r>
              <w:rPr>
                <w:rFonts w:hint="default" w:ascii="Times New Roman" w:hAnsi="Times New Roman" w:eastAsia="宋体" w:cs="Times New Roman"/>
                <w:color w:val="auto"/>
                <w:lang w:val="en-US" w:eastAsia="zh-CN"/>
              </w:rPr>
              <w:t>12</w:t>
            </w:r>
            <w:r>
              <w:rPr>
                <w:rFonts w:hint="default" w:ascii="Times New Roman" w:hAnsi="Times New Roman" w:eastAsia="宋体" w:cs="Times New Roman"/>
                <w:color w:val="auto"/>
              </w:rPr>
              <w:t>0m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/a，搅拌机冲洗废水进入沉淀池沉淀后用于混合搅拌生产。</w:t>
            </w:r>
          </w:p>
          <w:p w14:paraId="55A0B92D">
            <w:pPr>
              <w:keepNext w:val="0"/>
              <w:keepLines w:val="0"/>
              <w:widowControl/>
              <w:suppressLineNumbers w:val="0"/>
              <w:jc w:val="left"/>
              <w:rPr>
                <w:rFonts w:hint="default" w:ascii="Times New Roman" w:hAnsi="Times New Roman" w:eastAsia="宋体" w:cs="Times New Roman"/>
                <w:color w:val="auto"/>
              </w:rPr>
            </w:pPr>
            <w:r>
              <w:rPr>
                <w:rStyle w:val="190"/>
                <w:rFonts w:hint="default" w:ascii="Times New Roman" w:hAnsi="Times New Roman" w:eastAsia="宋体" w:cs="Times New Roman"/>
                <w:color w:val="auto"/>
                <w:szCs w:val="24"/>
                <w:lang w:val="en-US" w:eastAsia="zh-CN"/>
              </w:rPr>
              <w:t>④</w:t>
            </w:r>
            <w:r>
              <w:rPr>
                <w:rStyle w:val="190"/>
                <w:rFonts w:hint="default" w:ascii="Times New Roman" w:hAnsi="Times New Roman" w:eastAsia="宋体" w:cs="Times New Roman"/>
                <w:color w:val="auto"/>
                <w:szCs w:val="24"/>
              </w:rPr>
              <w:t>生活用水量</w:t>
            </w:r>
            <w:r>
              <w:rPr>
                <w:rFonts w:hint="default" w:ascii="Times New Roman" w:hAnsi="Times New Roman" w:eastAsia="宋体" w:cs="Times New Roman"/>
                <w:color w:val="auto"/>
              </w:rPr>
              <w:t>为</w:t>
            </w:r>
            <w:r>
              <w:rPr>
                <w:rFonts w:hint="default" w:ascii="Times New Roman" w:hAnsi="Times New Roman" w:eastAsia="宋体" w:cs="Times New Roman"/>
                <w:color w:val="auto"/>
                <w:lang w:val="en-US" w:eastAsia="zh-CN"/>
              </w:rPr>
              <w:t>2.5</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/d（</w:t>
            </w:r>
            <w:r>
              <w:rPr>
                <w:rFonts w:hint="default" w:ascii="Times New Roman" w:hAnsi="Times New Roman" w:eastAsia="宋体" w:cs="Times New Roman"/>
                <w:color w:val="auto"/>
                <w:lang w:val="en-US" w:eastAsia="zh-CN"/>
              </w:rPr>
              <w:t>80</w:t>
            </w:r>
            <w:r>
              <w:rPr>
                <w:rFonts w:hint="default" w:ascii="Times New Roman" w:hAnsi="Times New Roman" w:eastAsia="宋体" w:cs="Times New Roman"/>
                <w:color w:val="auto"/>
              </w:rPr>
              <w:t>0m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/a），生活污水按80%计，则生活污水量为</w:t>
            </w:r>
            <w:r>
              <w:rPr>
                <w:rFonts w:hint="default" w:ascii="Times New Roman" w:hAnsi="Times New Roman" w:eastAsia="宋体" w:cs="Times New Roman"/>
                <w:color w:val="auto"/>
                <w:lang w:val="en-US" w:eastAsia="zh-CN"/>
              </w:rPr>
              <w:t>2.0</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/d（</w:t>
            </w:r>
            <w:r>
              <w:rPr>
                <w:rFonts w:hint="default" w:ascii="Times New Roman" w:hAnsi="Times New Roman" w:eastAsia="宋体" w:cs="Times New Roman"/>
                <w:color w:val="auto"/>
                <w:lang w:val="en-US" w:eastAsia="zh-CN"/>
              </w:rPr>
              <w:t>640</w:t>
            </w:r>
            <w:r>
              <w:rPr>
                <w:rFonts w:hint="default" w:ascii="Times New Roman" w:hAnsi="Times New Roman" w:eastAsia="宋体" w:cs="Times New Roman"/>
                <w:color w:val="auto"/>
              </w:rPr>
              <w:t>m</w:t>
            </w:r>
            <w:r>
              <w:rPr>
                <w:rFonts w:hint="default" w:ascii="Times New Roman" w:hAnsi="Times New Roman" w:eastAsia="宋体" w:cs="Times New Roman"/>
                <w:color w:val="auto"/>
                <w:vertAlign w:val="superscript"/>
              </w:rPr>
              <w:t>3</w:t>
            </w:r>
            <w:r>
              <w:rPr>
                <w:rFonts w:hint="default" w:ascii="Times New Roman" w:hAnsi="Times New Roman" w:eastAsia="宋体" w:cs="Times New Roman"/>
                <w:color w:val="auto"/>
              </w:rPr>
              <w:t>/a），</w:t>
            </w:r>
            <w:r>
              <w:rPr>
                <w:rFonts w:hint="default" w:ascii="Times New Roman" w:hAnsi="Times New Roman" w:eastAsia="宋体" w:cs="Times New Roman"/>
                <w:color w:val="auto"/>
                <w:kern w:val="0"/>
                <w:sz w:val="24"/>
                <w:szCs w:val="24"/>
                <w:lang w:val="en-US" w:eastAsia="zh-CN" w:bidi="ar"/>
              </w:rPr>
              <w:t>生活污水经化粪池处理后，排入收集池存放，采用槽罐车定期送至</w:t>
            </w:r>
            <w:r>
              <w:rPr>
                <w:rFonts w:hint="eastAsia" w:ascii="Times New Roman" w:hAnsi="Times New Roman" w:eastAsia="宋体" w:cs="Times New Roman"/>
                <w:color w:val="auto"/>
                <w:kern w:val="0"/>
                <w:sz w:val="24"/>
                <w:szCs w:val="24"/>
                <w:lang w:val="en-US" w:eastAsia="zh-CN" w:bidi="ar"/>
              </w:rPr>
              <w:t>东至县国祯污水处理厂</w:t>
            </w:r>
            <w:r>
              <w:rPr>
                <w:rFonts w:hint="default" w:ascii="Times New Roman" w:hAnsi="Times New Roman" w:eastAsia="宋体" w:cs="Times New Roman"/>
                <w:color w:val="auto"/>
                <w:kern w:val="0"/>
                <w:sz w:val="24"/>
                <w:szCs w:val="24"/>
                <w:lang w:val="en-US" w:eastAsia="zh-CN" w:bidi="ar"/>
              </w:rPr>
              <w:t>处置。</w:t>
            </w:r>
          </w:p>
          <w:p w14:paraId="6F77E4EC">
            <w:pPr>
              <w:pStyle w:val="189"/>
              <w:adjustRightInd w:val="0"/>
              <w:snapToGrid w:val="0"/>
              <w:ind w:left="0" w:leftChars="0"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rPr>
              <w:object>
                <v:shape id="_x0000_i1025" o:spt="75" type="#_x0000_t75" style="height:389.7pt;width:439.7pt;" o:ole="t" filled="f" o:preferrelative="t" stroked="f" coordsize="21600,21600">
                  <v:path/>
                  <v:fill on="f" focussize="0,0"/>
                  <v:stroke on="f"/>
                  <v:imagedata r:id="rId18" o:title=""/>
                  <o:lock v:ext="edit" aspectratio="f"/>
                  <w10:wrap type="none"/>
                  <w10:anchorlock/>
                </v:shape>
                <o:OLEObject Type="Embed" ProgID="Visio.Drawing.15" ShapeID="_x0000_i1025" DrawAspect="Content" ObjectID="_1468075725" r:id="rId17">
                  <o:LockedField>false</o:LockedField>
                </o:OLEObject>
              </w:object>
            </w:r>
          </w:p>
          <w:p w14:paraId="2EB1A0F8">
            <w:pPr>
              <w:pStyle w:val="189"/>
              <w:ind w:left="0" w:leftChars="0" w:firstLine="0" w:firstLineChars="0"/>
              <w:jc w:val="center"/>
              <w:rPr>
                <w:rStyle w:val="190"/>
                <w:rFonts w:hint="default" w:ascii="Times New Roman" w:hAnsi="Times New Roman" w:eastAsia="宋体" w:cs="Times New Roman"/>
                <w:b/>
                <w:bCs/>
                <w:color w:val="auto"/>
                <w:szCs w:val="24"/>
                <w:lang w:val="en-US" w:eastAsia="zh-CN"/>
              </w:rPr>
            </w:pPr>
            <w:r>
              <w:rPr>
                <w:rStyle w:val="190"/>
                <w:rFonts w:hint="default" w:ascii="Times New Roman" w:hAnsi="Times New Roman" w:eastAsia="宋体" w:cs="Times New Roman"/>
                <w:b/>
                <w:bCs/>
                <w:color w:val="auto"/>
                <w:szCs w:val="24"/>
                <w:lang w:val="en-US" w:eastAsia="zh-CN"/>
              </w:rPr>
              <w:t>图2-1  项目水平衡图（m</w:t>
            </w:r>
            <w:r>
              <w:rPr>
                <w:rStyle w:val="190"/>
                <w:rFonts w:hint="default" w:ascii="Times New Roman" w:hAnsi="Times New Roman" w:eastAsia="宋体" w:cs="Times New Roman"/>
                <w:b/>
                <w:bCs/>
                <w:color w:val="auto"/>
                <w:szCs w:val="24"/>
                <w:vertAlign w:val="superscript"/>
                <w:lang w:val="en-US" w:eastAsia="zh-CN"/>
              </w:rPr>
              <w:t>3</w:t>
            </w:r>
            <w:r>
              <w:rPr>
                <w:rStyle w:val="190"/>
                <w:rFonts w:hint="default" w:ascii="Times New Roman" w:hAnsi="Times New Roman" w:eastAsia="宋体" w:cs="Times New Roman"/>
                <w:b/>
                <w:bCs/>
                <w:color w:val="auto"/>
                <w:szCs w:val="24"/>
                <w:vertAlign w:val="baseline"/>
                <w:lang w:val="en-US" w:eastAsia="zh-CN"/>
              </w:rPr>
              <w:t>/d</w:t>
            </w:r>
            <w:r>
              <w:rPr>
                <w:rStyle w:val="190"/>
                <w:rFonts w:hint="default" w:ascii="Times New Roman" w:hAnsi="Times New Roman" w:eastAsia="宋体" w:cs="Times New Roman"/>
                <w:b/>
                <w:bCs/>
                <w:color w:val="auto"/>
                <w:szCs w:val="24"/>
                <w:lang w:val="en-US" w:eastAsia="zh-CN"/>
              </w:rPr>
              <w:t>）</w:t>
            </w:r>
          </w:p>
          <w:p w14:paraId="06A674A8">
            <w:pPr>
              <w:pStyle w:val="189"/>
              <w:ind w:firstLine="480"/>
              <w:rPr>
                <w:rStyle w:val="190"/>
                <w:rFonts w:hint="default" w:ascii="Times New Roman" w:hAnsi="Times New Roman" w:eastAsia="宋体" w:cs="Times New Roman"/>
                <w:color w:val="auto"/>
              </w:rPr>
            </w:pPr>
            <w:r>
              <w:rPr>
                <w:rStyle w:val="190"/>
                <w:rFonts w:hint="default" w:ascii="Times New Roman" w:hAnsi="Times New Roman" w:eastAsia="宋体" w:cs="Times New Roman"/>
                <w:color w:val="auto"/>
                <w:szCs w:val="24"/>
              </w:rPr>
              <w:t>（2）供电</w:t>
            </w:r>
          </w:p>
          <w:p w14:paraId="3AD60AF4">
            <w:pPr>
              <w:pStyle w:val="189"/>
              <w:ind w:firstLine="480"/>
              <w:rPr>
                <w:rFonts w:hint="default" w:ascii="Times New Roman" w:hAnsi="Times New Roman" w:eastAsia="宋体" w:cs="Times New Roman"/>
                <w:color w:val="auto"/>
              </w:rPr>
            </w:pPr>
            <w:r>
              <w:rPr>
                <w:rFonts w:hint="default" w:ascii="Times New Roman" w:hAnsi="Times New Roman" w:eastAsia="宋体" w:cs="Times New Roman"/>
                <w:color w:val="auto"/>
                <w:szCs w:val="24"/>
              </w:rPr>
              <w:t>项目供电引自市</w:t>
            </w:r>
            <w:bookmarkStart w:id="55" w:name="OLE_LINK191"/>
            <w:r>
              <w:rPr>
                <w:rFonts w:hint="default" w:ascii="Times New Roman" w:hAnsi="Times New Roman" w:eastAsia="宋体" w:cs="Times New Roman"/>
                <w:color w:val="auto"/>
                <w:szCs w:val="24"/>
              </w:rPr>
              <w:t>政电力，能够满足企业用电需求，年耗电量490万kwh。</w:t>
            </w:r>
          </w:p>
          <w:bookmarkEnd w:id="36"/>
          <w:bookmarkEnd w:id="44"/>
          <w:bookmarkEnd w:id="45"/>
          <w:bookmarkEnd w:id="55"/>
          <w:p w14:paraId="406EF5C7">
            <w:pPr>
              <w:pStyle w:val="192"/>
              <w:ind w:firstLine="482"/>
              <w:rPr>
                <w:rFonts w:hint="default" w:ascii="Times New Roman" w:hAnsi="Times New Roman" w:eastAsia="宋体" w:cs="Times New Roman"/>
                <w:color w:val="auto"/>
                <w:szCs w:val="24"/>
              </w:rPr>
            </w:pPr>
            <w:bookmarkStart w:id="56" w:name="OLE_LINK200"/>
            <w:bookmarkStart w:id="57" w:name="OLE_LINK212"/>
            <w:bookmarkStart w:id="58" w:name="OLE_LINK197"/>
            <w:r>
              <w:rPr>
                <w:rFonts w:hint="default" w:ascii="Times New Roman" w:hAnsi="Times New Roman" w:eastAsia="宋体" w:cs="Times New Roman"/>
                <w:color w:val="auto"/>
                <w:szCs w:val="24"/>
                <w:lang w:val="en-US" w:eastAsia="zh-CN"/>
              </w:rPr>
              <w:t>7</w:t>
            </w:r>
            <w:r>
              <w:rPr>
                <w:rFonts w:hint="default" w:ascii="Times New Roman" w:hAnsi="Times New Roman" w:eastAsia="宋体" w:cs="Times New Roman"/>
                <w:color w:val="auto"/>
                <w:szCs w:val="24"/>
              </w:rPr>
              <w:t>.项目地理位置及周边概况</w:t>
            </w:r>
          </w:p>
          <w:bookmarkEnd w:id="56"/>
          <w:p w14:paraId="7BD7A38A">
            <w:pPr>
              <w:ind w:firstLine="480"/>
              <w:rPr>
                <w:rFonts w:hint="default" w:ascii="Times New Roman" w:hAnsi="Times New Roman" w:eastAsia="宋体" w:cs="Times New Roman"/>
                <w:bCs/>
                <w:color w:val="auto"/>
              </w:rPr>
            </w:pPr>
            <w:bookmarkStart w:id="59" w:name="OLE_LINK204"/>
            <w:r>
              <w:rPr>
                <w:rFonts w:hint="default" w:ascii="Times New Roman" w:hAnsi="Times New Roman" w:eastAsia="宋体" w:cs="Times New Roman"/>
                <w:color w:val="auto"/>
                <w:szCs w:val="22"/>
                <w:lang w:val="en-US" w:eastAsia="zh-CN"/>
              </w:rPr>
              <w:t>本项目建设地点位于尧渡镇滨河新区地块，南临创业南路（暂未建设），北临创业路</w:t>
            </w:r>
            <w:r>
              <w:rPr>
                <w:rFonts w:hint="default" w:ascii="Times New Roman" w:hAnsi="Times New Roman" w:eastAsia="宋体" w:cs="Times New Roman"/>
                <w:bCs/>
                <w:color w:val="auto"/>
                <w:lang w:eastAsia="zh-CN"/>
              </w:rPr>
              <w:t>。</w:t>
            </w:r>
            <w:r>
              <w:rPr>
                <w:rFonts w:hint="default" w:ascii="Times New Roman" w:hAnsi="Times New Roman" w:eastAsia="宋体" w:cs="Times New Roman"/>
                <w:bCs/>
                <w:color w:val="auto"/>
                <w:lang w:val="en-US" w:eastAsia="zh-CN"/>
              </w:rPr>
              <w:t>东、西</w:t>
            </w:r>
            <w:r>
              <w:rPr>
                <w:rFonts w:hint="default" w:ascii="Times New Roman" w:hAnsi="Times New Roman" w:eastAsia="宋体" w:cs="Times New Roman"/>
                <w:bCs/>
                <w:color w:val="auto"/>
              </w:rPr>
              <w:t>侧为</w:t>
            </w:r>
            <w:r>
              <w:rPr>
                <w:rFonts w:hint="default" w:ascii="Times New Roman" w:hAnsi="Times New Roman" w:eastAsia="宋体" w:cs="Times New Roman"/>
                <w:bCs/>
                <w:color w:val="auto"/>
                <w:lang w:val="en-US" w:eastAsia="zh-CN"/>
              </w:rPr>
              <w:t>空地</w:t>
            </w:r>
            <w:r>
              <w:rPr>
                <w:rFonts w:hint="default" w:ascii="Times New Roman" w:hAnsi="Times New Roman" w:eastAsia="宋体" w:cs="Times New Roman"/>
                <w:bCs/>
                <w:color w:val="auto"/>
              </w:rPr>
              <w:t>，项目周边环境概况图见附图</w:t>
            </w:r>
            <w:r>
              <w:rPr>
                <w:rFonts w:hint="default" w:ascii="Times New Roman" w:hAnsi="Times New Roman" w:eastAsia="宋体" w:cs="Times New Roman"/>
                <w:bCs/>
                <w:color w:val="auto"/>
                <w:lang w:val="en-US" w:eastAsia="zh-CN"/>
              </w:rPr>
              <w:t>2</w:t>
            </w:r>
            <w:r>
              <w:rPr>
                <w:rFonts w:hint="default" w:ascii="Times New Roman" w:hAnsi="Times New Roman" w:eastAsia="宋体" w:cs="Times New Roman"/>
                <w:bCs/>
                <w:color w:val="auto"/>
              </w:rPr>
              <w:t>。</w:t>
            </w:r>
            <w:bookmarkEnd w:id="59"/>
            <w:bookmarkStart w:id="60" w:name="OLE_LINK192"/>
          </w:p>
          <w:bookmarkEnd w:id="54"/>
          <w:bookmarkEnd w:id="57"/>
          <w:p w14:paraId="1AA9D394">
            <w:pPr>
              <w:pStyle w:val="192"/>
              <w:ind w:firstLine="482"/>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lang w:val="en-US" w:eastAsia="zh-CN"/>
              </w:rPr>
              <w:t>8</w:t>
            </w:r>
            <w:r>
              <w:rPr>
                <w:rFonts w:hint="default" w:ascii="Times New Roman" w:hAnsi="Times New Roman" w:eastAsia="宋体" w:cs="Times New Roman"/>
                <w:color w:val="auto"/>
                <w:szCs w:val="24"/>
              </w:rPr>
              <w:t>.总平面布置</w:t>
            </w:r>
          </w:p>
          <w:p w14:paraId="25698556">
            <w:pPr>
              <w:pStyle w:val="189"/>
              <w:ind w:firstLine="480"/>
              <w:rPr>
                <w:rFonts w:hint="default" w:ascii="Times New Roman" w:hAnsi="Times New Roman" w:eastAsia="宋体" w:cs="Times New Roman"/>
                <w:color w:val="auto"/>
                <w:szCs w:val="24"/>
                <w:lang w:val="en-US" w:eastAsia="zh-CN"/>
              </w:rPr>
            </w:pPr>
            <w:r>
              <w:rPr>
                <w:rFonts w:hint="default" w:ascii="Times New Roman" w:hAnsi="Times New Roman" w:eastAsia="宋体" w:cs="Times New Roman"/>
                <w:color w:val="auto"/>
                <w:szCs w:val="24"/>
                <w:lang w:val="en-US" w:eastAsia="zh-CN"/>
              </w:rPr>
              <w:t>本项目厂区整体由北向南布置，出入口位于厂区西北侧，办公楼在厂区北侧，厂区仅有一个联合厂房，联合厂房为两栋厂房，一号厂房在联合厂房北侧，主要有原料仓库、原料破碎、筛分生产线以及水稳生产线，原料仓库在一号车间西侧，一号车间中部为原料破碎、筛分生产线，水稳生产线在车间东北侧；二号车间在厂区南侧，主要为RDF燃料成品仓库以及RDF燃料生产线，二号车间西侧为成品仓库，东侧为RDF燃料生产线。</w:t>
            </w:r>
            <w:r>
              <w:rPr>
                <w:rFonts w:hint="default" w:ascii="Times New Roman" w:hAnsi="Times New Roman" w:eastAsia="宋体" w:cs="Times New Roman"/>
                <w:color w:val="auto"/>
                <w:szCs w:val="24"/>
              </w:rPr>
              <w:t>项目总平面布置图见附图</w:t>
            </w:r>
            <w:r>
              <w:rPr>
                <w:rFonts w:hint="default" w:ascii="Times New Roman" w:hAnsi="Times New Roman" w:eastAsia="宋体" w:cs="Times New Roman"/>
                <w:color w:val="auto"/>
                <w:szCs w:val="24"/>
                <w:lang w:val="en-US" w:eastAsia="zh-CN"/>
              </w:rPr>
              <w:t>3</w:t>
            </w:r>
            <w:bookmarkEnd w:id="58"/>
            <w:bookmarkEnd w:id="60"/>
            <w:r>
              <w:rPr>
                <w:rFonts w:hint="default" w:ascii="Times New Roman" w:hAnsi="Times New Roman" w:eastAsia="宋体" w:cs="Times New Roman"/>
                <w:color w:val="auto"/>
                <w:szCs w:val="24"/>
                <w:lang w:val="en-US" w:eastAsia="zh-CN"/>
              </w:rPr>
              <w:t>。</w:t>
            </w:r>
          </w:p>
        </w:tc>
      </w:tr>
      <w:tr w14:paraId="5F860F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73727A01">
            <w:pPr>
              <w:adjustRightInd w:val="0"/>
              <w:snapToGrid w:val="0"/>
              <w:spacing w:line="240" w:lineRule="auto"/>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rPr>
              <w:t>工艺流程和产排污环节</w:t>
            </w:r>
          </w:p>
        </w:tc>
        <w:tc>
          <w:tcPr>
            <w:tcW w:w="8541" w:type="dxa"/>
          </w:tcPr>
          <w:p w14:paraId="6D2D6E39">
            <w:pPr>
              <w:ind w:firstLine="482"/>
              <w:rPr>
                <w:rFonts w:hint="default" w:ascii="Times New Roman" w:hAnsi="Times New Roman" w:eastAsia="宋体" w:cs="Times New Roman"/>
                <w:b/>
                <w:snapToGrid w:val="0"/>
                <w:color w:val="auto"/>
                <w:lang w:val="en-US" w:eastAsia="zh-CN"/>
              </w:rPr>
            </w:pPr>
            <w:r>
              <w:rPr>
                <w:rFonts w:hint="default" w:ascii="Times New Roman" w:hAnsi="Times New Roman" w:eastAsia="宋体" w:cs="Times New Roman"/>
                <w:b/>
                <w:snapToGrid w:val="0"/>
                <w:color w:val="auto"/>
                <w:lang w:val="en-US" w:eastAsia="zh-CN"/>
              </w:rPr>
              <w:t>（四）工艺流程和产污环节</w:t>
            </w:r>
          </w:p>
          <w:p w14:paraId="104212B5">
            <w:pPr>
              <w:pStyle w:val="178"/>
              <w:snapToGrid w:val="0"/>
              <w:ind w:firstLine="480"/>
              <w:rPr>
                <w:rFonts w:hint="default" w:ascii="Times New Roman" w:hAnsi="Times New Roman" w:eastAsia="宋体" w:cs="Times New Roman"/>
                <w:b/>
                <w:bCs/>
                <w:color w:val="auto"/>
                <w:kern w:val="24"/>
              </w:rPr>
            </w:pPr>
            <w:r>
              <w:rPr>
                <w:rFonts w:hint="default" w:ascii="Times New Roman" w:hAnsi="Times New Roman" w:eastAsia="宋体" w:cs="Times New Roman"/>
                <w:b/>
                <w:bCs/>
                <w:color w:val="auto"/>
                <w:kern w:val="24"/>
                <w:lang w:val="en-US" w:eastAsia="zh-CN"/>
              </w:rPr>
              <w:t>1.</w:t>
            </w:r>
            <w:r>
              <w:rPr>
                <w:rFonts w:hint="default" w:ascii="Times New Roman" w:hAnsi="Times New Roman" w:eastAsia="宋体" w:cs="Times New Roman"/>
                <w:b/>
                <w:bCs/>
                <w:color w:val="auto"/>
                <w:kern w:val="24"/>
              </w:rPr>
              <w:t>骨料生产工艺流程</w:t>
            </w:r>
          </w:p>
          <w:p w14:paraId="66BD07BC">
            <w:pPr>
              <w:pStyle w:val="178"/>
              <w:snapToGrid w:val="0"/>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rPr>
              <w:object>
                <v:shape id="_x0000_i1026" o:spt="75" type="#_x0000_t75" style="height:523.95pt;width:333.7pt;" o:ole="t" filled="f" o:preferrelative="t" stroked="f" coordsize="21600,21600">
                  <v:path/>
                  <v:fill on="f" focussize="0,0"/>
                  <v:stroke on="f"/>
                  <v:imagedata r:id="rId20" o:title=""/>
                  <o:lock v:ext="edit" aspectratio="f"/>
                  <w10:wrap type="none"/>
                  <w10:anchorlock/>
                </v:shape>
                <o:OLEObject Type="Embed" ProgID="Visio.Drawing.11" ShapeID="_x0000_i1026" DrawAspect="Content" ObjectID="_1468075726" r:id="rId19">
                  <o:LockedField>false</o:LockedField>
                </o:OLEObject>
              </w:object>
            </w:r>
          </w:p>
          <w:p w14:paraId="5A8817EC">
            <w:pPr>
              <w:pStyle w:val="178"/>
              <w:snapToGrid w:val="0"/>
              <w:ind w:firstLine="0" w:firstLineChars="0"/>
              <w:jc w:val="center"/>
              <w:rPr>
                <w:rFonts w:hint="default" w:ascii="Times New Roman" w:hAnsi="Times New Roman" w:eastAsia="宋体" w:cs="Times New Roman"/>
                <w:bCs/>
                <w:iCs/>
                <w:color w:val="auto"/>
                <w:kern w:val="0"/>
              </w:rPr>
            </w:pPr>
            <w:r>
              <w:rPr>
                <w:rFonts w:hint="default" w:ascii="Times New Roman" w:hAnsi="Times New Roman" w:eastAsia="宋体" w:cs="Times New Roman"/>
                <w:bCs/>
                <w:iCs/>
                <w:color w:val="auto"/>
                <w:kern w:val="0"/>
              </w:rPr>
              <w:t>图2-</w:t>
            </w:r>
            <w:r>
              <w:rPr>
                <w:rFonts w:hint="default" w:ascii="Times New Roman" w:hAnsi="Times New Roman" w:eastAsia="宋体" w:cs="Times New Roman"/>
                <w:bCs/>
                <w:iCs/>
                <w:color w:val="auto"/>
                <w:kern w:val="0"/>
                <w:lang w:val="en-US" w:eastAsia="zh-CN"/>
              </w:rPr>
              <w:t>2</w:t>
            </w:r>
            <w:r>
              <w:rPr>
                <w:rFonts w:hint="default" w:ascii="Times New Roman" w:hAnsi="Times New Roman" w:eastAsia="宋体" w:cs="Times New Roman"/>
                <w:bCs/>
                <w:iCs/>
                <w:color w:val="auto"/>
                <w:kern w:val="0"/>
              </w:rPr>
              <w:t xml:space="preserve">  骨料生产工艺流程及产污环节图</w:t>
            </w:r>
          </w:p>
          <w:p w14:paraId="3C3704CD">
            <w:pPr>
              <w:pStyle w:val="13"/>
              <w:tabs>
                <w:tab w:val="left" w:pos="6105"/>
              </w:tabs>
              <w:spacing w:after="0"/>
              <w:ind w:left="0" w:leftChars="0" w:firstLine="0" w:firstLineChars="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注：项目建筑垃圾生产加工得到的石子均用于项目水稳材料生产，不外售。</w:t>
            </w:r>
          </w:p>
          <w:p w14:paraId="320AB21F">
            <w:pPr>
              <w:pStyle w:val="18"/>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工艺流程描述：</w:t>
            </w:r>
          </w:p>
          <w:p w14:paraId="5A45D3F1">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lang w:val="en-US" w:eastAsia="zh-CN"/>
              </w:rPr>
              <w:t>1）</w:t>
            </w:r>
            <w:r>
              <w:rPr>
                <w:rFonts w:hint="default" w:ascii="Times New Roman" w:hAnsi="Times New Roman" w:eastAsia="宋体" w:cs="Times New Roman"/>
                <w:color w:val="auto"/>
                <w:sz w:val="24"/>
              </w:rPr>
              <w:t>建筑垃圾收集运输：项目建设一座</w:t>
            </w:r>
            <w:r>
              <w:rPr>
                <w:rFonts w:hint="default" w:ascii="Times New Roman" w:hAnsi="Times New Roman" w:eastAsia="宋体" w:cs="Times New Roman"/>
                <w:color w:val="auto"/>
                <w:sz w:val="24"/>
                <w:lang w:eastAsia="zh-CN"/>
              </w:rPr>
              <w:t>建筑垃圾存储车间</w:t>
            </w:r>
            <w:r>
              <w:rPr>
                <w:rFonts w:hint="default" w:ascii="Times New Roman" w:hAnsi="Times New Roman" w:eastAsia="宋体" w:cs="Times New Roman"/>
                <w:color w:val="auto"/>
                <w:sz w:val="24"/>
              </w:rPr>
              <w:t>，外部的建筑垃圾通过车辆运输至</w:t>
            </w:r>
            <w:r>
              <w:rPr>
                <w:rFonts w:hint="default" w:ascii="Times New Roman" w:hAnsi="Times New Roman" w:eastAsia="宋体" w:cs="Times New Roman"/>
                <w:color w:val="auto"/>
                <w:sz w:val="24"/>
                <w:lang w:eastAsia="zh-CN"/>
              </w:rPr>
              <w:t>建筑垃圾存储车间</w:t>
            </w:r>
            <w:r>
              <w:rPr>
                <w:rFonts w:hint="default" w:ascii="Times New Roman" w:hAnsi="Times New Roman" w:eastAsia="宋体" w:cs="Times New Roman"/>
                <w:color w:val="auto"/>
                <w:sz w:val="24"/>
              </w:rPr>
              <w:t>，车辆进出通过车辆冲洗平台冲洗，且要求建筑垃圾采用带篷布遮盖车辆运输。车辆运输过程会有运输扬尘产生</w:t>
            </w:r>
            <w:r>
              <w:rPr>
                <w:rFonts w:hint="default" w:ascii="Times New Roman" w:hAnsi="Times New Roman" w:eastAsia="宋体" w:cs="Times New Roman"/>
                <w:color w:val="auto"/>
                <w:sz w:val="24"/>
                <w:lang w:val="en-US" w:eastAsia="zh-CN"/>
              </w:rPr>
              <w:t>G1</w:t>
            </w:r>
            <w:r>
              <w:rPr>
                <w:rFonts w:hint="default" w:ascii="Times New Roman" w:hAnsi="Times New Roman" w:eastAsia="宋体" w:cs="Times New Roman"/>
                <w:color w:val="auto"/>
                <w:sz w:val="24"/>
              </w:rPr>
              <w:t>，汽车运输过程会有车辆尾气产生，建筑垃圾在</w:t>
            </w:r>
            <w:r>
              <w:rPr>
                <w:rFonts w:hint="default" w:ascii="Times New Roman" w:hAnsi="Times New Roman" w:eastAsia="宋体" w:cs="Times New Roman"/>
                <w:color w:val="auto"/>
                <w:sz w:val="24"/>
                <w:lang w:eastAsia="zh-CN"/>
              </w:rPr>
              <w:t>建筑垃圾存储车间</w:t>
            </w:r>
            <w:r>
              <w:rPr>
                <w:rFonts w:hint="default" w:ascii="Times New Roman" w:hAnsi="Times New Roman" w:eastAsia="宋体" w:cs="Times New Roman"/>
                <w:color w:val="auto"/>
                <w:sz w:val="24"/>
              </w:rPr>
              <w:t>内装卸过程会有扬尘产生</w:t>
            </w:r>
            <w:r>
              <w:rPr>
                <w:rFonts w:hint="default" w:ascii="Times New Roman" w:hAnsi="Times New Roman" w:eastAsia="宋体" w:cs="Times New Roman"/>
                <w:color w:val="auto"/>
                <w:sz w:val="24"/>
                <w:lang w:val="en-US" w:eastAsia="zh-CN"/>
              </w:rPr>
              <w:t>G2</w:t>
            </w:r>
            <w:r>
              <w:rPr>
                <w:rFonts w:hint="default" w:ascii="Times New Roman" w:hAnsi="Times New Roman" w:eastAsia="宋体" w:cs="Times New Roman"/>
                <w:color w:val="auto"/>
                <w:sz w:val="24"/>
              </w:rPr>
              <w:t>。</w:t>
            </w:r>
          </w:p>
          <w:p w14:paraId="5739141D">
            <w:pPr>
              <w:spacing w:line="360" w:lineRule="auto"/>
              <w:ind w:firstLine="480"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2）预分拣：入场后的建筑垃圾在</w:t>
            </w:r>
            <w:r>
              <w:rPr>
                <w:rFonts w:hint="default" w:ascii="Times New Roman" w:hAnsi="Times New Roman" w:eastAsia="宋体" w:cs="Times New Roman"/>
                <w:color w:val="auto"/>
                <w:sz w:val="24"/>
                <w:lang w:eastAsia="zh-CN"/>
              </w:rPr>
              <w:t>建筑垃圾存储车间进行预分拣，剔除大件的废玻璃、废泡沫等其他废物</w:t>
            </w:r>
            <w:r>
              <w:rPr>
                <w:rFonts w:hint="default" w:ascii="Times New Roman" w:hAnsi="Times New Roman" w:eastAsia="宋体" w:cs="Times New Roman"/>
                <w:color w:val="auto"/>
                <w:sz w:val="24"/>
                <w:lang w:val="en-US" w:eastAsia="zh-CN"/>
              </w:rPr>
              <w:t>S1</w:t>
            </w:r>
            <w:r>
              <w:rPr>
                <w:rFonts w:hint="default" w:ascii="Times New Roman" w:hAnsi="Times New Roman" w:eastAsia="宋体" w:cs="Times New Roman"/>
                <w:color w:val="auto"/>
                <w:sz w:val="24"/>
                <w:lang w:eastAsia="zh-CN"/>
              </w:rPr>
              <w:t>。</w:t>
            </w:r>
          </w:p>
          <w:p w14:paraId="1B0A177D">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lang w:eastAsia="zh-CN"/>
              </w:rPr>
              <w:t>给料</w:t>
            </w:r>
            <w:r>
              <w:rPr>
                <w:rFonts w:hint="default" w:ascii="Times New Roman" w:hAnsi="Times New Roman" w:eastAsia="宋体" w:cs="Times New Roman"/>
                <w:color w:val="auto"/>
                <w:sz w:val="24"/>
              </w:rPr>
              <w:t>：通过铲车将建筑垃圾投入</w:t>
            </w:r>
            <w:r>
              <w:rPr>
                <w:rFonts w:hint="default" w:ascii="Times New Roman" w:hAnsi="Times New Roman" w:eastAsia="宋体" w:cs="Times New Roman"/>
                <w:color w:val="auto"/>
                <w:sz w:val="24"/>
                <w:lang w:eastAsia="zh-CN"/>
              </w:rPr>
              <w:t>给料</w:t>
            </w:r>
            <w:r>
              <w:rPr>
                <w:rFonts w:hint="default" w:ascii="Times New Roman" w:hAnsi="Times New Roman" w:eastAsia="宋体" w:cs="Times New Roman"/>
                <w:color w:val="auto"/>
                <w:sz w:val="24"/>
              </w:rPr>
              <w:t>机。</w:t>
            </w:r>
            <w:r>
              <w:rPr>
                <w:rFonts w:hint="default" w:ascii="Times New Roman" w:hAnsi="Times New Roman" w:eastAsia="宋体" w:cs="Times New Roman"/>
                <w:color w:val="auto"/>
                <w:sz w:val="24"/>
                <w:lang w:eastAsia="zh-CN"/>
              </w:rPr>
              <w:t>给料</w:t>
            </w:r>
            <w:r>
              <w:rPr>
                <w:rFonts w:hint="default" w:ascii="Times New Roman" w:hAnsi="Times New Roman" w:eastAsia="宋体" w:cs="Times New Roman"/>
                <w:color w:val="auto"/>
                <w:sz w:val="24"/>
              </w:rPr>
              <w:t>过程中会有粉尘产生</w:t>
            </w:r>
            <w:r>
              <w:rPr>
                <w:rFonts w:hint="default" w:ascii="Times New Roman" w:hAnsi="Times New Roman" w:eastAsia="宋体" w:cs="Times New Roman"/>
                <w:color w:val="auto"/>
                <w:sz w:val="24"/>
                <w:lang w:val="en-US" w:eastAsia="zh-CN"/>
              </w:rPr>
              <w:t>G3</w:t>
            </w:r>
            <w:r>
              <w:rPr>
                <w:rFonts w:hint="default" w:ascii="Times New Roman" w:hAnsi="Times New Roman" w:eastAsia="宋体" w:cs="Times New Roman"/>
                <w:color w:val="auto"/>
                <w:sz w:val="24"/>
              </w:rPr>
              <w:t>。</w:t>
            </w:r>
          </w:p>
          <w:p w14:paraId="66FB559D">
            <w:pPr>
              <w:widowControl w:val="0"/>
              <w:spacing w:line="360" w:lineRule="auto"/>
              <w:ind w:firstLine="480" w:firstLineChars="200"/>
              <w:jc w:val="both"/>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4）粗碎：预分拣后的建筑垃圾通过密闭皮带机运输至颚式破碎机，建筑垃圾通过破碎机进行一次破碎。破碎过程中会有粉尘产生G4。</w:t>
            </w:r>
          </w:p>
          <w:p w14:paraId="364B81C0">
            <w:pPr>
              <w:widowControl w:val="0"/>
              <w:spacing w:line="360" w:lineRule="auto"/>
              <w:ind w:firstLine="480" w:firstLineChars="200"/>
              <w:jc w:val="both"/>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5）磁选：破碎后的建筑垃圾通过密闭皮带机运至除铁器进行磁选，选出废金属物料S2。</w:t>
            </w:r>
          </w:p>
          <w:p w14:paraId="71878A3D">
            <w:pPr>
              <w:widowControl w:val="0"/>
              <w:spacing w:line="360" w:lineRule="auto"/>
              <w:ind w:firstLine="480" w:firstLineChars="200"/>
              <w:jc w:val="both"/>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6）渣土筛分：通过筛分机将破碎料中的渣土进行筛分。筛分过程会产生粉尘G5、渣土S3。</w:t>
            </w:r>
          </w:p>
          <w:p w14:paraId="5768A262">
            <w:pPr>
              <w:widowControl w:val="0"/>
              <w:spacing w:line="360" w:lineRule="auto"/>
              <w:ind w:firstLine="480" w:firstLineChars="200"/>
              <w:jc w:val="both"/>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7）风选、人工分拣：通过风选去除物料中的废木材、废纸、废布料等轻物质，再次通过人工分选去除物料中的废木材、废纸、废布料等轻物质，用于后续RDF燃料生产。</w:t>
            </w:r>
          </w:p>
          <w:p w14:paraId="2DA03ED4">
            <w:pPr>
              <w:widowControl w:val="0"/>
              <w:spacing w:line="360" w:lineRule="auto"/>
              <w:ind w:firstLine="480" w:firstLineChars="200"/>
              <w:jc w:val="both"/>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8）细破：分拣后的骨料通过密闭皮带机运输至反击式破碎机进行细碎，破碎过程中会有粉尘产生G6。</w:t>
            </w:r>
          </w:p>
          <w:p w14:paraId="60C582D6">
            <w:pPr>
              <w:pStyle w:val="178"/>
              <w:ind w:firstLine="482"/>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9）筛分：细碎后的物料再进入振动筛进行筛分，筛下物进入骨料仓进行暂存，筛分出0-5mm骨料、5-10mm骨料、10-25mm骨料，分别通过密闭皮带输送至单独骨料仓库暂存。筛分过程会有粉尘产生G7。</w:t>
            </w:r>
          </w:p>
          <w:p w14:paraId="0EBFEC3C">
            <w:pPr>
              <w:pStyle w:val="178"/>
              <w:ind w:firstLine="482"/>
              <w:rPr>
                <w:rFonts w:hint="default" w:ascii="Times New Roman" w:hAnsi="Times New Roman" w:eastAsia="宋体" w:cs="Times New Roman"/>
                <w:color w:val="auto"/>
              </w:rPr>
            </w:pPr>
          </w:p>
          <w:p w14:paraId="011357CD">
            <w:pPr>
              <w:pStyle w:val="178"/>
              <w:ind w:firstLine="482"/>
              <w:rPr>
                <w:rFonts w:hint="default" w:ascii="Times New Roman" w:hAnsi="Times New Roman" w:eastAsia="宋体" w:cs="Times New Roman"/>
                <w:color w:val="auto"/>
              </w:rPr>
            </w:pPr>
          </w:p>
          <w:p w14:paraId="58FD49CE">
            <w:pPr>
              <w:pStyle w:val="178"/>
              <w:ind w:firstLine="482"/>
              <w:rPr>
                <w:rFonts w:hint="default" w:ascii="Times New Roman" w:hAnsi="Times New Roman" w:eastAsia="宋体" w:cs="Times New Roman"/>
                <w:color w:val="auto"/>
              </w:rPr>
            </w:pPr>
          </w:p>
          <w:p w14:paraId="41825CA9">
            <w:pPr>
              <w:pStyle w:val="178"/>
              <w:ind w:firstLine="482"/>
              <w:rPr>
                <w:rFonts w:hint="default" w:ascii="Times New Roman" w:hAnsi="Times New Roman" w:eastAsia="宋体" w:cs="Times New Roman"/>
                <w:color w:val="auto"/>
              </w:rPr>
            </w:pPr>
          </w:p>
          <w:p w14:paraId="2DA673A2">
            <w:pPr>
              <w:pStyle w:val="178"/>
              <w:ind w:firstLine="482"/>
              <w:rPr>
                <w:rFonts w:hint="default" w:ascii="Times New Roman" w:hAnsi="Times New Roman" w:eastAsia="宋体" w:cs="Times New Roman"/>
                <w:color w:val="auto"/>
              </w:rPr>
            </w:pPr>
          </w:p>
          <w:p w14:paraId="35D07DC3">
            <w:pPr>
              <w:pStyle w:val="178"/>
              <w:ind w:firstLine="482"/>
              <w:rPr>
                <w:rFonts w:hint="default" w:ascii="Times New Roman" w:hAnsi="Times New Roman" w:eastAsia="宋体" w:cs="Times New Roman"/>
                <w:color w:val="auto"/>
              </w:rPr>
            </w:pPr>
          </w:p>
          <w:p w14:paraId="19C4F1E2">
            <w:pPr>
              <w:pStyle w:val="178"/>
              <w:ind w:firstLine="482"/>
              <w:rPr>
                <w:rFonts w:hint="default" w:ascii="Times New Roman" w:hAnsi="Times New Roman" w:eastAsia="宋体" w:cs="Times New Roman"/>
                <w:color w:val="auto"/>
              </w:rPr>
            </w:pPr>
            <w:r>
              <w:rPr>
                <w:rFonts w:hint="default" w:ascii="Times New Roman" w:hAnsi="Times New Roman" w:eastAsia="宋体" w:cs="Times New Roman"/>
                <w:color w:val="auto"/>
              </w:rPr>
              <w:t>2.水稳生产工艺流程</w:t>
            </w:r>
          </w:p>
          <w:p w14:paraId="338022C6">
            <w:pPr>
              <w:pStyle w:val="178"/>
              <w:ind w:firstLine="0" w:firstLineChars="0"/>
              <w:jc w:val="center"/>
              <w:rPr>
                <w:rFonts w:hint="default" w:ascii="Times New Roman" w:hAnsi="Times New Roman" w:eastAsia="宋体" w:cs="Times New Roman"/>
                <w:color w:val="auto"/>
                <w:lang w:eastAsia="zh-CN"/>
              </w:rPr>
            </w:pPr>
            <w:r>
              <w:rPr>
                <w:rFonts w:hint="default" w:ascii="Times New Roman" w:hAnsi="Times New Roman" w:eastAsia="宋体" w:cs="Times New Roman"/>
                <w:color w:val="auto"/>
                <w:sz w:val="24"/>
                <w:szCs w:val="32"/>
              </w:rPr>
              <w:object>
                <v:shape id="_x0000_i1027" o:spt="75" type="#_x0000_t75" style="height:338.25pt;width:309.75pt;" o:ole="t" filled="f" o:preferrelative="t" stroked="f" coordsize="21600,21600">
                  <v:path/>
                  <v:fill on="f" focussize="0,0"/>
                  <v:stroke on="f"/>
                  <v:imagedata r:id="rId22" o:title=""/>
                  <o:lock v:ext="edit" aspectratio="f"/>
                  <w10:wrap type="none"/>
                  <w10:anchorlock/>
                </v:shape>
                <o:OLEObject Type="Embed" ProgID="Visio.Drawing.11" ShapeID="_x0000_i1027" DrawAspect="Content" ObjectID="_1468075727" r:id="rId21">
                  <o:LockedField>false</o:LockedField>
                </o:OLEObject>
              </w:object>
            </w:r>
          </w:p>
          <w:p w14:paraId="55C2DE32">
            <w:pPr>
              <w:pStyle w:val="178"/>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rPr>
              <w:t>图2-</w:t>
            </w:r>
            <w:r>
              <w:rPr>
                <w:rFonts w:hint="default" w:ascii="Times New Roman" w:hAnsi="Times New Roman" w:eastAsia="宋体" w:cs="Times New Roman"/>
                <w:color w:val="auto"/>
                <w:lang w:val="en-US" w:eastAsia="zh-CN"/>
              </w:rPr>
              <w:t>3</w:t>
            </w:r>
            <w:r>
              <w:rPr>
                <w:rFonts w:hint="default" w:ascii="Times New Roman" w:hAnsi="Times New Roman" w:eastAsia="宋体" w:cs="Times New Roman"/>
                <w:color w:val="auto"/>
              </w:rPr>
              <w:t xml:space="preserve">  水稳生产工艺流程图</w:t>
            </w:r>
          </w:p>
          <w:p w14:paraId="2FD2FCF5">
            <w:pPr>
              <w:pStyle w:val="178"/>
              <w:ind w:firstLine="48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工艺流程描述：</w:t>
            </w:r>
          </w:p>
          <w:p w14:paraId="1C1BB237">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lang w:val="en-US" w:eastAsia="zh-CN"/>
              </w:rPr>
              <w:t>1</w:t>
            </w:r>
            <w:r>
              <w:rPr>
                <w:rFonts w:hint="default" w:ascii="Times New Roman" w:hAnsi="Times New Roman" w:eastAsia="宋体" w:cs="Times New Roman"/>
                <w:color w:val="auto"/>
                <w:sz w:val="24"/>
                <w:lang w:eastAsia="zh-CN"/>
              </w:rPr>
              <w:t>）水泥入库：</w:t>
            </w:r>
            <w:r>
              <w:rPr>
                <w:rFonts w:hint="default" w:ascii="Times New Roman" w:hAnsi="Times New Roman" w:eastAsia="宋体" w:cs="Times New Roman"/>
                <w:color w:val="auto"/>
                <w:sz w:val="24"/>
              </w:rPr>
              <w:t>本项目外购的水泥由专用罐车运送到</w:t>
            </w:r>
            <w:r>
              <w:rPr>
                <w:rFonts w:hint="default" w:ascii="Times New Roman" w:hAnsi="Times New Roman" w:eastAsia="宋体" w:cs="Times New Roman"/>
                <w:color w:val="auto"/>
                <w:sz w:val="24"/>
                <w:lang w:eastAsia="zh-CN"/>
              </w:rPr>
              <w:t>筒仓区</w:t>
            </w:r>
            <w:r>
              <w:rPr>
                <w:rFonts w:hint="default" w:ascii="Times New Roman" w:hAnsi="Times New Roman" w:eastAsia="宋体" w:cs="Times New Roman"/>
                <w:color w:val="auto"/>
                <w:sz w:val="24"/>
              </w:rPr>
              <w:t>后，采用密闭管道将</w:t>
            </w:r>
            <w:r>
              <w:rPr>
                <w:rFonts w:hint="default" w:ascii="Times New Roman" w:hAnsi="Times New Roman" w:eastAsia="宋体" w:cs="Times New Roman"/>
                <w:color w:val="auto"/>
                <w:sz w:val="24"/>
                <w:lang w:eastAsia="zh-CN"/>
              </w:rPr>
              <w:t>水泥</w:t>
            </w:r>
            <w:r>
              <w:rPr>
                <w:rFonts w:hint="default" w:ascii="Times New Roman" w:hAnsi="Times New Roman" w:eastAsia="宋体" w:cs="Times New Roman"/>
                <w:color w:val="auto"/>
                <w:sz w:val="24"/>
              </w:rPr>
              <w:t>泵入筒仓内，项目水稳生产车间建设一座水泥筒仓，会有筒仓呼吸粉尘</w:t>
            </w:r>
            <w:r>
              <w:rPr>
                <w:rFonts w:hint="default" w:ascii="Times New Roman" w:hAnsi="Times New Roman" w:eastAsia="宋体" w:cs="Times New Roman"/>
                <w:color w:val="auto"/>
                <w:sz w:val="24"/>
                <w:lang w:val="en-US" w:eastAsia="zh-CN"/>
              </w:rPr>
              <w:t>G10</w:t>
            </w:r>
            <w:r>
              <w:rPr>
                <w:rFonts w:hint="default" w:ascii="Times New Roman" w:hAnsi="Times New Roman" w:eastAsia="宋体" w:cs="Times New Roman"/>
                <w:color w:val="auto"/>
                <w:sz w:val="24"/>
              </w:rPr>
              <w:t>产生，筒仓呼吸粉尘通过仓顶除尘器处理后无组织排放。</w:t>
            </w:r>
          </w:p>
          <w:p w14:paraId="0B4F5B3B">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lang w:val="en-US" w:eastAsia="zh-CN"/>
              </w:rPr>
              <w:t>2</w:t>
            </w:r>
            <w:r>
              <w:rPr>
                <w:rFonts w:hint="default" w:ascii="Times New Roman" w:hAnsi="Times New Roman" w:eastAsia="宋体" w:cs="Times New Roman"/>
                <w:color w:val="auto"/>
                <w:sz w:val="24"/>
                <w:lang w:eastAsia="zh-CN"/>
              </w:rPr>
              <w:t>）计量投料：根据产品要求，按照不同产品的配比要求，不同规格的骨料经计量后</w:t>
            </w:r>
            <w:r>
              <w:rPr>
                <w:rFonts w:hint="default" w:ascii="Times New Roman" w:hAnsi="Times New Roman" w:eastAsia="宋体" w:cs="Times New Roman"/>
                <w:color w:val="auto"/>
                <w:sz w:val="24"/>
              </w:rPr>
              <w:t>由</w:t>
            </w:r>
            <w:r>
              <w:rPr>
                <w:rFonts w:hint="default" w:ascii="Times New Roman" w:hAnsi="Times New Roman" w:eastAsia="宋体" w:cs="Times New Roman"/>
                <w:color w:val="auto"/>
                <w:sz w:val="24"/>
                <w:lang w:eastAsia="zh-CN"/>
              </w:rPr>
              <w:t>铲车喂进投料口，再通过密闭式</w:t>
            </w:r>
            <w:r>
              <w:rPr>
                <w:rFonts w:hint="default" w:ascii="Times New Roman" w:hAnsi="Times New Roman" w:eastAsia="宋体" w:cs="Times New Roman"/>
                <w:color w:val="auto"/>
                <w:sz w:val="24"/>
              </w:rPr>
              <w:t>皮带</w:t>
            </w:r>
            <w:r>
              <w:rPr>
                <w:rFonts w:hint="default" w:ascii="Times New Roman" w:hAnsi="Times New Roman" w:eastAsia="宋体" w:cs="Times New Roman"/>
                <w:color w:val="auto"/>
                <w:sz w:val="24"/>
                <w:lang w:eastAsia="zh-CN"/>
              </w:rPr>
              <w:t>输送</w:t>
            </w:r>
            <w:r>
              <w:rPr>
                <w:rFonts w:hint="default" w:ascii="Times New Roman" w:hAnsi="Times New Roman" w:eastAsia="宋体" w:cs="Times New Roman"/>
                <w:color w:val="auto"/>
                <w:sz w:val="24"/>
              </w:rPr>
              <w:t>机把</w:t>
            </w:r>
            <w:r>
              <w:rPr>
                <w:rFonts w:hint="default" w:ascii="Times New Roman" w:hAnsi="Times New Roman" w:eastAsia="宋体" w:cs="Times New Roman"/>
                <w:color w:val="auto"/>
                <w:sz w:val="24"/>
                <w:lang w:eastAsia="zh-CN"/>
              </w:rPr>
              <w:t>原</w:t>
            </w:r>
            <w:r>
              <w:rPr>
                <w:rFonts w:hint="default" w:ascii="Times New Roman" w:hAnsi="Times New Roman" w:eastAsia="宋体" w:cs="Times New Roman"/>
                <w:color w:val="auto"/>
                <w:sz w:val="24"/>
              </w:rPr>
              <w:t>料送入搅拌装置进料口</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所需</w:t>
            </w:r>
            <w:r>
              <w:rPr>
                <w:rFonts w:hint="default" w:ascii="Times New Roman" w:hAnsi="Times New Roman" w:eastAsia="宋体" w:cs="Times New Roman"/>
                <w:color w:val="auto"/>
                <w:sz w:val="24"/>
                <w:lang w:eastAsia="zh-CN"/>
              </w:rPr>
              <w:t>水泥</w:t>
            </w:r>
            <w:r>
              <w:rPr>
                <w:rFonts w:hint="default" w:ascii="Times New Roman" w:hAnsi="Times New Roman" w:eastAsia="宋体" w:cs="Times New Roman"/>
                <w:color w:val="auto"/>
                <w:sz w:val="24"/>
              </w:rPr>
              <w:t>由</w:t>
            </w:r>
            <w:r>
              <w:rPr>
                <w:rFonts w:hint="default" w:ascii="Times New Roman" w:hAnsi="Times New Roman" w:eastAsia="宋体" w:cs="Times New Roman"/>
                <w:color w:val="auto"/>
                <w:sz w:val="24"/>
                <w:lang w:eastAsia="zh-CN"/>
              </w:rPr>
              <w:t>水泥筒</w:t>
            </w:r>
            <w:r>
              <w:rPr>
                <w:rFonts w:hint="default" w:ascii="Times New Roman" w:hAnsi="Times New Roman" w:eastAsia="宋体" w:cs="Times New Roman"/>
                <w:color w:val="auto"/>
                <w:sz w:val="24"/>
              </w:rPr>
              <w:t>仓经</w:t>
            </w:r>
            <w:r>
              <w:rPr>
                <w:rFonts w:hint="default" w:ascii="Times New Roman" w:hAnsi="Times New Roman" w:eastAsia="宋体" w:cs="Times New Roman"/>
                <w:color w:val="auto"/>
                <w:sz w:val="24"/>
                <w:lang w:eastAsia="zh-CN"/>
              </w:rPr>
              <w:t>计量后</w:t>
            </w:r>
            <w:r>
              <w:rPr>
                <w:rFonts w:hint="default" w:ascii="Times New Roman" w:hAnsi="Times New Roman" w:eastAsia="宋体" w:cs="Times New Roman"/>
                <w:color w:val="auto"/>
                <w:sz w:val="24"/>
              </w:rPr>
              <w:t>输出到搅拌装置进料口</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所需水经水泵输送到加水器</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lang w:val="en-US" w:eastAsia="zh-CN"/>
              </w:rPr>
              <w:t>这一过程产生的污染物为</w:t>
            </w:r>
            <w:r>
              <w:rPr>
                <w:rFonts w:hint="default" w:ascii="Times New Roman" w:hAnsi="Times New Roman" w:eastAsia="宋体" w:cs="Times New Roman"/>
                <w:color w:val="auto"/>
                <w:sz w:val="24"/>
                <w:lang w:eastAsia="zh-CN"/>
              </w:rPr>
              <w:t>投料</w:t>
            </w:r>
            <w:r>
              <w:rPr>
                <w:rFonts w:hint="default" w:ascii="Times New Roman" w:hAnsi="Times New Roman" w:eastAsia="宋体" w:cs="Times New Roman"/>
                <w:color w:val="auto"/>
                <w:sz w:val="24"/>
                <w:lang w:val="en-US" w:eastAsia="zh-CN"/>
              </w:rPr>
              <w:t>粉尘G8。</w:t>
            </w:r>
          </w:p>
          <w:p w14:paraId="6E3A665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lang w:eastAsia="zh-CN"/>
              </w:rPr>
              <w:t>）搅拌：</w:t>
            </w:r>
            <w:r>
              <w:rPr>
                <w:rFonts w:hint="default" w:ascii="Times New Roman" w:hAnsi="Times New Roman" w:eastAsia="宋体" w:cs="Times New Roman"/>
                <w:color w:val="auto"/>
                <w:sz w:val="24"/>
              </w:rPr>
              <w:t>进入搅拌机的</w:t>
            </w:r>
            <w:r>
              <w:rPr>
                <w:rFonts w:hint="default" w:ascii="Times New Roman" w:hAnsi="Times New Roman" w:eastAsia="宋体" w:cs="Times New Roman"/>
                <w:color w:val="auto"/>
                <w:sz w:val="24"/>
                <w:lang w:eastAsia="zh-CN"/>
              </w:rPr>
              <w:t>物料，</w:t>
            </w:r>
            <w:r>
              <w:rPr>
                <w:rFonts w:hint="default" w:ascii="Times New Roman" w:hAnsi="Times New Roman" w:eastAsia="宋体" w:cs="Times New Roman"/>
                <w:color w:val="auto"/>
                <w:sz w:val="24"/>
              </w:rPr>
              <w:t>在搅拌机内相互</w:t>
            </w:r>
            <w:r>
              <w:rPr>
                <w:rFonts w:hint="default" w:ascii="Times New Roman" w:hAnsi="Times New Roman" w:eastAsia="宋体" w:cs="Times New Roman"/>
                <w:color w:val="auto"/>
                <w:sz w:val="24"/>
                <w:lang w:eastAsia="zh-CN"/>
              </w:rPr>
              <w:t>翻转</w:t>
            </w:r>
            <w:r>
              <w:rPr>
                <w:rFonts w:hint="default" w:ascii="Times New Roman" w:hAnsi="Times New Roman" w:eastAsia="宋体" w:cs="Times New Roman"/>
                <w:color w:val="auto"/>
                <w:sz w:val="24"/>
              </w:rPr>
              <w:t>的两根搅拌轴上双道</w:t>
            </w:r>
            <w:r>
              <w:rPr>
                <w:rFonts w:hint="default" w:ascii="Times New Roman" w:hAnsi="Times New Roman" w:eastAsia="宋体" w:cs="Times New Roman"/>
                <w:color w:val="auto"/>
                <w:sz w:val="24"/>
                <w:lang w:eastAsia="zh-CN"/>
              </w:rPr>
              <w:t>螺旋桨</w:t>
            </w:r>
            <w:r>
              <w:rPr>
                <w:rFonts w:hint="default" w:ascii="Times New Roman" w:hAnsi="Times New Roman" w:eastAsia="宋体" w:cs="Times New Roman"/>
                <w:color w:val="auto"/>
                <w:sz w:val="24"/>
              </w:rPr>
              <w:t>片的搅拌下</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受到装片周向、径向、轴向力的作用</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使物料一边相互产生挤压、</w:t>
            </w:r>
            <w:r>
              <w:rPr>
                <w:rFonts w:hint="default" w:ascii="Times New Roman" w:hAnsi="Times New Roman" w:eastAsia="宋体" w:cs="Times New Roman"/>
                <w:color w:val="auto"/>
                <w:sz w:val="24"/>
                <w:lang w:eastAsia="zh-CN"/>
              </w:rPr>
              <w:t>摩擦</w:t>
            </w:r>
            <w:r>
              <w:rPr>
                <w:rFonts w:hint="default" w:ascii="Times New Roman" w:hAnsi="Times New Roman" w:eastAsia="宋体" w:cs="Times New Roman"/>
                <w:color w:val="auto"/>
                <w:sz w:val="24"/>
              </w:rPr>
              <w:t>、剪切、对流从而进行剧烈的拌合</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一边向出料口推移</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当物料到达机内的出料口时</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各种物料已相互得到均匀地</w:t>
            </w:r>
            <w:r>
              <w:rPr>
                <w:rFonts w:hint="default" w:ascii="Times New Roman" w:hAnsi="Times New Roman" w:eastAsia="宋体" w:cs="Times New Roman"/>
                <w:color w:val="auto"/>
                <w:sz w:val="24"/>
                <w:lang w:eastAsia="zh-CN"/>
              </w:rPr>
              <w:t>拌和，</w:t>
            </w:r>
            <w:r>
              <w:rPr>
                <w:rFonts w:hint="default" w:ascii="Times New Roman" w:hAnsi="Times New Roman" w:eastAsia="宋体" w:cs="Times New Roman"/>
                <w:color w:val="auto"/>
                <w:sz w:val="24"/>
              </w:rPr>
              <w:t>并具有压实所需要的含水量。</w:t>
            </w:r>
            <w:r>
              <w:rPr>
                <w:rFonts w:hint="default" w:ascii="Times New Roman" w:hAnsi="Times New Roman" w:eastAsia="宋体" w:cs="Times New Roman"/>
                <w:color w:val="auto"/>
                <w:sz w:val="24"/>
                <w:lang w:eastAsia="zh-CN"/>
              </w:rPr>
              <w:t>出料口通过软管喷淋减小粉尘无组织逸散。这一过程会产生搅拌粉尘</w:t>
            </w:r>
            <w:r>
              <w:rPr>
                <w:rFonts w:hint="default" w:ascii="Times New Roman" w:hAnsi="Times New Roman" w:eastAsia="宋体" w:cs="Times New Roman"/>
                <w:color w:val="auto"/>
                <w:sz w:val="24"/>
                <w:lang w:val="en-US" w:eastAsia="zh-CN"/>
              </w:rPr>
              <w:t>G9</w:t>
            </w:r>
            <w:r>
              <w:rPr>
                <w:rFonts w:hint="default" w:ascii="Times New Roman" w:hAnsi="Times New Roman" w:eastAsia="宋体" w:cs="Times New Roman"/>
                <w:color w:val="auto"/>
                <w:sz w:val="24"/>
                <w:lang w:eastAsia="zh-CN"/>
              </w:rPr>
              <w:t>。</w:t>
            </w:r>
          </w:p>
          <w:p w14:paraId="52424437">
            <w:pPr>
              <w:spacing w:line="360" w:lineRule="auto"/>
              <w:ind w:firstLine="480" w:firstLineChars="200"/>
              <w:jc w:val="both"/>
              <w:rPr>
                <w:rFonts w:hint="default" w:ascii="Times New Roman" w:hAnsi="Times New Roman" w:eastAsia="宋体" w:cs="Times New Roman"/>
                <w:color w:val="auto"/>
                <w:sz w:val="24"/>
                <w:szCs w:val="32"/>
                <w:lang w:val="en-US" w:eastAsia="zh-CN"/>
              </w:rPr>
            </w:pPr>
            <w:r>
              <w:rPr>
                <w:rFonts w:hint="default" w:ascii="Times New Roman" w:hAnsi="Times New Roman" w:eastAsia="宋体" w:cs="Times New Roman"/>
                <w:color w:val="auto"/>
                <w:sz w:val="24"/>
                <w:szCs w:val="32"/>
                <w:lang w:val="en-US" w:eastAsia="zh-CN"/>
              </w:rPr>
              <w:t>4）成品外售；搅拌合格后，由搅拌机开门装置的气缸将门打开，由叶片将已搅拌好的成品水稳料推至罐车外售。</w:t>
            </w:r>
          </w:p>
          <w:p w14:paraId="7145DD90">
            <w:pPr>
              <w:pStyle w:val="178"/>
              <w:numPr>
                <w:ilvl w:val="0"/>
                <w:numId w:val="5"/>
              </w:numPr>
              <w:ind w:firstLine="482"/>
              <w:rPr>
                <w:rFonts w:hint="default" w:ascii="Times New Roman" w:hAnsi="Times New Roman" w:eastAsia="宋体" w:cs="Times New Roman"/>
                <w:color w:val="auto"/>
              </w:rPr>
            </w:pPr>
            <w:r>
              <w:rPr>
                <w:rFonts w:hint="default" w:ascii="Times New Roman" w:hAnsi="Times New Roman" w:eastAsia="宋体" w:cs="Times New Roman"/>
                <w:b/>
                <w:bCs/>
                <w:color w:val="auto"/>
                <w:kern w:val="24"/>
                <w:sz w:val="24"/>
                <w:szCs w:val="32"/>
                <w:lang w:eastAsia="zh-CN"/>
              </w:rPr>
              <w:t>RDF燃料</w:t>
            </w:r>
            <w:r>
              <w:rPr>
                <w:rFonts w:hint="default" w:ascii="Times New Roman" w:hAnsi="Times New Roman" w:eastAsia="宋体" w:cs="Times New Roman"/>
                <w:b/>
                <w:bCs/>
                <w:color w:val="auto"/>
                <w:kern w:val="24"/>
                <w:sz w:val="24"/>
                <w:szCs w:val="32"/>
              </w:rPr>
              <w:t>生产工艺流程</w:t>
            </w:r>
          </w:p>
          <w:p w14:paraId="2051C9E3">
            <w:pPr>
              <w:pStyle w:val="178"/>
              <w:ind w:firstLine="0" w:firstLineChars="0"/>
              <w:jc w:val="center"/>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val="0"/>
                <w:color w:val="auto"/>
                <w:kern w:val="2"/>
                <w:sz w:val="24"/>
                <w:szCs w:val="24"/>
                <w:lang w:val="en-US" w:eastAsia="zh-CN" w:bidi="ar-SA"/>
              </w:rPr>
              <w:object>
                <v:shape id="_x0000_i1028" o:spt="75" type="#_x0000_t75" style="height:244.4pt;width:267.4pt;" o:ole="t" filled="f" o:preferrelative="t" stroked="f" coordsize="21600,21600">
                  <v:path/>
                  <v:fill on="f" focussize="0,0"/>
                  <v:stroke on="f"/>
                  <v:imagedata r:id="rId24" o:title=""/>
                  <o:lock v:ext="edit" aspectratio="f"/>
                  <w10:wrap type="none"/>
                  <w10:anchorlock/>
                </v:shape>
                <o:OLEObject Type="Embed" ProgID="Visio.Drawing.11" ShapeID="_x0000_i1028" DrawAspect="Content" ObjectID="_1468075728" r:id="rId23">
                  <o:LockedField>false</o:LockedField>
                </o:OLEObject>
              </w:object>
            </w:r>
          </w:p>
          <w:p w14:paraId="7CBAC494">
            <w:pPr>
              <w:pStyle w:val="178"/>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rPr>
              <w:t>图2-</w:t>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rPr>
              <w:t xml:space="preserve">  </w:t>
            </w:r>
            <w:r>
              <w:rPr>
                <w:rFonts w:hint="default" w:ascii="Times New Roman" w:hAnsi="Times New Roman" w:eastAsia="宋体" w:cs="Times New Roman"/>
                <w:color w:val="auto"/>
                <w:lang w:val="en-US" w:eastAsia="zh-CN"/>
              </w:rPr>
              <w:t>RDF</w:t>
            </w:r>
            <w:r>
              <w:rPr>
                <w:rFonts w:hint="default" w:ascii="Times New Roman" w:hAnsi="Times New Roman" w:eastAsia="宋体" w:cs="Times New Roman"/>
                <w:color w:val="auto"/>
                <w:lang w:eastAsia="zh-CN"/>
              </w:rPr>
              <w:t>燃料</w:t>
            </w:r>
            <w:r>
              <w:rPr>
                <w:rFonts w:hint="default" w:ascii="Times New Roman" w:hAnsi="Times New Roman" w:eastAsia="宋体" w:cs="Times New Roman"/>
                <w:color w:val="auto"/>
              </w:rPr>
              <w:t>生产工艺流程及产污环节图</w:t>
            </w:r>
          </w:p>
          <w:p w14:paraId="24146E09">
            <w:pPr>
              <w:pStyle w:val="178"/>
              <w:ind w:firstLine="48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工艺流程描述：</w:t>
            </w:r>
          </w:p>
          <w:p w14:paraId="12E1F1E7">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b w:val="0"/>
                <w:bCs/>
                <w:color w:val="auto"/>
                <w:sz w:val="24"/>
                <w:highlight w:val="none"/>
                <w:lang w:eastAsia="zh-CN"/>
              </w:rPr>
            </w:pPr>
            <w:r>
              <w:rPr>
                <w:rFonts w:hint="default" w:ascii="Times New Roman" w:hAnsi="Times New Roman" w:eastAsia="宋体" w:cs="Times New Roman"/>
                <w:b w:val="0"/>
                <w:bCs/>
                <w:color w:val="auto"/>
                <w:kern w:val="2"/>
                <w:sz w:val="24"/>
                <w:szCs w:val="24"/>
                <w:lang w:val="en-US" w:eastAsia="zh-CN" w:bidi="ar-SA"/>
              </w:rPr>
              <w:t>1）</w:t>
            </w:r>
            <w:r>
              <w:rPr>
                <w:rFonts w:hint="default" w:ascii="Times New Roman" w:hAnsi="Times New Roman" w:eastAsia="宋体" w:cs="Times New Roman"/>
                <w:b w:val="0"/>
                <w:bCs/>
                <w:color w:val="auto"/>
                <w:sz w:val="24"/>
                <w:highlight w:val="none"/>
                <w:lang w:eastAsia="zh-CN"/>
              </w:rPr>
              <w:t>污泥贮存：项目污泥为吨袋包装，用叉车运输至污泥贮存间，设置密闭污泥贮存间用于存放污泥，入场的污泥含水率不高于</w:t>
            </w:r>
            <w:r>
              <w:rPr>
                <w:rFonts w:hint="default" w:ascii="Times New Roman" w:hAnsi="Times New Roman" w:eastAsia="宋体" w:cs="Times New Roman"/>
                <w:b w:val="0"/>
                <w:bCs/>
                <w:color w:val="auto"/>
                <w:sz w:val="24"/>
                <w:highlight w:val="none"/>
                <w:lang w:val="en-US" w:eastAsia="zh-CN"/>
              </w:rPr>
              <w:t>80%</w:t>
            </w:r>
            <w:r>
              <w:rPr>
                <w:rFonts w:hint="default" w:ascii="Times New Roman" w:hAnsi="Times New Roman" w:eastAsia="宋体" w:cs="Times New Roman"/>
                <w:b w:val="0"/>
                <w:bCs/>
                <w:color w:val="auto"/>
                <w:sz w:val="24"/>
                <w:highlight w:val="none"/>
                <w:lang w:eastAsia="zh-CN"/>
              </w:rPr>
              <w:t>，污泥贮存间为密闭状态，污泥贮存间内四周设置有导流槽以及集液池，主要用于收集污泥中可能流出的渗滤液。污泥贮存过程会产生恶臭</w:t>
            </w:r>
            <w:r>
              <w:rPr>
                <w:rFonts w:hint="default" w:ascii="Times New Roman" w:hAnsi="Times New Roman" w:eastAsia="宋体" w:cs="Times New Roman"/>
                <w:b w:val="0"/>
                <w:bCs/>
                <w:color w:val="auto"/>
                <w:sz w:val="24"/>
                <w:highlight w:val="none"/>
                <w:lang w:val="en-US" w:eastAsia="zh-CN"/>
              </w:rPr>
              <w:t>G13</w:t>
            </w:r>
            <w:r>
              <w:rPr>
                <w:rFonts w:hint="default" w:ascii="Times New Roman" w:hAnsi="Times New Roman" w:eastAsia="宋体" w:cs="Times New Roman"/>
                <w:b w:val="0"/>
                <w:bCs/>
                <w:color w:val="auto"/>
                <w:sz w:val="24"/>
                <w:highlight w:val="none"/>
                <w:lang w:eastAsia="zh-CN"/>
              </w:rPr>
              <w:t>，主要为氨气、硫化氢、臭气浓度。</w:t>
            </w:r>
          </w:p>
          <w:p w14:paraId="2008E53E">
            <w:pPr>
              <w:numPr>
                <w:ilvl w:val="0"/>
                <w:numId w:val="0"/>
              </w:numPr>
              <w:autoSpaceDE w:val="0"/>
              <w:autoSpaceDN w:val="0"/>
              <w:adjustRightInd w:val="0"/>
              <w:spacing w:line="360" w:lineRule="auto"/>
              <w:ind w:firstLine="480" w:firstLineChars="200"/>
              <w:rPr>
                <w:rFonts w:hint="default" w:ascii="Times New Roman" w:hAnsi="Times New Roman" w:eastAsia="宋体" w:cs="Times New Roman"/>
                <w:b w:val="0"/>
                <w:bCs/>
                <w:color w:val="auto"/>
                <w:sz w:val="24"/>
                <w:highlight w:val="none"/>
                <w:lang w:eastAsia="zh-CN"/>
              </w:rPr>
            </w:pPr>
            <w:r>
              <w:rPr>
                <w:rFonts w:hint="default" w:ascii="Times New Roman" w:hAnsi="Times New Roman" w:eastAsia="宋体" w:cs="Times New Roman"/>
                <w:b w:val="0"/>
                <w:bCs/>
                <w:color w:val="auto"/>
                <w:sz w:val="24"/>
                <w:highlight w:val="none"/>
                <w:lang w:val="en-US" w:eastAsia="zh-CN"/>
              </w:rPr>
              <w:t>2</w:t>
            </w:r>
            <w:r>
              <w:rPr>
                <w:rFonts w:hint="default" w:ascii="Times New Roman" w:hAnsi="Times New Roman" w:eastAsia="宋体" w:cs="Times New Roman"/>
                <w:b w:val="0"/>
                <w:bCs/>
                <w:color w:val="auto"/>
                <w:sz w:val="24"/>
                <w:highlight w:val="none"/>
                <w:lang w:eastAsia="zh-CN"/>
              </w:rPr>
              <w:t>）</w:t>
            </w:r>
            <w:r>
              <w:rPr>
                <w:rFonts w:hint="default" w:ascii="Times New Roman" w:hAnsi="Times New Roman" w:eastAsia="宋体" w:cs="Times New Roman"/>
                <w:color w:val="auto"/>
                <w:sz w:val="24"/>
                <w:lang w:eastAsia="zh-CN"/>
              </w:rPr>
              <w:t>投料</w:t>
            </w:r>
            <w:r>
              <w:rPr>
                <w:rFonts w:hint="default" w:ascii="Times New Roman" w:hAnsi="Times New Roman" w:eastAsia="宋体" w:cs="Times New Roman"/>
                <w:b w:val="0"/>
                <w:bCs/>
                <w:color w:val="auto"/>
                <w:sz w:val="24"/>
                <w:highlight w:val="none"/>
                <w:lang w:eastAsia="zh-CN"/>
              </w:rPr>
              <w:t>：骨料生产线破碎风选出的</w:t>
            </w:r>
            <w:r>
              <w:rPr>
                <w:rFonts w:hint="default" w:ascii="Times New Roman" w:hAnsi="Times New Roman" w:eastAsia="宋体" w:cs="Times New Roman"/>
                <w:b w:val="0"/>
                <w:bCs/>
                <w:color w:val="auto"/>
                <w:kern w:val="2"/>
                <w:sz w:val="24"/>
                <w:szCs w:val="24"/>
                <w:lang w:val="en-US" w:eastAsia="zh-CN" w:bidi="ar-SA"/>
              </w:rPr>
              <w:t>废木材、废纸、废布料等轻物质</w:t>
            </w:r>
            <w:r>
              <w:rPr>
                <w:rFonts w:hint="default" w:ascii="Times New Roman" w:hAnsi="Times New Roman" w:eastAsia="宋体" w:cs="Times New Roman"/>
                <w:b w:val="0"/>
                <w:bCs/>
                <w:color w:val="auto"/>
                <w:sz w:val="24"/>
                <w:highlight w:val="none"/>
                <w:lang w:val="en-US" w:eastAsia="zh-CN"/>
              </w:rPr>
              <w:t>通过</w:t>
            </w:r>
            <w:r>
              <w:rPr>
                <w:rFonts w:hint="default" w:ascii="Times New Roman" w:hAnsi="Times New Roman" w:eastAsia="宋体" w:cs="Times New Roman"/>
                <w:b w:val="0"/>
                <w:bCs/>
                <w:color w:val="auto"/>
                <w:sz w:val="24"/>
                <w:highlight w:val="none"/>
                <w:lang w:eastAsia="zh-CN"/>
              </w:rPr>
              <w:t>密闭输送带向撕碎机</w:t>
            </w:r>
            <w:r>
              <w:rPr>
                <w:rFonts w:hint="default" w:ascii="Times New Roman" w:hAnsi="Times New Roman" w:eastAsia="宋体" w:cs="Times New Roman"/>
                <w:b w:val="0"/>
                <w:bCs/>
                <w:color w:val="auto"/>
                <w:sz w:val="24"/>
                <w:highlight w:val="none"/>
                <w:lang w:val="en-US" w:eastAsia="zh-CN"/>
              </w:rPr>
              <w:t>中进行</w:t>
            </w:r>
            <w:r>
              <w:rPr>
                <w:rFonts w:hint="default" w:ascii="Times New Roman" w:hAnsi="Times New Roman" w:eastAsia="宋体" w:cs="Times New Roman"/>
                <w:color w:val="auto"/>
                <w:sz w:val="24"/>
                <w:lang w:eastAsia="zh-CN"/>
              </w:rPr>
              <w:t>投料</w:t>
            </w:r>
            <w:r>
              <w:rPr>
                <w:rFonts w:hint="default" w:ascii="Times New Roman" w:hAnsi="Times New Roman" w:eastAsia="宋体" w:cs="Times New Roman"/>
                <w:b w:val="0"/>
                <w:bCs/>
                <w:color w:val="auto"/>
                <w:sz w:val="24"/>
                <w:highlight w:val="none"/>
                <w:lang w:val="en-US" w:eastAsia="zh-CN"/>
              </w:rPr>
              <w:t>，</w:t>
            </w:r>
            <w:r>
              <w:rPr>
                <w:rFonts w:hint="default" w:ascii="Times New Roman" w:hAnsi="Times New Roman" w:eastAsia="宋体" w:cs="Times New Roman"/>
                <w:b w:val="0"/>
                <w:bCs/>
                <w:color w:val="auto"/>
                <w:sz w:val="24"/>
                <w:highlight w:val="none"/>
                <w:lang w:eastAsia="zh-CN"/>
              </w:rPr>
              <w:t>投料过程会产生粉尘。</w:t>
            </w:r>
          </w:p>
          <w:p w14:paraId="1087DB15">
            <w:pPr>
              <w:numPr>
                <w:ilvl w:val="0"/>
                <w:numId w:val="0"/>
              </w:numPr>
              <w:autoSpaceDE w:val="0"/>
              <w:autoSpaceDN w:val="0"/>
              <w:adjustRightInd w:val="0"/>
              <w:spacing w:line="360" w:lineRule="auto"/>
              <w:ind w:firstLine="480" w:firstLineChars="200"/>
              <w:rPr>
                <w:rFonts w:hint="default" w:ascii="Times New Roman" w:hAnsi="Times New Roman" w:eastAsia="宋体" w:cs="Times New Roman"/>
                <w:b w:val="0"/>
                <w:bCs/>
                <w:color w:val="auto"/>
                <w:sz w:val="24"/>
                <w:szCs w:val="40"/>
              </w:rPr>
            </w:pPr>
            <w:r>
              <w:rPr>
                <w:rFonts w:hint="default" w:ascii="Times New Roman" w:hAnsi="Times New Roman" w:eastAsia="宋体" w:cs="Times New Roman"/>
                <w:b w:val="0"/>
                <w:bCs/>
                <w:color w:val="auto"/>
                <w:sz w:val="24"/>
                <w:highlight w:val="none"/>
                <w:lang w:val="en-US" w:eastAsia="zh-CN"/>
              </w:rPr>
              <w:t>3</w:t>
            </w:r>
            <w:r>
              <w:rPr>
                <w:rFonts w:hint="default" w:ascii="Times New Roman" w:hAnsi="Times New Roman" w:eastAsia="宋体" w:cs="Times New Roman"/>
                <w:b w:val="0"/>
                <w:bCs/>
                <w:color w:val="auto"/>
                <w:sz w:val="24"/>
                <w:highlight w:val="none"/>
                <w:lang w:eastAsia="zh-CN"/>
              </w:rPr>
              <w:t>）撕碎：骨料生产线破碎风选出的</w:t>
            </w:r>
            <w:r>
              <w:rPr>
                <w:rFonts w:hint="default" w:ascii="Times New Roman" w:hAnsi="Times New Roman" w:eastAsia="宋体" w:cs="Times New Roman"/>
                <w:b w:val="0"/>
                <w:bCs/>
                <w:color w:val="auto"/>
                <w:kern w:val="2"/>
                <w:sz w:val="24"/>
                <w:szCs w:val="24"/>
                <w:lang w:val="en-US" w:eastAsia="zh-CN" w:bidi="ar-SA"/>
              </w:rPr>
              <w:t>废木材、废纸、废布料等轻物质</w:t>
            </w:r>
            <w:r>
              <w:rPr>
                <w:rFonts w:hint="default" w:ascii="Times New Roman" w:hAnsi="Times New Roman" w:eastAsia="宋体" w:cs="Times New Roman"/>
                <w:b w:val="0"/>
                <w:bCs/>
                <w:color w:val="auto"/>
                <w:sz w:val="24"/>
                <w:szCs w:val="40"/>
                <w:lang w:eastAsia="zh-CN"/>
              </w:rPr>
              <w:t>进入撕碎机进行进一步撕碎</w:t>
            </w:r>
            <w:r>
              <w:rPr>
                <w:rFonts w:hint="default" w:ascii="Times New Roman" w:hAnsi="Times New Roman" w:eastAsia="宋体" w:cs="Times New Roman"/>
                <w:b w:val="0"/>
                <w:bCs/>
                <w:color w:val="auto"/>
                <w:sz w:val="24"/>
                <w:szCs w:val="40"/>
              </w:rPr>
              <w:t>，以便进行下一步挤压成型处理。</w:t>
            </w:r>
            <w:r>
              <w:rPr>
                <w:rFonts w:hint="default" w:ascii="Times New Roman" w:hAnsi="Times New Roman" w:eastAsia="宋体" w:cs="Times New Roman"/>
                <w:b w:val="0"/>
                <w:bCs/>
                <w:color w:val="auto"/>
                <w:sz w:val="24"/>
                <w:szCs w:val="40"/>
                <w:lang w:eastAsia="zh-CN"/>
              </w:rPr>
              <w:t>撕碎</w:t>
            </w:r>
            <w:r>
              <w:rPr>
                <w:rFonts w:hint="default" w:ascii="Times New Roman" w:hAnsi="Times New Roman" w:eastAsia="宋体" w:cs="Times New Roman"/>
                <w:b w:val="0"/>
                <w:bCs/>
                <w:color w:val="auto"/>
                <w:sz w:val="24"/>
                <w:szCs w:val="40"/>
              </w:rPr>
              <w:t>过程在</w:t>
            </w:r>
            <w:r>
              <w:rPr>
                <w:rFonts w:hint="default" w:ascii="Times New Roman" w:hAnsi="Times New Roman" w:eastAsia="宋体" w:cs="Times New Roman"/>
                <w:b w:val="0"/>
                <w:bCs/>
                <w:color w:val="auto"/>
                <w:sz w:val="24"/>
                <w:szCs w:val="40"/>
                <w:lang w:eastAsia="zh-CN"/>
              </w:rPr>
              <w:t>撕碎</w:t>
            </w:r>
            <w:r>
              <w:rPr>
                <w:rFonts w:hint="default" w:ascii="Times New Roman" w:hAnsi="Times New Roman" w:eastAsia="宋体" w:cs="Times New Roman"/>
                <w:b w:val="0"/>
                <w:bCs/>
                <w:color w:val="auto"/>
                <w:sz w:val="24"/>
                <w:szCs w:val="40"/>
              </w:rPr>
              <w:t>机内进行，</w:t>
            </w:r>
            <w:r>
              <w:rPr>
                <w:rFonts w:hint="default" w:ascii="Times New Roman" w:hAnsi="Times New Roman" w:eastAsia="宋体" w:cs="Times New Roman"/>
                <w:b w:val="0"/>
                <w:bCs/>
                <w:color w:val="auto"/>
                <w:sz w:val="24"/>
                <w:szCs w:val="40"/>
                <w:lang w:eastAsia="zh-CN"/>
              </w:rPr>
              <w:t>撕碎</w:t>
            </w:r>
            <w:r>
              <w:rPr>
                <w:rFonts w:hint="default" w:ascii="Times New Roman" w:hAnsi="Times New Roman" w:eastAsia="宋体" w:cs="Times New Roman"/>
                <w:b w:val="0"/>
                <w:bCs/>
                <w:color w:val="auto"/>
                <w:sz w:val="24"/>
                <w:szCs w:val="40"/>
              </w:rPr>
              <w:t>过程产生的粉尘</w:t>
            </w:r>
            <w:r>
              <w:rPr>
                <w:rFonts w:hint="default" w:ascii="Times New Roman" w:hAnsi="Times New Roman" w:eastAsia="宋体" w:cs="Times New Roman"/>
                <w:b w:val="0"/>
                <w:bCs/>
                <w:color w:val="auto"/>
                <w:sz w:val="24"/>
                <w:szCs w:val="40"/>
                <w:lang w:eastAsia="zh-CN"/>
              </w:rPr>
              <w:t>会产生撕碎粉尘</w:t>
            </w:r>
            <w:r>
              <w:rPr>
                <w:rFonts w:hint="default" w:ascii="Times New Roman" w:hAnsi="Times New Roman" w:eastAsia="宋体" w:cs="Times New Roman"/>
                <w:b w:val="0"/>
                <w:bCs/>
                <w:color w:val="auto"/>
                <w:sz w:val="24"/>
                <w:szCs w:val="40"/>
                <w:lang w:val="en-US" w:eastAsia="zh-CN"/>
              </w:rPr>
              <w:t>G11</w:t>
            </w:r>
            <w:r>
              <w:rPr>
                <w:rFonts w:hint="default" w:ascii="Times New Roman" w:hAnsi="Times New Roman" w:eastAsia="宋体" w:cs="Times New Roman"/>
                <w:b w:val="0"/>
                <w:bCs/>
                <w:color w:val="auto"/>
                <w:sz w:val="24"/>
                <w:szCs w:val="40"/>
                <w:lang w:eastAsia="zh-CN"/>
              </w:rPr>
              <w:t>，机械噪声</w:t>
            </w:r>
            <w:r>
              <w:rPr>
                <w:rFonts w:hint="default" w:ascii="Times New Roman" w:hAnsi="Times New Roman" w:eastAsia="宋体" w:cs="Times New Roman"/>
                <w:b w:val="0"/>
                <w:bCs/>
                <w:color w:val="auto"/>
                <w:sz w:val="24"/>
                <w:szCs w:val="40"/>
              </w:rPr>
              <w:t>。</w:t>
            </w:r>
          </w:p>
          <w:p w14:paraId="6028B9E1">
            <w:pPr>
              <w:adjustRightInd w:val="0"/>
              <w:spacing w:line="360" w:lineRule="auto"/>
              <w:ind w:firstLine="480" w:firstLineChars="200"/>
              <w:rPr>
                <w:rFonts w:hint="default" w:ascii="Times New Roman" w:hAnsi="Times New Roman" w:eastAsia="宋体" w:cs="Times New Roman"/>
                <w:b w:val="0"/>
                <w:bCs/>
                <w:color w:val="auto"/>
                <w:sz w:val="24"/>
                <w:szCs w:val="40"/>
                <w:lang w:eastAsia="zh-CN"/>
              </w:rPr>
            </w:pPr>
            <w:r>
              <w:rPr>
                <w:rFonts w:hint="default" w:ascii="Times New Roman" w:hAnsi="Times New Roman" w:eastAsia="宋体" w:cs="Times New Roman"/>
                <w:b w:val="0"/>
                <w:bCs/>
                <w:color w:val="auto"/>
                <w:sz w:val="24"/>
                <w:szCs w:val="40"/>
                <w:lang w:val="en-US" w:eastAsia="zh-CN"/>
              </w:rPr>
              <w:t>4）混合搅拌：污泥贮存间的污泥通过铲车给料至污泥混合机内，破碎物料通过密闭输送带输送至污泥混合机内，污泥与破碎物料配比比例为1:9，物料进行均匀搅拌，搅拌后的混合物料通过输送带输送至制型机中。</w:t>
            </w:r>
            <w:r>
              <w:rPr>
                <w:rFonts w:hint="default" w:ascii="Times New Roman" w:hAnsi="Times New Roman" w:eastAsia="宋体" w:cs="Times New Roman"/>
                <w:b w:val="0"/>
                <w:bCs/>
                <w:color w:val="auto"/>
                <w:sz w:val="24"/>
                <w:szCs w:val="40"/>
                <w:lang w:eastAsia="zh-CN"/>
              </w:rPr>
              <w:t>这一过程会产生混合搅拌粉尘</w:t>
            </w:r>
            <w:r>
              <w:rPr>
                <w:rFonts w:hint="default" w:ascii="Times New Roman" w:hAnsi="Times New Roman" w:eastAsia="宋体" w:cs="Times New Roman"/>
                <w:b w:val="0"/>
                <w:bCs/>
                <w:color w:val="auto"/>
                <w:sz w:val="24"/>
                <w:szCs w:val="40"/>
                <w:lang w:val="en-US" w:eastAsia="zh-CN"/>
              </w:rPr>
              <w:t>G12</w:t>
            </w:r>
            <w:r>
              <w:rPr>
                <w:rFonts w:hint="default" w:ascii="Times New Roman" w:hAnsi="Times New Roman" w:eastAsia="宋体" w:cs="Times New Roman"/>
                <w:b w:val="0"/>
                <w:bCs/>
                <w:color w:val="auto"/>
                <w:sz w:val="24"/>
                <w:szCs w:val="40"/>
                <w:lang w:eastAsia="zh-CN"/>
              </w:rPr>
              <w:t>以及恶臭气体</w:t>
            </w:r>
            <w:r>
              <w:rPr>
                <w:rFonts w:hint="default" w:ascii="Times New Roman" w:hAnsi="Times New Roman" w:eastAsia="宋体" w:cs="Times New Roman"/>
                <w:b w:val="0"/>
                <w:bCs/>
                <w:color w:val="auto"/>
                <w:sz w:val="24"/>
                <w:szCs w:val="40"/>
                <w:lang w:val="en-US" w:eastAsia="zh-CN"/>
              </w:rPr>
              <w:t>G14</w:t>
            </w:r>
            <w:r>
              <w:rPr>
                <w:rFonts w:hint="default" w:ascii="Times New Roman" w:hAnsi="Times New Roman" w:eastAsia="宋体" w:cs="Times New Roman"/>
                <w:b w:val="0"/>
                <w:bCs/>
                <w:color w:val="auto"/>
                <w:sz w:val="24"/>
                <w:szCs w:val="40"/>
                <w:lang w:eastAsia="zh-CN"/>
              </w:rPr>
              <w:t>。</w:t>
            </w:r>
          </w:p>
          <w:p w14:paraId="7FEBF9E0">
            <w:pPr>
              <w:keepNext w:val="0"/>
              <w:keepLines w:val="0"/>
              <w:widowControl/>
              <w:suppressLineNumbers w:val="0"/>
              <w:spacing w:line="360" w:lineRule="auto"/>
              <w:ind w:firstLine="480" w:firstLineChars="200"/>
              <w:jc w:val="left"/>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b w:val="0"/>
                <w:bCs w:val="0"/>
                <w:color w:val="auto"/>
                <w:kern w:val="2"/>
                <w:sz w:val="24"/>
                <w:szCs w:val="24"/>
                <w:lang w:val="en-US" w:eastAsia="zh-CN" w:bidi="ar-SA"/>
              </w:rPr>
              <w:t>5）制型：</w:t>
            </w:r>
            <w:r>
              <w:rPr>
                <w:rFonts w:hint="default" w:ascii="Times New Roman" w:hAnsi="Times New Roman" w:eastAsia="宋体" w:cs="Times New Roman"/>
                <w:color w:val="auto"/>
                <w:kern w:val="0"/>
                <w:sz w:val="24"/>
                <w:szCs w:val="24"/>
                <w:lang w:val="en-US" w:eastAsia="zh-CN" w:bidi="ar"/>
              </w:rPr>
              <w:t>物料经</w:t>
            </w:r>
            <w:r>
              <w:rPr>
                <w:rFonts w:hint="default" w:ascii="Times New Roman" w:hAnsi="Times New Roman" w:eastAsia="宋体" w:cs="Times New Roman"/>
                <w:b w:val="0"/>
                <w:bCs/>
                <w:color w:val="auto"/>
                <w:sz w:val="24"/>
                <w:szCs w:val="40"/>
                <w:lang w:val="en-US" w:eastAsia="zh-CN"/>
              </w:rPr>
              <w:t>密闭输送带</w:t>
            </w:r>
            <w:r>
              <w:rPr>
                <w:rFonts w:hint="default" w:ascii="Times New Roman" w:hAnsi="Times New Roman" w:eastAsia="宋体" w:cs="Times New Roman"/>
                <w:color w:val="auto"/>
                <w:kern w:val="0"/>
                <w:sz w:val="24"/>
                <w:szCs w:val="24"/>
                <w:lang w:val="en-US" w:eastAsia="zh-CN" w:bidi="ar"/>
              </w:rPr>
              <w:t>运至制型机后制造成方便运输的形状。因物料含水量较高，因此制型过程不产生粉尘。该过程会产生少量恶臭气体G2、噪声。</w:t>
            </w:r>
          </w:p>
          <w:p w14:paraId="617F5812">
            <w:pPr>
              <w:keepNext w:val="0"/>
              <w:keepLines w:val="0"/>
              <w:widowControl/>
              <w:suppressLineNumbers w:val="0"/>
              <w:spacing w:line="360" w:lineRule="auto"/>
              <w:ind w:firstLine="480" w:firstLineChars="200"/>
              <w:jc w:val="left"/>
              <w:rPr>
                <w:rFonts w:hint="default" w:ascii="Times New Roman" w:hAnsi="Times New Roman" w:eastAsia="宋体" w:cs="Times New Roman"/>
                <w:color w:val="auto"/>
              </w:rPr>
            </w:pPr>
            <w:r>
              <w:rPr>
                <w:rFonts w:hint="default" w:ascii="Times New Roman" w:hAnsi="Times New Roman" w:eastAsia="宋体" w:cs="Times New Roman"/>
                <w:b w:val="0"/>
                <w:bCs w:val="0"/>
                <w:color w:val="auto"/>
                <w:kern w:val="2"/>
                <w:sz w:val="24"/>
                <w:szCs w:val="24"/>
                <w:lang w:val="en-US" w:eastAsia="zh-CN" w:bidi="ar-SA"/>
              </w:rPr>
              <w:t>6）</w:t>
            </w:r>
            <w:r>
              <w:rPr>
                <w:rFonts w:hint="default" w:ascii="Times New Roman" w:hAnsi="Times New Roman" w:eastAsia="宋体" w:cs="Times New Roman"/>
                <w:color w:val="auto"/>
                <w:kern w:val="0"/>
                <w:sz w:val="24"/>
                <w:szCs w:val="24"/>
                <w:lang w:val="en-US" w:eastAsia="zh-CN" w:bidi="ar"/>
              </w:rPr>
              <w:t>成品入库：产品经人工检测合格后包装入库，待售。</w:t>
            </w:r>
          </w:p>
          <w:p w14:paraId="530CE700">
            <w:pPr>
              <w:pStyle w:val="178"/>
              <w:ind w:firstLine="48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4.主要污染工序</w:t>
            </w:r>
          </w:p>
          <w:p w14:paraId="3106BE8C">
            <w:pPr>
              <w:adjustRightInd w:val="0"/>
              <w:snapToGrid w:val="0"/>
              <w:ind w:firstLine="480"/>
              <w:rPr>
                <w:rFonts w:hint="default" w:ascii="Times New Roman" w:hAnsi="Times New Roman" w:eastAsia="宋体" w:cs="Times New Roman"/>
                <w:bCs/>
                <w:color w:val="auto"/>
              </w:rPr>
            </w:pPr>
            <w:r>
              <w:rPr>
                <w:rFonts w:hint="default" w:ascii="Times New Roman" w:hAnsi="Times New Roman" w:eastAsia="宋体" w:cs="Times New Roman"/>
                <w:bCs/>
                <w:color w:val="auto"/>
              </w:rPr>
              <w:t>本项目污染物产生及排放环节见表2-</w:t>
            </w:r>
            <w:r>
              <w:rPr>
                <w:rFonts w:hint="default" w:ascii="Times New Roman" w:hAnsi="Times New Roman" w:eastAsia="宋体" w:cs="Times New Roman"/>
                <w:bCs/>
                <w:color w:val="auto"/>
                <w:lang w:val="en-US" w:eastAsia="zh-CN"/>
              </w:rPr>
              <w:t>12</w:t>
            </w:r>
            <w:r>
              <w:rPr>
                <w:rFonts w:hint="default" w:ascii="Times New Roman" w:hAnsi="Times New Roman" w:eastAsia="宋体" w:cs="Times New Roman"/>
                <w:bCs/>
                <w:color w:val="auto"/>
              </w:rPr>
              <w:t>。</w:t>
            </w:r>
          </w:p>
          <w:p w14:paraId="2BE6EA56">
            <w:pPr>
              <w:spacing w:line="240" w:lineRule="auto"/>
              <w:ind w:firstLine="48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表2-</w:t>
            </w:r>
            <w:r>
              <w:rPr>
                <w:rFonts w:hint="default" w:ascii="Times New Roman" w:hAnsi="Times New Roman" w:eastAsia="宋体" w:cs="Times New Roman"/>
                <w:b/>
                <w:color w:val="auto"/>
                <w:sz w:val="21"/>
                <w:szCs w:val="21"/>
                <w:lang w:val="en-US" w:eastAsia="zh-CN"/>
              </w:rPr>
              <w:t>12</w:t>
            </w:r>
            <w:r>
              <w:rPr>
                <w:rFonts w:hint="default" w:ascii="Times New Roman" w:hAnsi="Times New Roman" w:eastAsia="宋体" w:cs="Times New Roman"/>
                <w:b/>
                <w:color w:val="auto"/>
                <w:sz w:val="21"/>
                <w:szCs w:val="21"/>
              </w:rPr>
              <w:t xml:space="preserve">  项目污染物产生及排放环节</w:t>
            </w:r>
          </w:p>
          <w:tbl>
            <w:tblPr>
              <w:tblStyle w:val="34"/>
              <w:tblpPr w:leftFromText="181" w:rightFromText="181" w:vertAnchor="text" w:horzAnchor="page" w:tblpXSpec="center" w:tblpY="1"/>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491"/>
              <w:gridCol w:w="1800"/>
              <w:gridCol w:w="1800"/>
              <w:gridCol w:w="899"/>
              <w:gridCol w:w="1302"/>
              <w:gridCol w:w="2316"/>
            </w:tblGrid>
            <w:tr w14:paraId="773D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tcBorders>
                    <w:tl2br w:val="nil"/>
                    <w:tr2bl w:val="nil"/>
                  </w:tcBorders>
                  <w:vAlign w:val="center"/>
                </w:tcPr>
                <w:p w14:paraId="60F8E9C3">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类别</w:t>
                  </w:r>
                </w:p>
              </w:tc>
              <w:tc>
                <w:tcPr>
                  <w:tcW w:w="1045" w:type="pct"/>
                  <w:tcBorders>
                    <w:tl2br w:val="nil"/>
                    <w:tr2bl w:val="nil"/>
                  </w:tcBorders>
                  <w:vAlign w:val="center"/>
                </w:tcPr>
                <w:p w14:paraId="3360FD45">
                  <w:pPr>
                    <w:pStyle w:val="62"/>
                    <w:rPr>
                      <w:rFonts w:hint="default" w:ascii="Times New Roman" w:hAnsi="Times New Roman" w:eastAsia="宋体" w:cs="Times New Roman"/>
                      <w:bCs/>
                      <w:color w:val="auto"/>
                      <w:lang w:val="en-US" w:eastAsia="zh-CN"/>
                    </w:rPr>
                  </w:pPr>
                  <w:r>
                    <w:rPr>
                      <w:rFonts w:hint="default" w:ascii="Times New Roman" w:hAnsi="Times New Roman" w:eastAsia="宋体" w:cs="Times New Roman"/>
                      <w:bCs/>
                      <w:color w:val="auto"/>
                      <w:lang w:val="en-US" w:eastAsia="zh-CN"/>
                    </w:rPr>
                    <w:t>工序</w:t>
                  </w:r>
                </w:p>
              </w:tc>
              <w:tc>
                <w:tcPr>
                  <w:tcW w:w="1045" w:type="pct"/>
                  <w:tcBorders>
                    <w:tl2br w:val="nil"/>
                    <w:tr2bl w:val="nil"/>
                  </w:tcBorders>
                  <w:vAlign w:val="center"/>
                </w:tcPr>
                <w:p w14:paraId="55268924">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排放源</w:t>
                  </w:r>
                </w:p>
              </w:tc>
              <w:tc>
                <w:tcPr>
                  <w:tcW w:w="522" w:type="pct"/>
                  <w:tcBorders>
                    <w:tl2br w:val="nil"/>
                    <w:tr2bl w:val="nil"/>
                  </w:tcBorders>
                  <w:vAlign w:val="center"/>
                </w:tcPr>
                <w:p w14:paraId="748B22D8">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编号</w:t>
                  </w:r>
                </w:p>
              </w:tc>
              <w:tc>
                <w:tcPr>
                  <w:tcW w:w="756" w:type="pct"/>
                  <w:tcBorders>
                    <w:tl2br w:val="nil"/>
                    <w:tr2bl w:val="nil"/>
                  </w:tcBorders>
                  <w:vAlign w:val="center"/>
                </w:tcPr>
                <w:p w14:paraId="6B7D6C3C">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污染物</w:t>
                  </w:r>
                </w:p>
              </w:tc>
              <w:tc>
                <w:tcPr>
                  <w:tcW w:w="1344" w:type="pct"/>
                  <w:tcBorders>
                    <w:tl2br w:val="nil"/>
                    <w:tr2bl w:val="nil"/>
                  </w:tcBorders>
                  <w:vAlign w:val="center"/>
                </w:tcPr>
                <w:p w14:paraId="7547F5EA">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治理/处理处置措施</w:t>
                  </w:r>
                </w:p>
              </w:tc>
            </w:tr>
            <w:tr w14:paraId="5499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restart"/>
                  <w:tcBorders>
                    <w:tl2br w:val="nil"/>
                    <w:tr2bl w:val="nil"/>
                  </w:tcBorders>
                  <w:vAlign w:val="center"/>
                </w:tcPr>
                <w:p w14:paraId="27D6C79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废气</w:t>
                  </w:r>
                </w:p>
              </w:tc>
              <w:tc>
                <w:tcPr>
                  <w:tcW w:w="1045" w:type="pct"/>
                  <w:tcBorders>
                    <w:tl2br w:val="nil"/>
                    <w:tr2bl w:val="nil"/>
                  </w:tcBorders>
                  <w:vAlign w:val="center"/>
                </w:tcPr>
                <w:p w14:paraId="3F37CFD6">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厂内道路</w:t>
                  </w:r>
                </w:p>
              </w:tc>
              <w:tc>
                <w:tcPr>
                  <w:tcW w:w="1045" w:type="pct"/>
                  <w:tcBorders>
                    <w:tl2br w:val="nil"/>
                    <w:tr2bl w:val="nil"/>
                  </w:tcBorders>
                  <w:vAlign w:val="center"/>
                </w:tcPr>
                <w:p w14:paraId="20F4BDE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运输扬尘</w:t>
                  </w:r>
                </w:p>
              </w:tc>
              <w:tc>
                <w:tcPr>
                  <w:tcW w:w="522" w:type="pct"/>
                  <w:tcBorders>
                    <w:tl2br w:val="nil"/>
                    <w:tr2bl w:val="nil"/>
                  </w:tcBorders>
                  <w:vAlign w:val="center"/>
                </w:tcPr>
                <w:p w14:paraId="4CEBB8C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G1</w:t>
                  </w:r>
                </w:p>
              </w:tc>
              <w:tc>
                <w:tcPr>
                  <w:tcW w:w="756" w:type="pct"/>
                  <w:tcBorders>
                    <w:tl2br w:val="nil"/>
                    <w:tr2bl w:val="nil"/>
                  </w:tcBorders>
                  <w:vAlign w:val="center"/>
                </w:tcPr>
                <w:p w14:paraId="2AD6996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tcBorders>
                    <w:tl2br w:val="nil"/>
                    <w:tr2bl w:val="nil"/>
                  </w:tcBorders>
                  <w:vAlign w:val="center"/>
                </w:tcPr>
                <w:p w14:paraId="2C037B5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车辆冲洗、洒水抑尘</w:t>
                  </w:r>
                </w:p>
              </w:tc>
            </w:tr>
            <w:tr w14:paraId="6DB9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5728636F">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7CF92DF5">
                  <w:pPr>
                    <w:pStyle w:val="62"/>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原料库</w:t>
                  </w:r>
                </w:p>
              </w:tc>
              <w:tc>
                <w:tcPr>
                  <w:tcW w:w="1045" w:type="pct"/>
                  <w:tcBorders>
                    <w:tl2br w:val="nil"/>
                    <w:tr2bl w:val="nil"/>
                  </w:tcBorders>
                  <w:vAlign w:val="center"/>
                </w:tcPr>
                <w:p w14:paraId="6C93E625">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装卸</w:t>
                  </w:r>
                  <w:r>
                    <w:rPr>
                      <w:rFonts w:hint="default" w:ascii="Times New Roman" w:hAnsi="Times New Roman" w:eastAsia="宋体" w:cs="Times New Roman"/>
                      <w:b w:val="0"/>
                      <w:bCs/>
                      <w:color w:val="auto"/>
                    </w:rPr>
                    <w:t>粉尘</w:t>
                  </w:r>
                </w:p>
              </w:tc>
              <w:tc>
                <w:tcPr>
                  <w:tcW w:w="522" w:type="pct"/>
                  <w:tcBorders>
                    <w:tl2br w:val="nil"/>
                    <w:tr2bl w:val="nil"/>
                  </w:tcBorders>
                  <w:vAlign w:val="center"/>
                </w:tcPr>
                <w:p w14:paraId="0447BDE8">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2</w:t>
                  </w:r>
                </w:p>
              </w:tc>
              <w:tc>
                <w:tcPr>
                  <w:tcW w:w="756" w:type="pct"/>
                  <w:tcBorders>
                    <w:tl2br w:val="nil"/>
                    <w:tr2bl w:val="nil"/>
                  </w:tcBorders>
                  <w:vAlign w:val="center"/>
                </w:tcPr>
                <w:p w14:paraId="6524B29B">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tcBorders>
                    <w:tl2br w:val="nil"/>
                    <w:tr2bl w:val="nil"/>
                  </w:tcBorders>
                  <w:vAlign w:val="center"/>
                </w:tcPr>
                <w:p w14:paraId="16F50225">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干雾抑尘</w:t>
                  </w:r>
                  <w:r>
                    <w:rPr>
                      <w:rFonts w:hint="default" w:ascii="Times New Roman" w:hAnsi="Times New Roman" w:eastAsia="宋体" w:cs="Times New Roman"/>
                      <w:b w:val="0"/>
                      <w:bCs/>
                      <w:color w:val="auto"/>
                      <w:lang w:val="en-US" w:eastAsia="zh-CN"/>
                    </w:rPr>
                    <w:t>+雾炮机抑尘</w:t>
                  </w:r>
                </w:p>
              </w:tc>
            </w:tr>
            <w:tr w14:paraId="402E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4E67C2D8">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139ECCA9">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给料</w:t>
                  </w:r>
                </w:p>
              </w:tc>
              <w:tc>
                <w:tcPr>
                  <w:tcW w:w="1045" w:type="pct"/>
                  <w:tcBorders>
                    <w:tl2br w:val="nil"/>
                    <w:tr2bl w:val="nil"/>
                  </w:tcBorders>
                  <w:vAlign w:val="center"/>
                </w:tcPr>
                <w:p w14:paraId="14D057E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给料粉尘</w:t>
                  </w:r>
                </w:p>
              </w:tc>
              <w:tc>
                <w:tcPr>
                  <w:tcW w:w="522" w:type="pct"/>
                  <w:tcBorders>
                    <w:tl2br w:val="nil"/>
                    <w:tr2bl w:val="nil"/>
                  </w:tcBorders>
                  <w:vAlign w:val="center"/>
                </w:tcPr>
                <w:p w14:paraId="78AF4C7C">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3</w:t>
                  </w:r>
                </w:p>
              </w:tc>
              <w:tc>
                <w:tcPr>
                  <w:tcW w:w="756" w:type="pct"/>
                  <w:tcBorders>
                    <w:tl2br w:val="nil"/>
                    <w:tr2bl w:val="nil"/>
                  </w:tcBorders>
                  <w:vAlign w:val="center"/>
                </w:tcPr>
                <w:p w14:paraId="68FF852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restart"/>
                  <w:tcBorders>
                    <w:tl2br w:val="nil"/>
                    <w:tr2bl w:val="nil"/>
                  </w:tcBorders>
                  <w:vAlign w:val="center"/>
                </w:tcPr>
                <w:p w14:paraId="5B5E40B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布袋除尘+15m高排气筒</w:t>
                  </w:r>
                </w:p>
              </w:tc>
            </w:tr>
            <w:tr w14:paraId="2D3D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2DF7DB2F">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529B3609">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破碎</w:t>
                  </w:r>
                </w:p>
              </w:tc>
              <w:tc>
                <w:tcPr>
                  <w:tcW w:w="1045" w:type="pct"/>
                  <w:tcBorders>
                    <w:tl2br w:val="nil"/>
                    <w:tr2bl w:val="nil"/>
                  </w:tcBorders>
                  <w:vAlign w:val="center"/>
                </w:tcPr>
                <w:p w14:paraId="394EA9C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粗碎粉尘</w:t>
                  </w:r>
                </w:p>
              </w:tc>
              <w:tc>
                <w:tcPr>
                  <w:tcW w:w="522" w:type="pct"/>
                  <w:tcBorders>
                    <w:tl2br w:val="nil"/>
                    <w:tr2bl w:val="nil"/>
                  </w:tcBorders>
                  <w:vAlign w:val="center"/>
                </w:tcPr>
                <w:p w14:paraId="1226F97F">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4</w:t>
                  </w:r>
                </w:p>
              </w:tc>
              <w:tc>
                <w:tcPr>
                  <w:tcW w:w="756" w:type="pct"/>
                  <w:tcBorders>
                    <w:tl2br w:val="nil"/>
                    <w:tr2bl w:val="nil"/>
                  </w:tcBorders>
                  <w:vAlign w:val="center"/>
                </w:tcPr>
                <w:p w14:paraId="7043F2D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continue"/>
                  <w:tcBorders>
                    <w:tl2br w:val="nil"/>
                    <w:tr2bl w:val="nil"/>
                  </w:tcBorders>
                  <w:vAlign w:val="center"/>
                </w:tcPr>
                <w:p w14:paraId="12113EC7">
                  <w:pPr>
                    <w:pStyle w:val="62"/>
                    <w:rPr>
                      <w:rFonts w:hint="default" w:ascii="Times New Roman" w:hAnsi="Times New Roman" w:eastAsia="宋体" w:cs="Times New Roman"/>
                      <w:b w:val="0"/>
                      <w:bCs/>
                      <w:color w:val="auto"/>
                    </w:rPr>
                  </w:pPr>
                </w:p>
              </w:tc>
            </w:tr>
            <w:tr w14:paraId="6D71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6E180487">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67ED3C07">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筛分</w:t>
                  </w:r>
                </w:p>
              </w:tc>
              <w:tc>
                <w:tcPr>
                  <w:tcW w:w="1045" w:type="pct"/>
                  <w:tcBorders>
                    <w:tl2br w:val="nil"/>
                    <w:tr2bl w:val="nil"/>
                  </w:tcBorders>
                  <w:vAlign w:val="center"/>
                </w:tcPr>
                <w:p w14:paraId="4B063E04">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筛分粉尘</w:t>
                  </w:r>
                </w:p>
              </w:tc>
              <w:tc>
                <w:tcPr>
                  <w:tcW w:w="522" w:type="pct"/>
                  <w:tcBorders>
                    <w:tl2br w:val="nil"/>
                    <w:tr2bl w:val="nil"/>
                  </w:tcBorders>
                  <w:vAlign w:val="center"/>
                </w:tcPr>
                <w:p w14:paraId="60B09E24">
                  <w:pPr>
                    <w:pStyle w:val="62"/>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5</w:t>
                  </w:r>
                </w:p>
              </w:tc>
              <w:tc>
                <w:tcPr>
                  <w:tcW w:w="756" w:type="pct"/>
                  <w:tcBorders>
                    <w:tl2br w:val="nil"/>
                    <w:tr2bl w:val="nil"/>
                  </w:tcBorders>
                  <w:vAlign w:val="center"/>
                </w:tcPr>
                <w:p w14:paraId="4BA4F28F">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continue"/>
                  <w:tcBorders>
                    <w:tl2br w:val="nil"/>
                    <w:tr2bl w:val="nil"/>
                  </w:tcBorders>
                  <w:vAlign w:val="center"/>
                </w:tcPr>
                <w:p w14:paraId="0BC57F91">
                  <w:pPr>
                    <w:pStyle w:val="62"/>
                    <w:rPr>
                      <w:rFonts w:hint="default" w:ascii="Times New Roman" w:hAnsi="Times New Roman" w:eastAsia="宋体" w:cs="Times New Roman"/>
                      <w:b w:val="0"/>
                      <w:bCs/>
                      <w:color w:val="auto"/>
                    </w:rPr>
                  </w:pPr>
                </w:p>
              </w:tc>
            </w:tr>
            <w:tr w14:paraId="4D2B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7CBC5453">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1B862A45">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破碎</w:t>
                  </w:r>
                </w:p>
              </w:tc>
              <w:tc>
                <w:tcPr>
                  <w:tcW w:w="1045" w:type="pct"/>
                  <w:tcBorders>
                    <w:tl2br w:val="nil"/>
                    <w:tr2bl w:val="nil"/>
                  </w:tcBorders>
                  <w:vAlign w:val="center"/>
                </w:tcPr>
                <w:p w14:paraId="00C4866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细碎粉尘</w:t>
                  </w:r>
                </w:p>
              </w:tc>
              <w:tc>
                <w:tcPr>
                  <w:tcW w:w="522" w:type="pct"/>
                  <w:tcBorders>
                    <w:tl2br w:val="nil"/>
                    <w:tr2bl w:val="nil"/>
                  </w:tcBorders>
                  <w:vAlign w:val="center"/>
                </w:tcPr>
                <w:p w14:paraId="0960913C">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6</w:t>
                  </w:r>
                </w:p>
              </w:tc>
              <w:tc>
                <w:tcPr>
                  <w:tcW w:w="756" w:type="pct"/>
                  <w:tcBorders>
                    <w:tl2br w:val="nil"/>
                    <w:tr2bl w:val="nil"/>
                  </w:tcBorders>
                  <w:vAlign w:val="center"/>
                </w:tcPr>
                <w:p w14:paraId="57D6F44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continue"/>
                  <w:tcBorders>
                    <w:tl2br w:val="nil"/>
                    <w:tr2bl w:val="nil"/>
                  </w:tcBorders>
                  <w:vAlign w:val="center"/>
                </w:tcPr>
                <w:p w14:paraId="647630E4">
                  <w:pPr>
                    <w:pStyle w:val="62"/>
                    <w:rPr>
                      <w:rFonts w:hint="default" w:ascii="Times New Roman" w:hAnsi="Times New Roman" w:eastAsia="宋体" w:cs="Times New Roman"/>
                      <w:b w:val="0"/>
                      <w:bCs/>
                      <w:color w:val="auto"/>
                    </w:rPr>
                  </w:pPr>
                </w:p>
              </w:tc>
            </w:tr>
            <w:tr w14:paraId="41DC0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47F74CF3">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4CEC97EA">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筛分</w:t>
                  </w:r>
                </w:p>
              </w:tc>
              <w:tc>
                <w:tcPr>
                  <w:tcW w:w="1045" w:type="pct"/>
                  <w:tcBorders>
                    <w:tl2br w:val="nil"/>
                    <w:tr2bl w:val="nil"/>
                  </w:tcBorders>
                  <w:vAlign w:val="center"/>
                </w:tcPr>
                <w:p w14:paraId="5072CCB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筛分粉尘</w:t>
                  </w:r>
                </w:p>
              </w:tc>
              <w:tc>
                <w:tcPr>
                  <w:tcW w:w="522" w:type="pct"/>
                  <w:tcBorders>
                    <w:tl2br w:val="nil"/>
                    <w:tr2bl w:val="nil"/>
                  </w:tcBorders>
                  <w:vAlign w:val="center"/>
                </w:tcPr>
                <w:p w14:paraId="67A70171">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7</w:t>
                  </w:r>
                </w:p>
              </w:tc>
              <w:tc>
                <w:tcPr>
                  <w:tcW w:w="756" w:type="pct"/>
                  <w:tcBorders>
                    <w:tl2br w:val="nil"/>
                    <w:tr2bl w:val="nil"/>
                  </w:tcBorders>
                  <w:vAlign w:val="center"/>
                </w:tcPr>
                <w:p w14:paraId="2470E24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continue"/>
                  <w:tcBorders>
                    <w:tl2br w:val="nil"/>
                    <w:tr2bl w:val="nil"/>
                  </w:tcBorders>
                  <w:vAlign w:val="center"/>
                </w:tcPr>
                <w:p w14:paraId="1C4D74B8">
                  <w:pPr>
                    <w:pStyle w:val="62"/>
                    <w:rPr>
                      <w:rFonts w:hint="default" w:ascii="Times New Roman" w:hAnsi="Times New Roman" w:eastAsia="宋体" w:cs="Times New Roman"/>
                      <w:b w:val="0"/>
                      <w:bCs/>
                      <w:color w:val="auto"/>
                    </w:rPr>
                  </w:pPr>
                </w:p>
              </w:tc>
            </w:tr>
            <w:tr w14:paraId="5FE06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56FD1FE1">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07DD3334">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投料</w:t>
                  </w:r>
                </w:p>
              </w:tc>
              <w:tc>
                <w:tcPr>
                  <w:tcW w:w="1045" w:type="pct"/>
                  <w:tcBorders>
                    <w:tl2br w:val="nil"/>
                    <w:tr2bl w:val="nil"/>
                  </w:tcBorders>
                  <w:vAlign w:val="center"/>
                </w:tcPr>
                <w:p w14:paraId="5AA46CA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投料粉尘</w:t>
                  </w:r>
                </w:p>
              </w:tc>
              <w:tc>
                <w:tcPr>
                  <w:tcW w:w="522" w:type="pct"/>
                  <w:tcBorders>
                    <w:tl2br w:val="nil"/>
                    <w:tr2bl w:val="nil"/>
                  </w:tcBorders>
                  <w:vAlign w:val="center"/>
                </w:tcPr>
                <w:p w14:paraId="322D49D2">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8</w:t>
                  </w:r>
                </w:p>
              </w:tc>
              <w:tc>
                <w:tcPr>
                  <w:tcW w:w="756" w:type="pct"/>
                  <w:tcBorders>
                    <w:tl2br w:val="nil"/>
                    <w:tr2bl w:val="nil"/>
                  </w:tcBorders>
                  <w:vAlign w:val="center"/>
                </w:tcPr>
                <w:p w14:paraId="739B086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restart"/>
                  <w:tcBorders>
                    <w:tl2br w:val="nil"/>
                    <w:tr2bl w:val="nil"/>
                  </w:tcBorders>
                  <w:vAlign w:val="center"/>
                </w:tcPr>
                <w:p w14:paraId="1E4C37CE">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布袋除尘+15m高排气筒</w:t>
                  </w:r>
                </w:p>
              </w:tc>
            </w:tr>
            <w:tr w14:paraId="7B05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18834119">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3C078038">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搅拌</w:t>
                  </w:r>
                </w:p>
              </w:tc>
              <w:tc>
                <w:tcPr>
                  <w:tcW w:w="1045" w:type="pct"/>
                  <w:tcBorders>
                    <w:tl2br w:val="nil"/>
                    <w:tr2bl w:val="nil"/>
                  </w:tcBorders>
                  <w:vAlign w:val="center"/>
                </w:tcPr>
                <w:p w14:paraId="54D1B2A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搅拌粉尘</w:t>
                  </w:r>
                </w:p>
              </w:tc>
              <w:tc>
                <w:tcPr>
                  <w:tcW w:w="522" w:type="pct"/>
                  <w:tcBorders>
                    <w:tl2br w:val="nil"/>
                    <w:tr2bl w:val="nil"/>
                  </w:tcBorders>
                  <w:vAlign w:val="center"/>
                </w:tcPr>
                <w:p w14:paraId="550639B6">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9</w:t>
                  </w:r>
                </w:p>
              </w:tc>
              <w:tc>
                <w:tcPr>
                  <w:tcW w:w="756" w:type="pct"/>
                  <w:tcBorders>
                    <w:tl2br w:val="nil"/>
                    <w:tr2bl w:val="nil"/>
                  </w:tcBorders>
                  <w:vAlign w:val="center"/>
                </w:tcPr>
                <w:p w14:paraId="26D30DE1">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continue"/>
                  <w:tcBorders>
                    <w:tl2br w:val="nil"/>
                    <w:tr2bl w:val="nil"/>
                  </w:tcBorders>
                  <w:vAlign w:val="center"/>
                </w:tcPr>
                <w:p w14:paraId="2CFB9940">
                  <w:pPr>
                    <w:pStyle w:val="62"/>
                    <w:rPr>
                      <w:rFonts w:hint="default" w:ascii="Times New Roman" w:hAnsi="Times New Roman" w:eastAsia="宋体" w:cs="Times New Roman"/>
                      <w:b w:val="0"/>
                      <w:bCs/>
                      <w:color w:val="auto"/>
                    </w:rPr>
                  </w:pPr>
                </w:p>
              </w:tc>
            </w:tr>
            <w:tr w14:paraId="04637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285" w:type="pct"/>
                  <w:vMerge w:val="continue"/>
                  <w:tcBorders>
                    <w:tl2br w:val="nil"/>
                    <w:tr2bl w:val="nil"/>
                  </w:tcBorders>
                  <w:vAlign w:val="center"/>
                </w:tcPr>
                <w:p w14:paraId="1A6E9E0B">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002C016E">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水泥入仓</w:t>
                  </w:r>
                </w:p>
              </w:tc>
              <w:tc>
                <w:tcPr>
                  <w:tcW w:w="1045" w:type="pct"/>
                  <w:tcBorders>
                    <w:tl2br w:val="nil"/>
                    <w:tr2bl w:val="nil"/>
                  </w:tcBorders>
                  <w:vAlign w:val="center"/>
                </w:tcPr>
                <w:p w14:paraId="7FA59B6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水泥入仓</w:t>
                  </w:r>
                  <w:r>
                    <w:rPr>
                      <w:rFonts w:hint="default" w:ascii="Times New Roman" w:hAnsi="Times New Roman" w:eastAsia="宋体" w:cs="Times New Roman"/>
                      <w:b w:val="0"/>
                      <w:bCs/>
                      <w:color w:val="auto"/>
                    </w:rPr>
                    <w:t>粉尘</w:t>
                  </w:r>
                </w:p>
              </w:tc>
              <w:tc>
                <w:tcPr>
                  <w:tcW w:w="522" w:type="pct"/>
                  <w:tcBorders>
                    <w:tl2br w:val="nil"/>
                    <w:tr2bl w:val="nil"/>
                  </w:tcBorders>
                  <w:vAlign w:val="center"/>
                </w:tcPr>
                <w:p w14:paraId="13178A50">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10</w:t>
                  </w:r>
                </w:p>
              </w:tc>
              <w:tc>
                <w:tcPr>
                  <w:tcW w:w="756" w:type="pct"/>
                  <w:tcBorders>
                    <w:tl2br w:val="nil"/>
                    <w:tr2bl w:val="nil"/>
                  </w:tcBorders>
                  <w:vAlign w:val="center"/>
                </w:tcPr>
                <w:p w14:paraId="6305959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tcBorders>
                    <w:tl2br w:val="nil"/>
                    <w:tr2bl w:val="nil"/>
                  </w:tcBorders>
                  <w:vAlign w:val="center"/>
                </w:tcPr>
                <w:p w14:paraId="717396F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仓顶除尘后无组织排放</w:t>
                  </w:r>
                </w:p>
              </w:tc>
            </w:tr>
            <w:tr w14:paraId="0D17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285" w:type="pct"/>
                  <w:vMerge w:val="continue"/>
                  <w:tcBorders>
                    <w:tl2br w:val="nil"/>
                    <w:tr2bl w:val="nil"/>
                  </w:tcBorders>
                  <w:vAlign w:val="center"/>
                </w:tcPr>
                <w:p w14:paraId="3FEF3E8D">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41AE4EE9">
                  <w:pPr>
                    <w:pStyle w:val="62"/>
                    <w:ind w:left="0" w:leftChars="0"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破碎</w:t>
                  </w:r>
                </w:p>
              </w:tc>
              <w:tc>
                <w:tcPr>
                  <w:tcW w:w="1045" w:type="pct"/>
                  <w:tcBorders>
                    <w:tl2br w:val="nil"/>
                    <w:tr2bl w:val="nil"/>
                  </w:tcBorders>
                  <w:shd w:val="clear" w:color="auto" w:fill="auto"/>
                  <w:vAlign w:val="center"/>
                </w:tcPr>
                <w:p w14:paraId="51C74F9A">
                  <w:pPr>
                    <w:pStyle w:val="62"/>
                    <w:ind w:firstLine="0" w:firstLineChars="0"/>
                    <w:rPr>
                      <w:rFonts w:hint="default" w:ascii="Times New Roman" w:hAnsi="Times New Roman" w:eastAsia="宋体" w:cs="Times New Roman"/>
                      <w:b w:val="0"/>
                      <w:bCs/>
                      <w:color w:val="auto"/>
                      <w:kern w:val="0"/>
                      <w:sz w:val="21"/>
                      <w:szCs w:val="20"/>
                      <w:lang w:val="en-US" w:eastAsia="zh-CN" w:bidi="ar-SA"/>
                    </w:rPr>
                  </w:pPr>
                  <w:r>
                    <w:rPr>
                      <w:rFonts w:hint="default" w:ascii="Times New Roman" w:hAnsi="Times New Roman" w:eastAsia="宋体" w:cs="Times New Roman"/>
                      <w:b w:val="0"/>
                      <w:bCs/>
                      <w:color w:val="auto"/>
                      <w:lang w:val="en-US" w:eastAsia="zh-CN"/>
                    </w:rPr>
                    <w:t>撕碎粉尘</w:t>
                  </w:r>
                </w:p>
              </w:tc>
              <w:tc>
                <w:tcPr>
                  <w:tcW w:w="522" w:type="pct"/>
                  <w:tcBorders>
                    <w:tl2br w:val="nil"/>
                    <w:tr2bl w:val="nil"/>
                  </w:tcBorders>
                  <w:vAlign w:val="center"/>
                </w:tcPr>
                <w:p w14:paraId="13E72A13">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rPr>
                    <w:t>G</w:t>
                  </w:r>
                  <w:r>
                    <w:rPr>
                      <w:rFonts w:hint="default" w:ascii="Times New Roman" w:hAnsi="Times New Roman" w:eastAsia="宋体" w:cs="Times New Roman"/>
                      <w:b w:val="0"/>
                      <w:bCs/>
                      <w:color w:val="auto"/>
                      <w:lang w:val="en-US" w:eastAsia="zh-CN"/>
                    </w:rPr>
                    <w:t>11</w:t>
                  </w:r>
                </w:p>
              </w:tc>
              <w:tc>
                <w:tcPr>
                  <w:tcW w:w="756" w:type="pct"/>
                  <w:tcBorders>
                    <w:tl2br w:val="nil"/>
                    <w:tr2bl w:val="nil"/>
                  </w:tcBorders>
                  <w:vAlign w:val="center"/>
                </w:tcPr>
                <w:p w14:paraId="44A3E89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restart"/>
                  <w:tcBorders>
                    <w:tl2br w:val="nil"/>
                    <w:tr2bl w:val="nil"/>
                  </w:tcBorders>
                  <w:vAlign w:val="center"/>
                </w:tcPr>
                <w:p w14:paraId="16E43EA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布袋除尘+15m高排气筒</w:t>
                  </w:r>
                </w:p>
              </w:tc>
            </w:tr>
            <w:tr w14:paraId="5049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285" w:type="pct"/>
                  <w:vMerge w:val="continue"/>
                  <w:tcBorders>
                    <w:tl2br w:val="nil"/>
                    <w:tr2bl w:val="nil"/>
                  </w:tcBorders>
                  <w:vAlign w:val="center"/>
                </w:tcPr>
                <w:p w14:paraId="066A6A60">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72B4BCFD">
                  <w:pPr>
                    <w:pStyle w:val="62"/>
                    <w:ind w:left="0" w:leftChars="0"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搅拌</w:t>
                  </w:r>
                </w:p>
              </w:tc>
              <w:tc>
                <w:tcPr>
                  <w:tcW w:w="1045" w:type="pct"/>
                  <w:tcBorders>
                    <w:tl2br w:val="nil"/>
                    <w:tr2bl w:val="nil"/>
                  </w:tcBorders>
                  <w:shd w:val="clear" w:color="auto" w:fill="auto"/>
                  <w:vAlign w:val="center"/>
                </w:tcPr>
                <w:p w14:paraId="5EA601C5">
                  <w:pPr>
                    <w:pStyle w:val="62"/>
                    <w:ind w:firstLine="0" w:firstLineChars="0"/>
                    <w:rPr>
                      <w:rFonts w:hint="default" w:ascii="Times New Roman" w:hAnsi="Times New Roman" w:eastAsia="宋体" w:cs="Times New Roman"/>
                      <w:b w:val="0"/>
                      <w:bCs/>
                      <w:color w:val="auto"/>
                      <w:kern w:val="0"/>
                      <w:sz w:val="21"/>
                      <w:szCs w:val="20"/>
                      <w:lang w:val="en-US" w:eastAsia="zh-CN" w:bidi="ar-SA"/>
                    </w:rPr>
                  </w:pPr>
                  <w:r>
                    <w:rPr>
                      <w:rFonts w:hint="default" w:ascii="Times New Roman" w:hAnsi="Times New Roman" w:eastAsia="宋体" w:cs="Times New Roman"/>
                      <w:b w:val="0"/>
                      <w:bCs/>
                      <w:color w:val="auto"/>
                      <w:lang w:val="en-US" w:eastAsia="zh-CN"/>
                    </w:rPr>
                    <w:t>搅拌粉尘</w:t>
                  </w:r>
                </w:p>
              </w:tc>
              <w:tc>
                <w:tcPr>
                  <w:tcW w:w="522" w:type="pct"/>
                  <w:tcBorders>
                    <w:tl2br w:val="nil"/>
                    <w:tr2bl w:val="nil"/>
                  </w:tcBorders>
                  <w:vAlign w:val="center"/>
                </w:tcPr>
                <w:p w14:paraId="49FC1FD1">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G12</w:t>
                  </w:r>
                </w:p>
              </w:tc>
              <w:tc>
                <w:tcPr>
                  <w:tcW w:w="756" w:type="pct"/>
                  <w:tcBorders>
                    <w:tl2br w:val="nil"/>
                    <w:tr2bl w:val="nil"/>
                  </w:tcBorders>
                  <w:vAlign w:val="center"/>
                </w:tcPr>
                <w:p w14:paraId="431242B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344" w:type="pct"/>
                  <w:vMerge w:val="continue"/>
                  <w:tcBorders>
                    <w:tl2br w:val="nil"/>
                    <w:tr2bl w:val="nil"/>
                  </w:tcBorders>
                  <w:vAlign w:val="center"/>
                </w:tcPr>
                <w:p w14:paraId="3C1E6393">
                  <w:pPr>
                    <w:pStyle w:val="62"/>
                    <w:rPr>
                      <w:rFonts w:hint="default" w:ascii="Times New Roman" w:hAnsi="Times New Roman" w:eastAsia="宋体" w:cs="Times New Roman"/>
                      <w:b w:val="0"/>
                      <w:bCs/>
                      <w:color w:val="auto"/>
                    </w:rPr>
                  </w:pPr>
                </w:p>
              </w:tc>
            </w:tr>
            <w:tr w14:paraId="46556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285" w:type="pct"/>
                  <w:vMerge w:val="continue"/>
                  <w:tcBorders>
                    <w:tl2br w:val="nil"/>
                    <w:tr2bl w:val="nil"/>
                  </w:tcBorders>
                  <w:vAlign w:val="center"/>
                </w:tcPr>
                <w:p w14:paraId="374ED9B3">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2407D696">
                  <w:pPr>
                    <w:pStyle w:val="62"/>
                    <w:ind w:left="0" w:leftChars="0"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w:t>
                  </w:r>
                </w:p>
              </w:tc>
              <w:tc>
                <w:tcPr>
                  <w:tcW w:w="1045" w:type="pct"/>
                  <w:tcBorders>
                    <w:tl2br w:val="nil"/>
                    <w:tr2bl w:val="nil"/>
                  </w:tcBorders>
                  <w:shd w:val="clear" w:color="auto" w:fill="auto"/>
                  <w:vAlign w:val="center"/>
                </w:tcPr>
                <w:p w14:paraId="0A81740A">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lang w:val="en-US" w:eastAsia="zh-CN"/>
                    </w:rPr>
                    <w:t>污泥入库恶臭</w:t>
                  </w:r>
                </w:p>
              </w:tc>
              <w:tc>
                <w:tcPr>
                  <w:tcW w:w="522" w:type="pct"/>
                  <w:tcBorders>
                    <w:tl2br w:val="nil"/>
                    <w:tr2bl w:val="nil"/>
                  </w:tcBorders>
                  <w:vAlign w:val="center"/>
                </w:tcPr>
                <w:p w14:paraId="50AACFA5">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G13</w:t>
                  </w:r>
                </w:p>
              </w:tc>
              <w:tc>
                <w:tcPr>
                  <w:tcW w:w="756" w:type="pct"/>
                  <w:tcBorders>
                    <w:tl2br w:val="nil"/>
                    <w:tr2bl w:val="nil"/>
                  </w:tcBorders>
                  <w:vAlign w:val="center"/>
                </w:tcPr>
                <w:p w14:paraId="6C96EED0">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氨、硫化氢</w:t>
                  </w:r>
                </w:p>
              </w:tc>
              <w:tc>
                <w:tcPr>
                  <w:tcW w:w="1344" w:type="pct"/>
                  <w:vMerge w:val="restart"/>
                  <w:tcBorders>
                    <w:tl2br w:val="nil"/>
                    <w:tr2bl w:val="nil"/>
                  </w:tcBorders>
                  <w:vAlign w:val="center"/>
                </w:tcPr>
                <w:p w14:paraId="29041A60">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生物除臭塔+15m高排气筒</w:t>
                  </w:r>
                </w:p>
              </w:tc>
            </w:tr>
            <w:tr w14:paraId="163A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285" w:type="pct"/>
                  <w:vMerge w:val="continue"/>
                  <w:tcBorders>
                    <w:tl2br w:val="nil"/>
                    <w:tr2bl w:val="nil"/>
                  </w:tcBorders>
                  <w:vAlign w:val="center"/>
                </w:tcPr>
                <w:p w14:paraId="6C13B689">
                  <w:pPr>
                    <w:pStyle w:val="62"/>
                    <w:rPr>
                      <w:rFonts w:hint="default" w:ascii="Times New Roman" w:hAnsi="Times New Roman" w:eastAsia="宋体" w:cs="Times New Roman"/>
                      <w:b w:val="0"/>
                      <w:bCs/>
                      <w:color w:val="auto"/>
                    </w:rPr>
                  </w:pPr>
                </w:p>
              </w:tc>
              <w:tc>
                <w:tcPr>
                  <w:tcW w:w="1045" w:type="pct"/>
                  <w:tcBorders>
                    <w:tl2br w:val="nil"/>
                    <w:tr2bl w:val="nil"/>
                  </w:tcBorders>
                  <w:shd w:val="clear" w:color="auto" w:fill="auto"/>
                  <w:vAlign w:val="center"/>
                </w:tcPr>
                <w:p w14:paraId="66D8F1BD">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kern w:val="2"/>
                      <w:sz w:val="21"/>
                      <w:szCs w:val="20"/>
                      <w:lang w:val="en-US" w:eastAsia="zh-CN" w:bidi="ar-SA"/>
                    </w:rPr>
                    <w:t>成型</w:t>
                  </w:r>
                </w:p>
              </w:tc>
              <w:tc>
                <w:tcPr>
                  <w:tcW w:w="1045" w:type="pct"/>
                  <w:tcBorders>
                    <w:tl2br w:val="nil"/>
                    <w:tr2bl w:val="nil"/>
                  </w:tcBorders>
                  <w:shd w:val="clear" w:color="auto" w:fill="auto"/>
                  <w:vAlign w:val="center"/>
                </w:tcPr>
                <w:p w14:paraId="28B1FE1E">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lang w:val="en-US" w:eastAsia="zh-CN"/>
                    </w:rPr>
                    <w:t>成型恶臭</w:t>
                  </w:r>
                </w:p>
              </w:tc>
              <w:tc>
                <w:tcPr>
                  <w:tcW w:w="522" w:type="pct"/>
                  <w:tcBorders>
                    <w:tl2br w:val="nil"/>
                    <w:tr2bl w:val="nil"/>
                  </w:tcBorders>
                  <w:vAlign w:val="center"/>
                </w:tcPr>
                <w:p w14:paraId="6A8DEB3C">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G14</w:t>
                  </w:r>
                </w:p>
              </w:tc>
              <w:tc>
                <w:tcPr>
                  <w:tcW w:w="756" w:type="pct"/>
                  <w:tcBorders>
                    <w:tl2br w:val="nil"/>
                    <w:tr2bl w:val="nil"/>
                  </w:tcBorders>
                  <w:vAlign w:val="center"/>
                </w:tcPr>
                <w:p w14:paraId="469FBBE6">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氨、硫化氢</w:t>
                  </w:r>
                </w:p>
              </w:tc>
              <w:tc>
                <w:tcPr>
                  <w:tcW w:w="1344" w:type="pct"/>
                  <w:vMerge w:val="continue"/>
                  <w:tcBorders>
                    <w:tl2br w:val="nil"/>
                    <w:tr2bl w:val="nil"/>
                  </w:tcBorders>
                  <w:vAlign w:val="center"/>
                </w:tcPr>
                <w:p w14:paraId="2CE6ED33">
                  <w:pPr>
                    <w:pStyle w:val="62"/>
                    <w:rPr>
                      <w:rFonts w:hint="default" w:ascii="Times New Roman" w:hAnsi="Times New Roman" w:eastAsia="宋体" w:cs="Times New Roman"/>
                      <w:b w:val="0"/>
                      <w:bCs/>
                      <w:color w:val="auto"/>
                    </w:rPr>
                  </w:pPr>
                </w:p>
              </w:tc>
            </w:tr>
            <w:tr w14:paraId="59AF5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285" w:type="pct"/>
                  <w:vMerge w:val="restart"/>
                  <w:tcBorders>
                    <w:tl2br w:val="nil"/>
                    <w:tr2bl w:val="nil"/>
                  </w:tcBorders>
                  <w:vAlign w:val="center"/>
                </w:tcPr>
                <w:p w14:paraId="6509672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废水</w:t>
                  </w:r>
                </w:p>
              </w:tc>
              <w:tc>
                <w:tcPr>
                  <w:tcW w:w="1045" w:type="pct"/>
                  <w:tcBorders>
                    <w:tl2br w:val="nil"/>
                    <w:tr2bl w:val="nil"/>
                  </w:tcBorders>
                  <w:shd w:val="clear" w:color="auto" w:fill="auto"/>
                  <w:vAlign w:val="center"/>
                </w:tcPr>
                <w:p w14:paraId="3B5FCA6E">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lang w:val="en-US" w:eastAsia="zh-CN"/>
                    </w:rPr>
                    <w:t>/</w:t>
                  </w:r>
                </w:p>
              </w:tc>
              <w:tc>
                <w:tcPr>
                  <w:tcW w:w="1045" w:type="pct"/>
                  <w:tcBorders>
                    <w:tl2br w:val="nil"/>
                    <w:tr2bl w:val="nil"/>
                  </w:tcBorders>
                  <w:shd w:val="clear" w:color="auto" w:fill="auto"/>
                  <w:vAlign w:val="center"/>
                </w:tcPr>
                <w:p w14:paraId="070F073C">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rPr>
                    <w:t>车辆冲洗废水</w:t>
                  </w:r>
                </w:p>
              </w:tc>
              <w:tc>
                <w:tcPr>
                  <w:tcW w:w="522" w:type="pct"/>
                  <w:tcBorders>
                    <w:tl2br w:val="nil"/>
                    <w:tr2bl w:val="nil"/>
                  </w:tcBorders>
                  <w:shd w:val="clear" w:color="auto" w:fill="auto"/>
                  <w:vAlign w:val="center"/>
                </w:tcPr>
                <w:p w14:paraId="55A56F6C">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rPr>
                    <w:t>W</w:t>
                  </w:r>
                  <w:r>
                    <w:rPr>
                      <w:rFonts w:hint="default" w:ascii="Times New Roman" w:hAnsi="Times New Roman" w:eastAsia="宋体" w:cs="Times New Roman"/>
                      <w:b w:val="0"/>
                      <w:bCs/>
                      <w:color w:val="auto"/>
                      <w:lang w:val="en-US" w:eastAsia="zh-CN"/>
                    </w:rPr>
                    <w:t>1</w:t>
                  </w:r>
                </w:p>
              </w:tc>
              <w:tc>
                <w:tcPr>
                  <w:tcW w:w="756" w:type="pct"/>
                  <w:tcBorders>
                    <w:tl2br w:val="nil"/>
                    <w:tr2bl w:val="nil"/>
                  </w:tcBorders>
                  <w:shd w:val="clear" w:color="auto" w:fill="auto"/>
                  <w:vAlign w:val="center"/>
                </w:tcPr>
                <w:p w14:paraId="61660DF2">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lang w:val="en-US" w:eastAsia="zh-CN"/>
                    </w:rPr>
                    <w:t>pH、</w:t>
                  </w:r>
                  <w:r>
                    <w:rPr>
                      <w:rFonts w:hint="default" w:ascii="Times New Roman" w:hAnsi="Times New Roman" w:eastAsia="宋体" w:cs="Times New Roman"/>
                      <w:b w:val="0"/>
                      <w:bCs/>
                      <w:color w:val="auto"/>
                    </w:rPr>
                    <w:t>SS</w:t>
                  </w:r>
                </w:p>
              </w:tc>
              <w:tc>
                <w:tcPr>
                  <w:tcW w:w="1344" w:type="pct"/>
                  <w:tcBorders>
                    <w:tl2br w:val="nil"/>
                    <w:tr2bl w:val="nil"/>
                  </w:tcBorders>
                  <w:shd w:val="clear" w:color="auto" w:fill="auto"/>
                  <w:vAlign w:val="center"/>
                </w:tcPr>
                <w:p w14:paraId="55EB35B4">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rPr>
                    <w:t>沉淀池沉淀循环利用</w:t>
                  </w:r>
                </w:p>
              </w:tc>
            </w:tr>
            <w:tr w14:paraId="12361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7D3DF445">
                  <w:pPr>
                    <w:pStyle w:val="62"/>
                    <w:rPr>
                      <w:rFonts w:hint="default" w:ascii="Times New Roman" w:hAnsi="Times New Roman" w:eastAsia="宋体" w:cs="Times New Roman"/>
                      <w:b w:val="0"/>
                      <w:bCs/>
                      <w:color w:val="auto"/>
                    </w:rPr>
                  </w:pPr>
                </w:p>
              </w:tc>
              <w:tc>
                <w:tcPr>
                  <w:tcW w:w="1045" w:type="pct"/>
                  <w:tcBorders>
                    <w:tl2br w:val="nil"/>
                    <w:tr2bl w:val="nil"/>
                  </w:tcBorders>
                  <w:shd w:val="clear" w:color="auto" w:fill="auto"/>
                  <w:vAlign w:val="center"/>
                </w:tcPr>
                <w:p w14:paraId="796DFBD8">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lang w:val="en-US" w:eastAsia="zh-CN"/>
                    </w:rPr>
                    <w:t>/</w:t>
                  </w:r>
                </w:p>
              </w:tc>
              <w:tc>
                <w:tcPr>
                  <w:tcW w:w="1045" w:type="pct"/>
                  <w:tcBorders>
                    <w:tl2br w:val="nil"/>
                    <w:tr2bl w:val="nil"/>
                  </w:tcBorders>
                  <w:shd w:val="clear" w:color="auto" w:fill="auto"/>
                  <w:vAlign w:val="center"/>
                </w:tcPr>
                <w:p w14:paraId="141064B1">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rPr>
                    <w:t>生活污水</w:t>
                  </w:r>
                </w:p>
              </w:tc>
              <w:tc>
                <w:tcPr>
                  <w:tcW w:w="522" w:type="pct"/>
                  <w:tcBorders>
                    <w:tl2br w:val="nil"/>
                    <w:tr2bl w:val="nil"/>
                  </w:tcBorders>
                  <w:shd w:val="clear" w:color="auto" w:fill="auto"/>
                  <w:vAlign w:val="center"/>
                </w:tcPr>
                <w:p w14:paraId="03C0847D">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rPr>
                    <w:t>W</w:t>
                  </w:r>
                  <w:r>
                    <w:rPr>
                      <w:rFonts w:hint="default" w:ascii="Times New Roman" w:hAnsi="Times New Roman" w:eastAsia="宋体" w:cs="Times New Roman"/>
                      <w:b w:val="0"/>
                      <w:bCs/>
                      <w:color w:val="auto"/>
                      <w:lang w:val="en-US" w:eastAsia="zh-CN"/>
                    </w:rPr>
                    <w:t>2</w:t>
                  </w:r>
                </w:p>
              </w:tc>
              <w:tc>
                <w:tcPr>
                  <w:tcW w:w="756" w:type="pct"/>
                  <w:tcBorders>
                    <w:tl2br w:val="nil"/>
                    <w:tr2bl w:val="nil"/>
                  </w:tcBorders>
                  <w:shd w:val="clear" w:color="auto" w:fill="auto"/>
                  <w:vAlign w:val="center"/>
                </w:tcPr>
                <w:p w14:paraId="232295C5">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val="0"/>
                      <w:color w:val="auto"/>
                      <w:sz w:val="21"/>
                      <w:szCs w:val="21"/>
                      <w:lang w:val="en-US" w:eastAsia="zh-CN"/>
                    </w:rPr>
                    <w:t>pH、</w:t>
                  </w:r>
                  <w:r>
                    <w:rPr>
                      <w:rFonts w:hint="default" w:ascii="Times New Roman" w:hAnsi="Times New Roman" w:eastAsia="宋体" w:cs="Times New Roman"/>
                      <w:b w:val="0"/>
                      <w:bCs/>
                      <w:color w:val="auto"/>
                    </w:rPr>
                    <w:t>COD、BOD</w:t>
                  </w:r>
                  <w:r>
                    <w:rPr>
                      <w:rFonts w:hint="default" w:ascii="Times New Roman" w:hAnsi="Times New Roman" w:eastAsia="宋体" w:cs="Times New Roman"/>
                      <w:b w:val="0"/>
                      <w:bCs/>
                      <w:color w:val="auto"/>
                      <w:vertAlign w:val="subscript"/>
                    </w:rPr>
                    <w:t>5</w:t>
                  </w:r>
                  <w:r>
                    <w:rPr>
                      <w:rFonts w:hint="default" w:ascii="Times New Roman" w:hAnsi="Times New Roman" w:eastAsia="宋体" w:cs="Times New Roman"/>
                      <w:b w:val="0"/>
                      <w:bCs/>
                      <w:color w:val="auto"/>
                    </w:rPr>
                    <w:t>、NH</w:t>
                  </w:r>
                  <w:r>
                    <w:rPr>
                      <w:rFonts w:hint="default" w:ascii="Times New Roman" w:hAnsi="Times New Roman" w:eastAsia="宋体" w:cs="Times New Roman"/>
                      <w:b w:val="0"/>
                      <w:bCs/>
                      <w:color w:val="auto"/>
                      <w:vertAlign w:val="subscript"/>
                    </w:rPr>
                    <w:t>3</w:t>
                  </w:r>
                  <w:r>
                    <w:rPr>
                      <w:rFonts w:hint="default" w:ascii="Times New Roman" w:hAnsi="Times New Roman" w:eastAsia="宋体" w:cs="Times New Roman"/>
                      <w:b w:val="0"/>
                      <w:bCs/>
                      <w:color w:val="auto"/>
                    </w:rPr>
                    <w:t>-N</w:t>
                  </w:r>
                </w:p>
              </w:tc>
              <w:tc>
                <w:tcPr>
                  <w:tcW w:w="1344" w:type="pct"/>
                  <w:tcBorders>
                    <w:tl2br w:val="nil"/>
                    <w:tr2bl w:val="nil"/>
                  </w:tcBorders>
                  <w:shd w:val="clear" w:color="auto" w:fill="auto"/>
                  <w:vAlign w:val="center"/>
                </w:tcPr>
                <w:p w14:paraId="3919D11A">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kern w:val="2"/>
                      <w:sz w:val="21"/>
                      <w:szCs w:val="20"/>
                      <w:lang w:val="en-US" w:eastAsia="zh-CN" w:bidi="ar-SA"/>
                    </w:rPr>
                    <w:t>经化粪池处理后，排入收集池存放，采用槽罐车定期送至</w:t>
                  </w:r>
                  <w:r>
                    <w:rPr>
                      <w:rFonts w:hint="eastAsia" w:ascii="Times New Roman" w:hAnsi="Times New Roman" w:eastAsia="宋体" w:cs="Times New Roman"/>
                      <w:b w:val="0"/>
                      <w:bCs/>
                      <w:color w:val="auto"/>
                      <w:kern w:val="2"/>
                      <w:sz w:val="21"/>
                      <w:szCs w:val="20"/>
                      <w:lang w:val="en-US" w:eastAsia="zh-CN" w:bidi="ar-SA"/>
                    </w:rPr>
                    <w:t>东至县国祯污水处理厂</w:t>
                  </w:r>
                  <w:r>
                    <w:rPr>
                      <w:rFonts w:hint="default" w:ascii="Times New Roman" w:hAnsi="Times New Roman" w:eastAsia="宋体" w:cs="Times New Roman"/>
                      <w:b w:val="0"/>
                      <w:bCs/>
                      <w:color w:val="auto"/>
                      <w:kern w:val="2"/>
                      <w:sz w:val="21"/>
                      <w:szCs w:val="20"/>
                      <w:lang w:val="en-US" w:eastAsia="zh-CN" w:bidi="ar-SA"/>
                    </w:rPr>
                    <w:t>处置</w:t>
                  </w:r>
                </w:p>
              </w:tc>
            </w:tr>
            <w:tr w14:paraId="70E0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710C4A1D">
                  <w:pPr>
                    <w:pStyle w:val="62"/>
                    <w:rPr>
                      <w:rFonts w:hint="default" w:ascii="Times New Roman" w:hAnsi="Times New Roman" w:eastAsia="宋体" w:cs="Times New Roman"/>
                      <w:b w:val="0"/>
                      <w:bCs/>
                      <w:color w:val="auto"/>
                    </w:rPr>
                  </w:pPr>
                </w:p>
              </w:tc>
              <w:tc>
                <w:tcPr>
                  <w:tcW w:w="1045" w:type="pct"/>
                  <w:tcBorders>
                    <w:tl2br w:val="nil"/>
                    <w:tr2bl w:val="nil"/>
                  </w:tcBorders>
                  <w:shd w:val="clear" w:color="auto" w:fill="auto"/>
                  <w:vAlign w:val="center"/>
                </w:tcPr>
                <w:p w14:paraId="7597C4D4">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lang w:val="en-US" w:eastAsia="zh-CN"/>
                    </w:rPr>
                    <w:t>/</w:t>
                  </w:r>
                </w:p>
              </w:tc>
              <w:tc>
                <w:tcPr>
                  <w:tcW w:w="1045" w:type="pct"/>
                  <w:tcBorders>
                    <w:tl2br w:val="nil"/>
                    <w:tr2bl w:val="nil"/>
                  </w:tcBorders>
                  <w:shd w:val="clear" w:color="auto" w:fill="auto"/>
                  <w:vAlign w:val="center"/>
                </w:tcPr>
                <w:p w14:paraId="2780B4AD">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rPr>
                    <w:t>搅拌机、地面冲洗废水</w:t>
                  </w:r>
                </w:p>
              </w:tc>
              <w:tc>
                <w:tcPr>
                  <w:tcW w:w="522" w:type="pct"/>
                  <w:tcBorders>
                    <w:tl2br w:val="nil"/>
                    <w:tr2bl w:val="nil"/>
                  </w:tcBorders>
                  <w:shd w:val="clear" w:color="auto" w:fill="auto"/>
                  <w:vAlign w:val="center"/>
                </w:tcPr>
                <w:p w14:paraId="58B03059">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rPr>
                    <w:t>W</w:t>
                  </w:r>
                  <w:r>
                    <w:rPr>
                      <w:rFonts w:hint="default" w:ascii="Times New Roman" w:hAnsi="Times New Roman" w:eastAsia="宋体" w:cs="Times New Roman"/>
                      <w:b w:val="0"/>
                      <w:bCs/>
                      <w:color w:val="auto"/>
                      <w:lang w:val="en-US" w:eastAsia="zh-CN"/>
                    </w:rPr>
                    <w:t>3</w:t>
                  </w:r>
                </w:p>
              </w:tc>
              <w:tc>
                <w:tcPr>
                  <w:tcW w:w="756" w:type="pct"/>
                  <w:tcBorders>
                    <w:tl2br w:val="nil"/>
                    <w:tr2bl w:val="nil"/>
                  </w:tcBorders>
                  <w:shd w:val="clear" w:color="auto" w:fill="auto"/>
                  <w:vAlign w:val="center"/>
                </w:tcPr>
                <w:p w14:paraId="319230E3">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lang w:val="en-US" w:eastAsia="zh-CN"/>
                    </w:rPr>
                    <w:t>pH、</w:t>
                  </w:r>
                  <w:r>
                    <w:rPr>
                      <w:rFonts w:hint="default" w:ascii="Times New Roman" w:hAnsi="Times New Roman" w:eastAsia="宋体" w:cs="Times New Roman"/>
                      <w:b w:val="0"/>
                      <w:bCs/>
                      <w:color w:val="auto"/>
                    </w:rPr>
                    <w:t>SS</w:t>
                  </w:r>
                </w:p>
              </w:tc>
              <w:tc>
                <w:tcPr>
                  <w:tcW w:w="1344" w:type="pct"/>
                  <w:tcBorders>
                    <w:tl2br w:val="nil"/>
                    <w:tr2bl w:val="nil"/>
                  </w:tcBorders>
                  <w:shd w:val="clear" w:color="auto" w:fill="auto"/>
                  <w:vAlign w:val="center"/>
                </w:tcPr>
                <w:p w14:paraId="4623ABFF">
                  <w:pPr>
                    <w:pStyle w:val="62"/>
                    <w:ind w:left="0" w:leftChars="0" w:firstLine="0" w:firstLineChars="0"/>
                    <w:rPr>
                      <w:rFonts w:hint="default" w:ascii="Times New Roman" w:hAnsi="Times New Roman" w:eastAsia="宋体" w:cs="Times New Roman"/>
                      <w:b w:val="0"/>
                      <w:bCs/>
                      <w:color w:val="auto"/>
                      <w:kern w:val="2"/>
                      <w:sz w:val="21"/>
                      <w:szCs w:val="20"/>
                      <w:lang w:val="en-US" w:eastAsia="zh-CN" w:bidi="ar-SA"/>
                    </w:rPr>
                  </w:pPr>
                  <w:r>
                    <w:rPr>
                      <w:rFonts w:hint="default" w:ascii="Times New Roman" w:hAnsi="Times New Roman" w:eastAsia="宋体" w:cs="Times New Roman"/>
                      <w:b w:val="0"/>
                      <w:bCs/>
                      <w:color w:val="auto"/>
                    </w:rPr>
                    <w:t>沉淀池沉淀后回用于生产</w:t>
                  </w:r>
                </w:p>
              </w:tc>
            </w:tr>
            <w:tr w14:paraId="65A7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restart"/>
                  <w:tcBorders>
                    <w:tl2br w:val="nil"/>
                    <w:tr2bl w:val="nil"/>
                  </w:tcBorders>
                  <w:vAlign w:val="center"/>
                </w:tcPr>
                <w:p w14:paraId="0E8BA389">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固废</w:t>
                  </w:r>
                </w:p>
              </w:tc>
              <w:tc>
                <w:tcPr>
                  <w:tcW w:w="1045" w:type="pct"/>
                  <w:tcBorders>
                    <w:tl2br w:val="nil"/>
                    <w:tr2bl w:val="nil"/>
                  </w:tcBorders>
                  <w:vAlign w:val="center"/>
                </w:tcPr>
                <w:p w14:paraId="786EEFB0">
                  <w:pPr>
                    <w:pStyle w:val="62"/>
                    <w:ind w:firstLine="0" w:firstLineChars="0"/>
                    <w:rPr>
                      <w:rFonts w:hint="default" w:ascii="Times New Roman" w:hAnsi="Times New Roman" w:eastAsia="宋体" w:cs="Times New Roman"/>
                      <w:b w:val="0"/>
                      <w:bCs/>
                      <w:color w:val="auto"/>
                      <w:lang w:val="en-US"/>
                    </w:rPr>
                  </w:pPr>
                  <w:r>
                    <w:rPr>
                      <w:rFonts w:hint="default" w:ascii="Times New Roman" w:hAnsi="Times New Roman" w:eastAsia="宋体" w:cs="Times New Roman"/>
                      <w:b w:val="0"/>
                      <w:bCs/>
                      <w:color w:val="auto"/>
                      <w:lang w:val="en-US" w:eastAsia="zh-CN"/>
                    </w:rPr>
                    <w:t>破碎、筛分</w:t>
                  </w:r>
                </w:p>
              </w:tc>
              <w:tc>
                <w:tcPr>
                  <w:tcW w:w="1045" w:type="pct"/>
                  <w:vMerge w:val="restart"/>
                  <w:tcBorders>
                    <w:tl2br w:val="nil"/>
                    <w:tr2bl w:val="nil"/>
                  </w:tcBorders>
                  <w:vAlign w:val="center"/>
                </w:tcPr>
                <w:p w14:paraId="36854415">
                  <w:pPr>
                    <w:pStyle w:val="62"/>
                    <w:rPr>
                      <w:rFonts w:hint="default" w:ascii="Times New Roman" w:hAnsi="Times New Roman" w:eastAsia="宋体" w:cs="Times New Roman"/>
                      <w:b w:val="0"/>
                      <w:bCs/>
                      <w:color w:val="auto"/>
                      <w:highlight w:val="yellow"/>
                      <w:lang w:val="en-US" w:eastAsia="zh-CN"/>
                    </w:rPr>
                  </w:pPr>
                  <w:r>
                    <w:rPr>
                      <w:rFonts w:hint="default" w:ascii="Times New Roman" w:hAnsi="Times New Roman" w:eastAsia="宋体" w:cs="Times New Roman"/>
                      <w:b w:val="0"/>
                      <w:bCs/>
                      <w:color w:val="auto"/>
                      <w:highlight w:val="none"/>
                      <w:lang w:val="en-US" w:eastAsia="zh-CN"/>
                    </w:rPr>
                    <w:t>分选</w:t>
                  </w:r>
                </w:p>
              </w:tc>
              <w:tc>
                <w:tcPr>
                  <w:tcW w:w="522" w:type="pct"/>
                  <w:tcBorders>
                    <w:tl2br w:val="nil"/>
                    <w:tr2bl w:val="nil"/>
                  </w:tcBorders>
                  <w:vAlign w:val="center"/>
                </w:tcPr>
                <w:p w14:paraId="57A3FC46">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S</w:t>
                  </w:r>
                  <w:r>
                    <w:rPr>
                      <w:rFonts w:hint="default" w:ascii="Times New Roman" w:hAnsi="Times New Roman" w:eastAsia="宋体" w:cs="Times New Roman"/>
                      <w:b w:val="0"/>
                      <w:bCs/>
                      <w:color w:val="auto"/>
                      <w:lang w:val="en-US" w:eastAsia="zh-CN"/>
                    </w:rPr>
                    <w:t>1</w:t>
                  </w:r>
                </w:p>
              </w:tc>
              <w:tc>
                <w:tcPr>
                  <w:tcW w:w="756" w:type="pct"/>
                  <w:tcBorders>
                    <w:tl2br w:val="nil"/>
                    <w:tr2bl w:val="nil"/>
                  </w:tcBorders>
                  <w:vAlign w:val="center"/>
                </w:tcPr>
                <w:p w14:paraId="455E62B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轻物质（废塑料等）</w:t>
                  </w:r>
                </w:p>
              </w:tc>
              <w:tc>
                <w:tcPr>
                  <w:tcW w:w="1344" w:type="pct"/>
                  <w:tcBorders>
                    <w:tl2br w:val="nil"/>
                    <w:tr2bl w:val="nil"/>
                  </w:tcBorders>
                  <w:vAlign w:val="center"/>
                </w:tcPr>
                <w:p w14:paraId="3D1B483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外售</w:t>
                  </w:r>
                </w:p>
              </w:tc>
            </w:tr>
            <w:tr w14:paraId="6464D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3346FD64">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077A644E">
                  <w:pPr>
                    <w:pStyle w:val="62"/>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破碎筛分</w:t>
                  </w:r>
                </w:p>
              </w:tc>
              <w:tc>
                <w:tcPr>
                  <w:tcW w:w="1045" w:type="pct"/>
                  <w:vMerge w:val="continue"/>
                  <w:tcBorders>
                    <w:tl2br w:val="nil"/>
                    <w:tr2bl w:val="nil"/>
                  </w:tcBorders>
                  <w:vAlign w:val="center"/>
                </w:tcPr>
                <w:p w14:paraId="7E327494">
                  <w:pPr>
                    <w:pStyle w:val="62"/>
                    <w:rPr>
                      <w:rFonts w:hint="default" w:ascii="Times New Roman" w:hAnsi="Times New Roman" w:eastAsia="宋体" w:cs="Times New Roman"/>
                      <w:b w:val="0"/>
                      <w:bCs/>
                      <w:color w:val="auto"/>
                      <w:highlight w:val="yellow"/>
                    </w:rPr>
                  </w:pPr>
                </w:p>
              </w:tc>
              <w:tc>
                <w:tcPr>
                  <w:tcW w:w="522" w:type="pct"/>
                  <w:tcBorders>
                    <w:tl2br w:val="nil"/>
                    <w:tr2bl w:val="nil"/>
                  </w:tcBorders>
                  <w:vAlign w:val="center"/>
                </w:tcPr>
                <w:p w14:paraId="1D1A1AFF">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S</w:t>
                  </w:r>
                  <w:r>
                    <w:rPr>
                      <w:rFonts w:hint="default" w:ascii="Times New Roman" w:hAnsi="Times New Roman" w:eastAsia="宋体" w:cs="Times New Roman"/>
                      <w:b w:val="0"/>
                      <w:bCs/>
                      <w:color w:val="auto"/>
                      <w:lang w:val="en-US" w:eastAsia="zh-CN"/>
                    </w:rPr>
                    <w:t>1</w:t>
                  </w:r>
                </w:p>
              </w:tc>
              <w:tc>
                <w:tcPr>
                  <w:tcW w:w="756" w:type="pct"/>
                  <w:tcBorders>
                    <w:tl2br w:val="nil"/>
                    <w:tr2bl w:val="nil"/>
                  </w:tcBorders>
                  <w:vAlign w:val="center"/>
                </w:tcPr>
                <w:p w14:paraId="27F2707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其他废物（废玻璃等）</w:t>
                  </w:r>
                </w:p>
              </w:tc>
              <w:tc>
                <w:tcPr>
                  <w:tcW w:w="1344" w:type="pct"/>
                  <w:tcBorders>
                    <w:tl2br w:val="nil"/>
                    <w:tr2bl w:val="nil"/>
                  </w:tcBorders>
                  <w:vAlign w:val="center"/>
                </w:tcPr>
                <w:p w14:paraId="224C447B">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外售</w:t>
                  </w:r>
                </w:p>
              </w:tc>
            </w:tr>
            <w:tr w14:paraId="798C0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47F1F3F1">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59FA18CD">
                  <w:pPr>
                    <w:pStyle w:val="62"/>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筛分</w:t>
                  </w:r>
                </w:p>
              </w:tc>
              <w:tc>
                <w:tcPr>
                  <w:tcW w:w="1045" w:type="pct"/>
                  <w:tcBorders>
                    <w:tl2br w:val="nil"/>
                    <w:tr2bl w:val="nil"/>
                  </w:tcBorders>
                  <w:vAlign w:val="center"/>
                </w:tcPr>
                <w:p w14:paraId="4E6D138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磁选</w:t>
                  </w:r>
                </w:p>
              </w:tc>
              <w:tc>
                <w:tcPr>
                  <w:tcW w:w="522" w:type="pct"/>
                  <w:tcBorders>
                    <w:tl2br w:val="nil"/>
                    <w:tr2bl w:val="nil"/>
                  </w:tcBorders>
                  <w:vAlign w:val="center"/>
                </w:tcPr>
                <w:p w14:paraId="4B4ACF52">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S</w:t>
                  </w:r>
                  <w:r>
                    <w:rPr>
                      <w:rFonts w:hint="default" w:ascii="Times New Roman" w:hAnsi="Times New Roman" w:eastAsia="宋体" w:cs="Times New Roman"/>
                      <w:b w:val="0"/>
                      <w:bCs/>
                      <w:color w:val="auto"/>
                      <w:lang w:val="en-US" w:eastAsia="zh-CN"/>
                    </w:rPr>
                    <w:t>2</w:t>
                  </w:r>
                </w:p>
              </w:tc>
              <w:tc>
                <w:tcPr>
                  <w:tcW w:w="756" w:type="pct"/>
                  <w:tcBorders>
                    <w:tl2br w:val="nil"/>
                    <w:tr2bl w:val="nil"/>
                  </w:tcBorders>
                  <w:vAlign w:val="center"/>
                </w:tcPr>
                <w:p w14:paraId="6771A79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废金属</w:t>
                  </w:r>
                </w:p>
              </w:tc>
              <w:tc>
                <w:tcPr>
                  <w:tcW w:w="1344" w:type="pct"/>
                  <w:tcBorders>
                    <w:tl2br w:val="nil"/>
                    <w:tr2bl w:val="nil"/>
                  </w:tcBorders>
                  <w:vAlign w:val="center"/>
                </w:tcPr>
                <w:p w14:paraId="663B590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外售</w:t>
                  </w:r>
                </w:p>
              </w:tc>
            </w:tr>
            <w:tr w14:paraId="5C98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6D52BFF2">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03FDF0C9">
                  <w:pPr>
                    <w:pStyle w:val="62"/>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筛分</w:t>
                  </w:r>
                </w:p>
              </w:tc>
              <w:tc>
                <w:tcPr>
                  <w:tcW w:w="1045" w:type="pct"/>
                  <w:tcBorders>
                    <w:tl2br w:val="nil"/>
                    <w:tr2bl w:val="nil"/>
                  </w:tcBorders>
                  <w:vAlign w:val="center"/>
                </w:tcPr>
                <w:p w14:paraId="2BA1A8AB">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筛分</w:t>
                  </w:r>
                </w:p>
              </w:tc>
              <w:tc>
                <w:tcPr>
                  <w:tcW w:w="522" w:type="pct"/>
                  <w:tcBorders>
                    <w:tl2br w:val="nil"/>
                    <w:tr2bl w:val="nil"/>
                  </w:tcBorders>
                  <w:vAlign w:val="center"/>
                </w:tcPr>
                <w:p w14:paraId="725904BB">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S3</w:t>
                  </w:r>
                </w:p>
              </w:tc>
              <w:tc>
                <w:tcPr>
                  <w:tcW w:w="756" w:type="pct"/>
                  <w:tcBorders>
                    <w:tl2br w:val="nil"/>
                    <w:tr2bl w:val="nil"/>
                  </w:tcBorders>
                  <w:vAlign w:val="center"/>
                </w:tcPr>
                <w:p w14:paraId="3F96ACA9">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渣土</w:t>
                  </w:r>
                </w:p>
              </w:tc>
              <w:tc>
                <w:tcPr>
                  <w:tcW w:w="1344" w:type="pct"/>
                  <w:tcBorders>
                    <w:tl2br w:val="nil"/>
                    <w:tr2bl w:val="nil"/>
                  </w:tcBorders>
                  <w:vAlign w:val="center"/>
                </w:tcPr>
                <w:p w14:paraId="03A8834B">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综合利用</w:t>
                  </w:r>
                </w:p>
              </w:tc>
            </w:tr>
            <w:tr w14:paraId="6ABB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490C2C2F">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2528C59A">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w:t>
                  </w:r>
                </w:p>
              </w:tc>
              <w:tc>
                <w:tcPr>
                  <w:tcW w:w="1045" w:type="pct"/>
                  <w:tcBorders>
                    <w:tl2br w:val="nil"/>
                    <w:tr2bl w:val="nil"/>
                  </w:tcBorders>
                  <w:vAlign w:val="center"/>
                </w:tcPr>
                <w:p w14:paraId="6D4C2F7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布袋除尘器灰</w:t>
                  </w:r>
                </w:p>
              </w:tc>
              <w:tc>
                <w:tcPr>
                  <w:tcW w:w="522" w:type="pct"/>
                  <w:tcBorders>
                    <w:tl2br w:val="nil"/>
                    <w:tr2bl w:val="nil"/>
                  </w:tcBorders>
                  <w:vAlign w:val="center"/>
                </w:tcPr>
                <w:p w14:paraId="2C7D6BC3">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S</w:t>
                  </w:r>
                  <w:r>
                    <w:rPr>
                      <w:rFonts w:hint="default" w:ascii="Times New Roman" w:hAnsi="Times New Roman" w:eastAsia="宋体" w:cs="Times New Roman"/>
                      <w:b w:val="0"/>
                      <w:bCs/>
                      <w:color w:val="auto"/>
                      <w:lang w:val="en-US" w:eastAsia="zh-CN"/>
                    </w:rPr>
                    <w:t>4</w:t>
                  </w:r>
                </w:p>
              </w:tc>
              <w:tc>
                <w:tcPr>
                  <w:tcW w:w="756" w:type="pct"/>
                  <w:tcBorders>
                    <w:tl2br w:val="nil"/>
                    <w:tr2bl w:val="nil"/>
                  </w:tcBorders>
                  <w:vAlign w:val="center"/>
                </w:tcPr>
                <w:p w14:paraId="66E95C92">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除尘器收集粉尘</w:t>
                  </w:r>
                </w:p>
              </w:tc>
              <w:tc>
                <w:tcPr>
                  <w:tcW w:w="1344" w:type="pct"/>
                  <w:tcBorders>
                    <w:tl2br w:val="nil"/>
                    <w:tr2bl w:val="nil"/>
                  </w:tcBorders>
                  <w:vAlign w:val="center"/>
                </w:tcPr>
                <w:p w14:paraId="24914B79">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综合利用</w:t>
                  </w:r>
                </w:p>
              </w:tc>
            </w:tr>
            <w:tr w14:paraId="2BC1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636A5652">
                  <w:pPr>
                    <w:pStyle w:val="62"/>
                    <w:rPr>
                      <w:rFonts w:hint="default" w:ascii="Times New Roman" w:hAnsi="Times New Roman" w:eastAsia="宋体" w:cs="Times New Roman"/>
                      <w:b w:val="0"/>
                      <w:bCs/>
                      <w:color w:val="auto"/>
                    </w:rPr>
                  </w:pPr>
                </w:p>
              </w:tc>
              <w:tc>
                <w:tcPr>
                  <w:tcW w:w="1045" w:type="pct"/>
                  <w:vMerge w:val="restart"/>
                  <w:tcBorders>
                    <w:tl2br w:val="nil"/>
                    <w:tr2bl w:val="nil"/>
                  </w:tcBorders>
                  <w:vAlign w:val="center"/>
                </w:tcPr>
                <w:p w14:paraId="1C1171E9">
                  <w:pPr>
                    <w:pStyle w:val="62"/>
                    <w:ind w:firstLine="0" w:firstLineChars="0"/>
                    <w:rPr>
                      <w:rFonts w:hint="default" w:ascii="Times New Roman" w:hAnsi="Times New Roman" w:eastAsia="宋体" w:cs="Times New Roman"/>
                      <w:b w:val="0"/>
                      <w:bCs/>
                      <w:color w:val="auto"/>
                      <w:lang w:val="en-US"/>
                    </w:rPr>
                  </w:pPr>
                  <w:r>
                    <w:rPr>
                      <w:rFonts w:hint="default" w:ascii="Times New Roman" w:hAnsi="Times New Roman" w:eastAsia="宋体" w:cs="Times New Roman"/>
                      <w:b w:val="0"/>
                      <w:bCs/>
                      <w:color w:val="auto"/>
                      <w:lang w:val="en-US" w:eastAsia="zh-CN"/>
                    </w:rPr>
                    <w:t>设备维修</w:t>
                  </w:r>
                </w:p>
              </w:tc>
              <w:tc>
                <w:tcPr>
                  <w:tcW w:w="1045" w:type="pct"/>
                  <w:tcBorders>
                    <w:tl2br w:val="nil"/>
                    <w:tr2bl w:val="nil"/>
                  </w:tcBorders>
                  <w:vAlign w:val="center"/>
                </w:tcPr>
                <w:p w14:paraId="26785601">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废</w:t>
                  </w:r>
                  <w:r>
                    <w:rPr>
                      <w:rFonts w:hint="default" w:ascii="Times New Roman" w:hAnsi="Times New Roman" w:eastAsia="宋体" w:cs="Times New Roman"/>
                      <w:b w:val="0"/>
                      <w:bCs/>
                      <w:color w:val="auto"/>
                      <w:lang w:val="en-US" w:eastAsia="zh-CN"/>
                    </w:rPr>
                    <w:t>机油</w:t>
                  </w:r>
                </w:p>
              </w:tc>
              <w:tc>
                <w:tcPr>
                  <w:tcW w:w="522" w:type="pct"/>
                  <w:tcBorders>
                    <w:tl2br w:val="nil"/>
                    <w:tr2bl w:val="nil"/>
                  </w:tcBorders>
                  <w:vAlign w:val="center"/>
                </w:tcPr>
                <w:p w14:paraId="5BC3A783">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S</w:t>
                  </w:r>
                  <w:r>
                    <w:rPr>
                      <w:rFonts w:hint="default" w:ascii="Times New Roman" w:hAnsi="Times New Roman" w:eastAsia="宋体" w:cs="Times New Roman"/>
                      <w:b w:val="0"/>
                      <w:bCs/>
                      <w:color w:val="auto"/>
                      <w:lang w:val="en-US" w:eastAsia="zh-CN"/>
                    </w:rPr>
                    <w:t>5</w:t>
                  </w:r>
                </w:p>
              </w:tc>
              <w:tc>
                <w:tcPr>
                  <w:tcW w:w="756" w:type="pct"/>
                  <w:tcBorders>
                    <w:tl2br w:val="nil"/>
                    <w:tr2bl w:val="nil"/>
                  </w:tcBorders>
                  <w:vAlign w:val="center"/>
                </w:tcPr>
                <w:p w14:paraId="747E0424">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废润滑油</w:t>
                  </w:r>
                </w:p>
              </w:tc>
              <w:tc>
                <w:tcPr>
                  <w:tcW w:w="1344" w:type="pct"/>
                  <w:vMerge w:val="restart"/>
                  <w:tcBorders>
                    <w:tl2br w:val="nil"/>
                    <w:tr2bl w:val="nil"/>
                  </w:tcBorders>
                  <w:vAlign w:val="center"/>
                </w:tcPr>
                <w:p w14:paraId="3E4AC2CD">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暂存危废暂存间，委托资质单位处置</w:t>
                  </w:r>
                </w:p>
              </w:tc>
            </w:tr>
            <w:tr w14:paraId="68177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03" w:hRule="atLeast"/>
                <w:jc w:val="center"/>
              </w:trPr>
              <w:tc>
                <w:tcPr>
                  <w:tcW w:w="285" w:type="pct"/>
                  <w:vMerge w:val="continue"/>
                  <w:tcBorders>
                    <w:tl2br w:val="nil"/>
                    <w:tr2bl w:val="nil"/>
                  </w:tcBorders>
                  <w:vAlign w:val="center"/>
                </w:tcPr>
                <w:p w14:paraId="1EAECCC9">
                  <w:pPr>
                    <w:pStyle w:val="62"/>
                    <w:rPr>
                      <w:rFonts w:hint="default" w:ascii="Times New Roman" w:hAnsi="Times New Roman" w:eastAsia="宋体" w:cs="Times New Roman"/>
                      <w:b w:val="0"/>
                      <w:bCs/>
                      <w:color w:val="auto"/>
                    </w:rPr>
                  </w:pPr>
                </w:p>
              </w:tc>
              <w:tc>
                <w:tcPr>
                  <w:tcW w:w="1045" w:type="pct"/>
                  <w:vMerge w:val="continue"/>
                  <w:tcBorders>
                    <w:tl2br w:val="nil"/>
                    <w:tr2bl w:val="nil"/>
                  </w:tcBorders>
                  <w:vAlign w:val="center"/>
                </w:tcPr>
                <w:p w14:paraId="1A3F4BEC">
                  <w:pPr>
                    <w:pStyle w:val="62"/>
                    <w:ind w:firstLine="0" w:firstLineChars="0"/>
                    <w:rPr>
                      <w:rFonts w:hint="default" w:ascii="Times New Roman" w:hAnsi="Times New Roman" w:eastAsia="宋体" w:cs="Times New Roman"/>
                      <w:b w:val="0"/>
                      <w:bCs/>
                      <w:color w:val="auto"/>
                    </w:rPr>
                  </w:pPr>
                </w:p>
              </w:tc>
              <w:tc>
                <w:tcPr>
                  <w:tcW w:w="1045" w:type="pct"/>
                  <w:tcBorders>
                    <w:tl2br w:val="nil"/>
                    <w:tr2bl w:val="nil"/>
                  </w:tcBorders>
                  <w:vAlign w:val="center"/>
                </w:tcPr>
                <w:p w14:paraId="59719A6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废</w:t>
                  </w:r>
                  <w:r>
                    <w:rPr>
                      <w:rFonts w:hint="default" w:ascii="Times New Roman" w:hAnsi="Times New Roman" w:eastAsia="宋体" w:cs="Times New Roman"/>
                      <w:b w:val="0"/>
                      <w:bCs/>
                      <w:color w:val="auto"/>
                      <w:lang w:val="en-US" w:eastAsia="zh-CN"/>
                    </w:rPr>
                    <w:t>机</w:t>
                  </w:r>
                  <w:r>
                    <w:rPr>
                      <w:rFonts w:hint="default" w:ascii="Times New Roman" w:hAnsi="Times New Roman" w:eastAsia="宋体" w:cs="Times New Roman"/>
                      <w:b w:val="0"/>
                      <w:bCs/>
                      <w:color w:val="auto"/>
                    </w:rPr>
                    <w:t>油桶</w:t>
                  </w:r>
                </w:p>
              </w:tc>
              <w:tc>
                <w:tcPr>
                  <w:tcW w:w="522" w:type="pct"/>
                  <w:tcBorders>
                    <w:tl2br w:val="nil"/>
                    <w:tr2bl w:val="nil"/>
                  </w:tcBorders>
                  <w:vAlign w:val="center"/>
                </w:tcPr>
                <w:p w14:paraId="6D15F5F5">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S</w:t>
                  </w:r>
                  <w:r>
                    <w:rPr>
                      <w:rFonts w:hint="default" w:ascii="Times New Roman" w:hAnsi="Times New Roman" w:eastAsia="宋体" w:cs="Times New Roman"/>
                      <w:b w:val="0"/>
                      <w:bCs/>
                      <w:color w:val="auto"/>
                      <w:lang w:val="en-US" w:eastAsia="zh-CN"/>
                    </w:rPr>
                    <w:t>6</w:t>
                  </w:r>
                </w:p>
              </w:tc>
              <w:tc>
                <w:tcPr>
                  <w:tcW w:w="756" w:type="pct"/>
                  <w:tcBorders>
                    <w:tl2br w:val="nil"/>
                    <w:tr2bl w:val="nil"/>
                  </w:tcBorders>
                  <w:vAlign w:val="center"/>
                </w:tcPr>
                <w:p w14:paraId="47DD0DE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废润滑油桶</w:t>
                  </w:r>
                </w:p>
              </w:tc>
              <w:tc>
                <w:tcPr>
                  <w:tcW w:w="1344" w:type="pct"/>
                  <w:vMerge w:val="continue"/>
                  <w:tcBorders>
                    <w:tl2br w:val="nil"/>
                    <w:tr2bl w:val="nil"/>
                  </w:tcBorders>
                  <w:vAlign w:val="center"/>
                </w:tcPr>
                <w:p w14:paraId="4FCBABB6">
                  <w:pPr>
                    <w:pStyle w:val="62"/>
                    <w:rPr>
                      <w:rFonts w:hint="default" w:ascii="Times New Roman" w:hAnsi="Times New Roman" w:eastAsia="宋体" w:cs="Times New Roman"/>
                      <w:b w:val="0"/>
                      <w:bCs/>
                      <w:color w:val="auto"/>
                    </w:rPr>
                  </w:pPr>
                </w:p>
              </w:tc>
            </w:tr>
            <w:tr w14:paraId="3A4B2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vMerge w:val="continue"/>
                  <w:tcBorders>
                    <w:tl2br w:val="nil"/>
                    <w:tr2bl w:val="nil"/>
                  </w:tcBorders>
                  <w:vAlign w:val="center"/>
                </w:tcPr>
                <w:p w14:paraId="2B40827E">
                  <w:pPr>
                    <w:pStyle w:val="62"/>
                    <w:rPr>
                      <w:rFonts w:hint="default" w:ascii="Times New Roman" w:hAnsi="Times New Roman" w:eastAsia="宋体" w:cs="Times New Roman"/>
                      <w:b w:val="0"/>
                      <w:bCs/>
                      <w:color w:val="auto"/>
                    </w:rPr>
                  </w:pPr>
                </w:p>
              </w:tc>
              <w:tc>
                <w:tcPr>
                  <w:tcW w:w="1045" w:type="pct"/>
                  <w:tcBorders>
                    <w:tl2br w:val="nil"/>
                    <w:tr2bl w:val="nil"/>
                  </w:tcBorders>
                  <w:vAlign w:val="center"/>
                </w:tcPr>
                <w:p w14:paraId="02DBE1E2">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w:t>
                  </w:r>
                </w:p>
              </w:tc>
              <w:tc>
                <w:tcPr>
                  <w:tcW w:w="1045" w:type="pct"/>
                  <w:tcBorders>
                    <w:tl2br w:val="nil"/>
                    <w:tr2bl w:val="nil"/>
                  </w:tcBorders>
                  <w:vAlign w:val="center"/>
                </w:tcPr>
                <w:p w14:paraId="5A19F56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生活垃圾</w:t>
                  </w:r>
                </w:p>
              </w:tc>
              <w:tc>
                <w:tcPr>
                  <w:tcW w:w="522" w:type="pct"/>
                  <w:tcBorders>
                    <w:tl2br w:val="nil"/>
                    <w:tr2bl w:val="nil"/>
                  </w:tcBorders>
                  <w:vAlign w:val="center"/>
                </w:tcPr>
                <w:p w14:paraId="565DED2C">
                  <w:pPr>
                    <w:pStyle w:val="62"/>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rPr>
                    <w:t>S</w:t>
                  </w:r>
                  <w:r>
                    <w:rPr>
                      <w:rFonts w:hint="default" w:ascii="Times New Roman" w:hAnsi="Times New Roman" w:eastAsia="宋体" w:cs="Times New Roman"/>
                      <w:b w:val="0"/>
                      <w:bCs/>
                      <w:color w:val="auto"/>
                      <w:lang w:val="en-US" w:eastAsia="zh-CN"/>
                    </w:rPr>
                    <w:t>7</w:t>
                  </w:r>
                </w:p>
              </w:tc>
              <w:tc>
                <w:tcPr>
                  <w:tcW w:w="756" w:type="pct"/>
                  <w:tcBorders>
                    <w:tl2br w:val="nil"/>
                    <w:tr2bl w:val="nil"/>
                  </w:tcBorders>
                  <w:vAlign w:val="center"/>
                </w:tcPr>
                <w:p w14:paraId="51DBFF4F">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生活垃圾</w:t>
                  </w:r>
                </w:p>
              </w:tc>
              <w:tc>
                <w:tcPr>
                  <w:tcW w:w="1344" w:type="pct"/>
                  <w:tcBorders>
                    <w:tl2br w:val="nil"/>
                    <w:tr2bl w:val="nil"/>
                  </w:tcBorders>
                  <w:vAlign w:val="center"/>
                </w:tcPr>
                <w:p w14:paraId="7ADF12C8">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环卫处理</w:t>
                  </w:r>
                </w:p>
              </w:tc>
            </w:tr>
            <w:tr w14:paraId="6FA9F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jc w:val="center"/>
              </w:trPr>
              <w:tc>
                <w:tcPr>
                  <w:tcW w:w="285" w:type="pct"/>
                  <w:tcBorders>
                    <w:tl2br w:val="nil"/>
                    <w:tr2bl w:val="nil"/>
                  </w:tcBorders>
                  <w:vAlign w:val="center"/>
                </w:tcPr>
                <w:p w14:paraId="235C5F2A">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噪声</w:t>
                  </w:r>
                </w:p>
              </w:tc>
              <w:tc>
                <w:tcPr>
                  <w:tcW w:w="1045" w:type="pct"/>
                  <w:tcBorders>
                    <w:tl2br w:val="nil"/>
                    <w:tr2bl w:val="nil"/>
                  </w:tcBorders>
                  <w:vAlign w:val="center"/>
                </w:tcPr>
                <w:p w14:paraId="3A28C2D2">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w:t>
                  </w:r>
                </w:p>
              </w:tc>
              <w:tc>
                <w:tcPr>
                  <w:tcW w:w="1045" w:type="pct"/>
                  <w:tcBorders>
                    <w:tl2br w:val="nil"/>
                    <w:tr2bl w:val="nil"/>
                  </w:tcBorders>
                  <w:vAlign w:val="center"/>
                </w:tcPr>
                <w:p w14:paraId="3B0C9913">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产噪设备</w:t>
                  </w:r>
                </w:p>
              </w:tc>
              <w:tc>
                <w:tcPr>
                  <w:tcW w:w="522" w:type="pct"/>
                  <w:tcBorders>
                    <w:tl2br w:val="nil"/>
                    <w:tr2bl w:val="nil"/>
                  </w:tcBorders>
                  <w:vAlign w:val="center"/>
                </w:tcPr>
                <w:p w14:paraId="5767BC6C">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N</w:t>
                  </w:r>
                </w:p>
              </w:tc>
              <w:tc>
                <w:tcPr>
                  <w:tcW w:w="756" w:type="pct"/>
                  <w:tcBorders>
                    <w:tl2br w:val="nil"/>
                    <w:tr2bl w:val="nil"/>
                  </w:tcBorders>
                  <w:vAlign w:val="center"/>
                </w:tcPr>
                <w:p w14:paraId="7658FFD0">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Leq（A）</w:t>
                  </w:r>
                </w:p>
              </w:tc>
              <w:tc>
                <w:tcPr>
                  <w:tcW w:w="1344" w:type="pct"/>
                  <w:tcBorders>
                    <w:tl2br w:val="nil"/>
                    <w:tr2bl w:val="nil"/>
                  </w:tcBorders>
                  <w:vAlign w:val="center"/>
                </w:tcPr>
                <w:p w14:paraId="5C22EC87">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厂房隔声、基础减振等</w:t>
                  </w:r>
                </w:p>
              </w:tc>
            </w:tr>
          </w:tbl>
          <w:p w14:paraId="79019A85">
            <w:pPr>
              <w:pStyle w:val="12"/>
              <w:keepNext w:val="0"/>
              <w:keepLines w:val="0"/>
              <w:pageBreakBefore w:val="0"/>
              <w:widowControl/>
              <w:kinsoku/>
              <w:wordWrap/>
              <w:overflowPunct/>
              <w:topLinePunct w:val="0"/>
              <w:autoSpaceDE/>
              <w:autoSpaceDN/>
              <w:bidi w:val="0"/>
              <w:adjustRightInd w:val="0"/>
              <w:snapToGrid w:val="0"/>
              <w:spacing w:before="0" w:after="0" w:line="240" w:lineRule="auto"/>
              <w:ind w:right="0"/>
              <w:textAlignment w:val="auto"/>
              <w:rPr>
                <w:rFonts w:hint="default" w:ascii="Times New Roman" w:hAnsi="Times New Roman" w:eastAsia="宋体" w:cs="Times New Roman"/>
                <w:color w:val="auto"/>
              </w:rPr>
            </w:pPr>
          </w:p>
          <w:p w14:paraId="24D51221">
            <w:pPr>
              <w:ind w:left="0" w:leftChars="0" w:firstLine="0" w:firstLineChars="0"/>
              <w:rPr>
                <w:rFonts w:hint="default" w:ascii="Times New Roman" w:hAnsi="Times New Roman" w:eastAsia="宋体" w:cs="Times New Roman"/>
                <w:color w:val="auto"/>
              </w:rPr>
            </w:pPr>
          </w:p>
        </w:tc>
      </w:tr>
      <w:tr w14:paraId="6B5DF4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vAlign w:val="center"/>
          </w:tcPr>
          <w:p w14:paraId="3506992D">
            <w:pPr>
              <w:adjustRightInd w:val="0"/>
              <w:snapToGrid w:val="0"/>
              <w:spacing w:line="240" w:lineRule="auto"/>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bCs/>
                <w:color w:val="auto"/>
              </w:rPr>
              <w:t>与项目有关的原有环境污染问题</w:t>
            </w:r>
          </w:p>
        </w:tc>
        <w:tc>
          <w:tcPr>
            <w:tcW w:w="8541" w:type="dxa"/>
            <w:vAlign w:val="center"/>
          </w:tcPr>
          <w:p w14:paraId="42175411">
            <w:pPr>
              <w:pStyle w:val="114"/>
              <w:ind w:firstLine="480"/>
              <w:rPr>
                <w:rFonts w:hint="default" w:ascii="Times New Roman" w:hAnsi="Times New Roman" w:eastAsia="宋体" w:cs="Times New Roman"/>
                <w:color w:val="auto"/>
              </w:rPr>
            </w:pPr>
          </w:p>
          <w:p w14:paraId="2B169DE1">
            <w:pPr>
              <w:pStyle w:val="114"/>
              <w:ind w:firstLine="480"/>
              <w:rPr>
                <w:rFonts w:hint="default" w:ascii="Times New Roman" w:hAnsi="Times New Roman" w:eastAsia="宋体" w:cs="Times New Roman"/>
                <w:bCs/>
                <w:color w:val="auto"/>
              </w:rPr>
            </w:pPr>
            <w:r>
              <w:rPr>
                <w:rFonts w:hint="default" w:ascii="Times New Roman" w:hAnsi="Times New Roman" w:eastAsia="宋体" w:cs="Times New Roman"/>
                <w:color w:val="auto"/>
              </w:rPr>
              <w:t>本项目为新建项目，无</w:t>
            </w:r>
            <w:r>
              <w:rPr>
                <w:rFonts w:hint="default" w:ascii="Times New Roman" w:hAnsi="Times New Roman" w:eastAsia="宋体" w:cs="Times New Roman"/>
                <w:bCs/>
                <w:color w:val="auto"/>
              </w:rPr>
              <w:t>与项目有关的原有环境污染问题。</w:t>
            </w:r>
          </w:p>
          <w:p w14:paraId="435F417D">
            <w:pPr>
              <w:pStyle w:val="114"/>
              <w:ind w:firstLine="480"/>
              <w:rPr>
                <w:rFonts w:hint="default" w:ascii="Times New Roman" w:hAnsi="Times New Roman" w:eastAsia="宋体" w:cs="Times New Roman"/>
                <w:bCs/>
                <w:color w:val="auto"/>
              </w:rPr>
            </w:pPr>
          </w:p>
          <w:p w14:paraId="13C5C694">
            <w:pPr>
              <w:pStyle w:val="114"/>
              <w:ind w:firstLine="480"/>
              <w:rPr>
                <w:rFonts w:hint="default" w:ascii="Times New Roman" w:hAnsi="Times New Roman" w:eastAsia="宋体" w:cs="Times New Roman"/>
                <w:bCs/>
                <w:color w:val="auto"/>
              </w:rPr>
            </w:pPr>
          </w:p>
          <w:p w14:paraId="047E3890">
            <w:pPr>
              <w:pStyle w:val="114"/>
              <w:ind w:firstLine="480"/>
              <w:rPr>
                <w:rFonts w:hint="default" w:ascii="Times New Roman" w:hAnsi="Times New Roman" w:eastAsia="宋体" w:cs="Times New Roman"/>
                <w:bCs/>
                <w:color w:val="auto"/>
              </w:rPr>
            </w:pPr>
          </w:p>
          <w:p w14:paraId="4DF5FC22">
            <w:pPr>
              <w:pStyle w:val="114"/>
              <w:ind w:firstLine="480"/>
              <w:rPr>
                <w:rFonts w:hint="default" w:ascii="Times New Roman" w:hAnsi="Times New Roman" w:eastAsia="宋体" w:cs="Times New Roman"/>
                <w:bCs/>
                <w:color w:val="auto"/>
              </w:rPr>
            </w:pPr>
          </w:p>
          <w:p w14:paraId="22E03BFB">
            <w:pPr>
              <w:pStyle w:val="114"/>
              <w:ind w:firstLine="480"/>
              <w:rPr>
                <w:rFonts w:hint="default" w:ascii="Times New Roman" w:hAnsi="Times New Roman" w:eastAsia="宋体" w:cs="Times New Roman"/>
                <w:bCs/>
                <w:color w:val="auto"/>
              </w:rPr>
            </w:pPr>
          </w:p>
          <w:p w14:paraId="7802193F">
            <w:pPr>
              <w:pStyle w:val="114"/>
              <w:ind w:firstLine="480"/>
              <w:rPr>
                <w:rFonts w:hint="default" w:ascii="Times New Roman" w:hAnsi="Times New Roman" w:eastAsia="宋体" w:cs="Times New Roman"/>
                <w:bCs/>
                <w:color w:val="auto"/>
              </w:rPr>
            </w:pPr>
          </w:p>
          <w:p w14:paraId="18FF85E2">
            <w:pPr>
              <w:pStyle w:val="114"/>
              <w:ind w:firstLine="480"/>
              <w:rPr>
                <w:rFonts w:hint="default" w:ascii="Times New Roman" w:hAnsi="Times New Roman" w:eastAsia="宋体" w:cs="Times New Roman"/>
                <w:bCs/>
                <w:color w:val="auto"/>
              </w:rPr>
            </w:pPr>
          </w:p>
          <w:p w14:paraId="26EF5878">
            <w:pPr>
              <w:pStyle w:val="114"/>
              <w:ind w:firstLine="480"/>
              <w:rPr>
                <w:rFonts w:hint="default" w:ascii="Times New Roman" w:hAnsi="Times New Roman" w:eastAsia="宋体" w:cs="Times New Roman"/>
                <w:bCs/>
                <w:color w:val="auto"/>
              </w:rPr>
            </w:pPr>
          </w:p>
          <w:p w14:paraId="039C6E2E">
            <w:pPr>
              <w:pStyle w:val="114"/>
              <w:ind w:firstLine="480"/>
              <w:rPr>
                <w:rFonts w:hint="default" w:ascii="Times New Roman" w:hAnsi="Times New Roman" w:eastAsia="宋体" w:cs="Times New Roman"/>
                <w:bCs/>
                <w:color w:val="auto"/>
              </w:rPr>
            </w:pPr>
          </w:p>
          <w:p w14:paraId="21BF1F1F">
            <w:pPr>
              <w:pStyle w:val="114"/>
              <w:ind w:firstLine="480"/>
              <w:rPr>
                <w:rFonts w:hint="default" w:ascii="Times New Roman" w:hAnsi="Times New Roman" w:eastAsia="宋体" w:cs="Times New Roman"/>
                <w:bCs/>
                <w:color w:val="auto"/>
              </w:rPr>
            </w:pPr>
          </w:p>
          <w:p w14:paraId="70A4A728">
            <w:pPr>
              <w:pStyle w:val="114"/>
              <w:ind w:firstLine="480"/>
              <w:rPr>
                <w:rFonts w:hint="default" w:ascii="Times New Roman" w:hAnsi="Times New Roman" w:eastAsia="宋体" w:cs="Times New Roman"/>
                <w:bCs/>
                <w:color w:val="auto"/>
              </w:rPr>
            </w:pPr>
          </w:p>
          <w:p w14:paraId="4B9D0A7D">
            <w:pPr>
              <w:pStyle w:val="114"/>
              <w:ind w:firstLine="480"/>
              <w:rPr>
                <w:rFonts w:hint="default" w:ascii="Times New Roman" w:hAnsi="Times New Roman" w:eastAsia="宋体" w:cs="Times New Roman"/>
                <w:bCs/>
                <w:color w:val="auto"/>
              </w:rPr>
            </w:pPr>
          </w:p>
          <w:p w14:paraId="3ACDBA76">
            <w:pPr>
              <w:pStyle w:val="114"/>
              <w:ind w:firstLine="480"/>
              <w:rPr>
                <w:rFonts w:hint="default" w:ascii="Times New Roman" w:hAnsi="Times New Roman" w:eastAsia="宋体" w:cs="Times New Roman"/>
                <w:bCs/>
                <w:color w:val="auto"/>
              </w:rPr>
            </w:pPr>
          </w:p>
          <w:p w14:paraId="45F7DF8D">
            <w:pPr>
              <w:pStyle w:val="114"/>
              <w:ind w:firstLine="480"/>
              <w:rPr>
                <w:rFonts w:hint="default" w:ascii="Times New Roman" w:hAnsi="Times New Roman" w:eastAsia="宋体" w:cs="Times New Roman"/>
                <w:bCs/>
                <w:color w:val="auto"/>
              </w:rPr>
            </w:pPr>
          </w:p>
          <w:p w14:paraId="22CEFEF8">
            <w:pPr>
              <w:pStyle w:val="114"/>
              <w:ind w:firstLine="480"/>
              <w:rPr>
                <w:rFonts w:hint="default" w:ascii="Times New Roman" w:hAnsi="Times New Roman" w:eastAsia="宋体" w:cs="Times New Roman"/>
                <w:bCs/>
                <w:color w:val="auto"/>
              </w:rPr>
            </w:pPr>
          </w:p>
          <w:p w14:paraId="35A065EB">
            <w:pPr>
              <w:pStyle w:val="114"/>
              <w:ind w:firstLine="480"/>
              <w:rPr>
                <w:rFonts w:hint="default" w:ascii="Times New Roman" w:hAnsi="Times New Roman" w:eastAsia="宋体" w:cs="Times New Roman"/>
                <w:bCs/>
                <w:color w:val="auto"/>
              </w:rPr>
            </w:pPr>
          </w:p>
          <w:p w14:paraId="10A13244">
            <w:pPr>
              <w:pStyle w:val="114"/>
              <w:ind w:firstLine="480"/>
              <w:rPr>
                <w:rFonts w:hint="default" w:ascii="Times New Roman" w:hAnsi="Times New Roman" w:eastAsia="宋体" w:cs="Times New Roman"/>
                <w:bCs/>
                <w:color w:val="auto"/>
              </w:rPr>
            </w:pPr>
          </w:p>
          <w:p w14:paraId="2F4E0E15">
            <w:pPr>
              <w:pStyle w:val="114"/>
              <w:ind w:firstLine="480"/>
              <w:rPr>
                <w:rFonts w:hint="default" w:ascii="Times New Roman" w:hAnsi="Times New Roman" w:eastAsia="宋体" w:cs="Times New Roman"/>
                <w:bCs/>
                <w:color w:val="auto"/>
              </w:rPr>
            </w:pPr>
          </w:p>
          <w:p w14:paraId="035EF90E">
            <w:pPr>
              <w:pStyle w:val="114"/>
              <w:ind w:firstLine="480"/>
              <w:rPr>
                <w:rFonts w:hint="default" w:ascii="Times New Roman" w:hAnsi="Times New Roman" w:eastAsia="宋体" w:cs="Times New Roman"/>
                <w:bCs/>
                <w:color w:val="auto"/>
              </w:rPr>
            </w:pPr>
          </w:p>
          <w:p w14:paraId="6511794F">
            <w:pPr>
              <w:pStyle w:val="114"/>
              <w:ind w:left="0" w:leftChars="0" w:firstLine="0" w:firstLineChars="0"/>
              <w:rPr>
                <w:rFonts w:hint="default" w:ascii="Times New Roman" w:hAnsi="Times New Roman" w:eastAsia="宋体" w:cs="Times New Roman"/>
                <w:bCs/>
                <w:color w:val="auto"/>
              </w:rPr>
            </w:pPr>
          </w:p>
          <w:p w14:paraId="59D72696">
            <w:pPr>
              <w:pStyle w:val="114"/>
              <w:ind w:firstLine="480"/>
              <w:rPr>
                <w:rFonts w:hint="default" w:ascii="Times New Roman" w:hAnsi="Times New Roman" w:eastAsia="宋体" w:cs="Times New Roman"/>
                <w:bCs/>
                <w:color w:val="auto"/>
              </w:rPr>
            </w:pPr>
          </w:p>
          <w:p w14:paraId="20CE280C">
            <w:pPr>
              <w:pStyle w:val="114"/>
              <w:ind w:firstLine="480"/>
              <w:rPr>
                <w:rFonts w:hint="default" w:ascii="Times New Roman" w:hAnsi="Times New Roman" w:eastAsia="宋体" w:cs="Times New Roman"/>
                <w:bCs/>
                <w:color w:val="auto"/>
              </w:rPr>
            </w:pPr>
          </w:p>
          <w:p w14:paraId="069EA81E">
            <w:pPr>
              <w:pStyle w:val="114"/>
              <w:ind w:firstLine="480"/>
              <w:rPr>
                <w:rFonts w:hint="default" w:ascii="Times New Roman" w:hAnsi="Times New Roman" w:eastAsia="宋体" w:cs="Times New Roman"/>
                <w:bCs/>
                <w:color w:val="auto"/>
              </w:rPr>
            </w:pPr>
          </w:p>
          <w:p w14:paraId="29ED9101">
            <w:pPr>
              <w:pStyle w:val="114"/>
              <w:ind w:firstLine="480"/>
              <w:rPr>
                <w:rFonts w:hint="default" w:ascii="Times New Roman" w:hAnsi="Times New Roman" w:eastAsia="宋体" w:cs="Times New Roman"/>
                <w:bCs/>
                <w:color w:val="auto"/>
              </w:rPr>
            </w:pPr>
          </w:p>
          <w:p w14:paraId="1EC213DE">
            <w:pPr>
              <w:pStyle w:val="114"/>
              <w:ind w:firstLine="480"/>
              <w:rPr>
                <w:rFonts w:hint="default" w:ascii="Times New Roman" w:hAnsi="Times New Roman" w:eastAsia="宋体" w:cs="Times New Roman"/>
                <w:bCs/>
                <w:color w:val="auto"/>
              </w:rPr>
            </w:pPr>
          </w:p>
          <w:p w14:paraId="49698D2D">
            <w:pPr>
              <w:pStyle w:val="114"/>
              <w:ind w:firstLine="480"/>
              <w:rPr>
                <w:rFonts w:hint="default" w:ascii="Times New Roman" w:hAnsi="Times New Roman" w:eastAsia="宋体" w:cs="Times New Roman"/>
                <w:bCs/>
                <w:color w:val="auto"/>
              </w:rPr>
            </w:pPr>
          </w:p>
          <w:p w14:paraId="4E7ED62B">
            <w:pPr>
              <w:pStyle w:val="114"/>
              <w:ind w:left="0" w:leftChars="0" w:firstLine="0" w:firstLineChars="0"/>
              <w:rPr>
                <w:rFonts w:hint="default" w:ascii="Times New Roman" w:hAnsi="Times New Roman" w:eastAsia="宋体" w:cs="Times New Roman"/>
                <w:bCs/>
                <w:color w:val="auto"/>
              </w:rPr>
            </w:pPr>
          </w:p>
          <w:p w14:paraId="641B0B0D">
            <w:pPr>
              <w:pStyle w:val="114"/>
              <w:ind w:left="0" w:leftChars="0" w:firstLine="0" w:firstLineChars="0"/>
              <w:rPr>
                <w:rFonts w:hint="default" w:ascii="Times New Roman" w:hAnsi="Times New Roman" w:eastAsia="宋体" w:cs="Times New Roman"/>
                <w:bCs/>
                <w:color w:val="auto"/>
              </w:rPr>
            </w:pPr>
          </w:p>
          <w:p w14:paraId="7C83E7BB">
            <w:pPr>
              <w:pStyle w:val="114"/>
              <w:ind w:firstLine="480"/>
              <w:rPr>
                <w:rFonts w:hint="default" w:ascii="Times New Roman" w:hAnsi="Times New Roman" w:eastAsia="宋体" w:cs="Times New Roman"/>
                <w:bCs/>
                <w:color w:val="auto"/>
              </w:rPr>
            </w:pPr>
          </w:p>
        </w:tc>
      </w:tr>
    </w:tbl>
    <w:p w14:paraId="0E7437FB">
      <w:pPr>
        <w:jc w:val="center"/>
        <w:rPr>
          <w:rFonts w:eastAsia="黑体"/>
          <w:snapToGrid w:val="0"/>
          <w:color w:val="auto"/>
          <w:sz w:val="36"/>
          <w:szCs w:val="36"/>
        </w:rPr>
        <w:sectPr>
          <w:pgSz w:w="11906" w:h="16838"/>
          <w:pgMar w:top="1587" w:right="1417" w:bottom="1587" w:left="1417" w:header="851" w:footer="851" w:gutter="0"/>
          <w:pgBorders>
            <w:top w:val="none" w:sz="0" w:space="0"/>
            <w:left w:val="none" w:sz="0" w:space="0"/>
            <w:bottom w:val="none" w:sz="0" w:space="0"/>
            <w:right w:val="none" w:sz="0" w:space="0"/>
          </w:pgBorders>
          <w:cols w:space="720" w:num="1"/>
          <w:docGrid w:linePitch="312" w:charSpace="0"/>
        </w:sectPr>
      </w:pPr>
    </w:p>
    <w:p w14:paraId="1B944179">
      <w:pPr>
        <w:pStyle w:val="2"/>
        <w:spacing w:before="0" w:after="0"/>
        <w:rPr>
          <w:color w:val="auto"/>
        </w:rPr>
      </w:pPr>
      <w:bookmarkStart w:id="61" w:name="_Toc8636"/>
      <w:bookmarkStart w:id="62" w:name="_Toc22468"/>
      <w:r>
        <w:rPr>
          <w:color w:val="auto"/>
        </w:rPr>
        <w:t>三、区域环境质量现状、环境保护目标及评价标准</w:t>
      </w:r>
      <w:bookmarkEnd w:id="61"/>
      <w:bookmarkEnd w:id="62"/>
    </w:p>
    <w:tbl>
      <w:tblPr>
        <w:tblStyle w:val="3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527"/>
      </w:tblGrid>
      <w:tr w14:paraId="3EB761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34" w:type="dxa"/>
            <w:vAlign w:val="center"/>
          </w:tcPr>
          <w:p w14:paraId="21A075A8">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区域</w:t>
            </w:r>
          </w:p>
          <w:p w14:paraId="23CE7870">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环境</w:t>
            </w:r>
          </w:p>
          <w:p w14:paraId="42EF2253">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质量</w:t>
            </w:r>
          </w:p>
          <w:p w14:paraId="6B04A87C">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现状</w:t>
            </w:r>
          </w:p>
        </w:tc>
        <w:tc>
          <w:tcPr>
            <w:tcW w:w="8527" w:type="dxa"/>
          </w:tcPr>
          <w:p w14:paraId="2CC09130">
            <w:pPr>
              <w:pStyle w:val="185"/>
              <w:adjustRightInd w:val="0"/>
              <w:snapToGrid w:val="0"/>
              <w:ind w:firstLine="490"/>
              <w:rPr>
                <w:rFonts w:hint="default" w:ascii="Times New Roman" w:hAnsi="Times New Roman" w:eastAsia="宋体" w:cs="Times New Roman"/>
                <w:color w:val="auto"/>
                <w:lang w:eastAsia="zh-CN"/>
              </w:rPr>
            </w:pPr>
            <w:r>
              <w:rPr>
                <w:rFonts w:hint="default" w:ascii="Times New Roman" w:hAnsi="Times New Roman" w:eastAsia="宋体" w:cs="Times New Roman"/>
                <w:b/>
                <w:bCs/>
                <w:color w:val="auto"/>
                <w:spacing w:val="4"/>
                <w:lang w:eastAsia="zh-CN"/>
              </w:rPr>
              <w:t>1</w:t>
            </w:r>
            <w:r>
              <w:rPr>
                <w:rFonts w:hint="default" w:ascii="Times New Roman" w:hAnsi="Times New Roman" w:eastAsia="宋体" w:cs="Times New Roman"/>
                <w:b/>
                <w:bCs/>
                <w:color w:val="auto"/>
                <w:spacing w:val="27"/>
                <w:w w:val="101"/>
                <w:lang w:eastAsia="zh-CN"/>
              </w:rPr>
              <w:t>.</w:t>
            </w:r>
            <w:r>
              <w:rPr>
                <w:rFonts w:hint="default" w:ascii="Times New Roman" w:hAnsi="Times New Roman" w:eastAsia="宋体" w:cs="Times New Roman"/>
                <w:b/>
                <w:bCs/>
                <w:color w:val="auto"/>
                <w:spacing w:val="4"/>
                <w:lang w:eastAsia="zh-CN"/>
              </w:rPr>
              <w:t>空气环境质量现状</w:t>
            </w:r>
          </w:p>
          <w:p w14:paraId="728EA6E4">
            <w:pPr>
              <w:pStyle w:val="185"/>
              <w:adjustRightInd w:val="0"/>
              <w:snapToGrid w:val="0"/>
              <w:ind w:firstLine="484"/>
              <w:outlineLvl w:val="6"/>
              <w:rPr>
                <w:rFonts w:hint="default" w:ascii="Times New Roman" w:hAnsi="Times New Roman" w:eastAsia="宋体" w:cs="Times New Roman"/>
                <w:color w:val="auto"/>
                <w:lang w:eastAsia="zh-CN"/>
              </w:rPr>
            </w:pPr>
            <w:r>
              <w:rPr>
                <w:rFonts w:hint="default" w:ascii="Times New Roman" w:hAnsi="Times New Roman" w:eastAsia="宋体" w:cs="Times New Roman"/>
                <w:b/>
                <w:bCs/>
                <w:color w:val="auto"/>
                <w:spacing w:val="1"/>
                <w:lang w:eastAsia="zh-CN"/>
              </w:rPr>
              <w:t>（1）基本污染物</w:t>
            </w:r>
          </w:p>
          <w:p w14:paraId="0B2E9D15">
            <w:pPr>
              <w:tabs>
                <w:tab w:val="left" w:pos="720"/>
              </w:tabs>
              <w:adjustRightInd w:val="0"/>
              <w:spacing w:line="360" w:lineRule="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根据《环境影响评价技术导则-大气环境》（HJ2.2-2018）：</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6.2.1 .1项目所在区域达标判定，优先采用国家或地方生态环境主管部门公开发布的评价基准年环境质量公告或环境质量报告中的数据或结论。6.2.1.2采用评价范围内国家或地方环境空气质量监测网中评价基准年连续1年的监测数据，或采用生态环境主管部门公开发布的环境空气质量现状数据。6.2.1.3评价范围内没有环境空气质量监测网数据或公开发布的环境空气质量现状数据的，可选择符合HJ664规定，并且与评价范围地理位置邻近，地形、气候条件相近的环境空气质量城市点或区域点监测数据。</w:t>
            </w:r>
            <w:r>
              <w:rPr>
                <w:rFonts w:hint="default" w:ascii="Times New Roman" w:hAnsi="Times New Roman" w:eastAsia="宋体" w:cs="Times New Roman"/>
                <w:color w:val="auto"/>
                <w:sz w:val="24"/>
                <w:lang w:eastAsia="zh-CN"/>
              </w:rPr>
              <w:t>”项目</w:t>
            </w:r>
            <w:r>
              <w:rPr>
                <w:rFonts w:hint="default" w:ascii="Times New Roman" w:hAnsi="Times New Roman" w:eastAsia="宋体" w:cs="Times New Roman"/>
                <w:color w:val="auto"/>
                <w:sz w:val="24"/>
              </w:rPr>
              <w:t>位于</w:t>
            </w:r>
            <w:r>
              <w:rPr>
                <w:rFonts w:hint="default" w:ascii="Times New Roman" w:hAnsi="Times New Roman" w:eastAsia="宋体" w:cs="Times New Roman"/>
                <w:color w:val="auto"/>
                <w:sz w:val="24"/>
                <w:lang w:val="en-US" w:eastAsia="zh-CN"/>
              </w:rPr>
              <w:t>安徽省池州市</w:t>
            </w:r>
            <w:r>
              <w:rPr>
                <w:rFonts w:hint="default" w:ascii="Times New Roman" w:hAnsi="Times New Roman" w:eastAsia="宋体" w:cs="Times New Roman"/>
                <w:color w:val="auto"/>
                <w:sz w:val="24"/>
                <w:szCs w:val="22"/>
                <w:lang w:val="en-US" w:eastAsia="zh-CN"/>
              </w:rPr>
              <w:t>东至县东流镇</w:t>
            </w:r>
            <w:r>
              <w:rPr>
                <w:rFonts w:hint="default" w:ascii="Times New Roman" w:hAnsi="Times New Roman" w:eastAsia="宋体" w:cs="Times New Roman"/>
                <w:color w:val="auto"/>
                <w:sz w:val="24"/>
              </w:rPr>
              <w:t>，因此采用202</w:t>
            </w:r>
            <w:r>
              <w:rPr>
                <w:rFonts w:hint="default" w:ascii="Times New Roman" w:hAnsi="Times New Roman" w:eastAsia="宋体" w:cs="Times New Roman"/>
                <w:color w:val="auto"/>
                <w:sz w:val="24"/>
                <w:lang w:val="en-US" w:eastAsia="zh-CN"/>
              </w:rPr>
              <w:t>4</w:t>
            </w:r>
            <w:r>
              <w:rPr>
                <w:rFonts w:hint="default" w:ascii="Times New Roman" w:hAnsi="Times New Roman" w:eastAsia="宋体" w:cs="Times New Roman"/>
                <w:color w:val="auto"/>
                <w:sz w:val="24"/>
              </w:rPr>
              <w:t>年池州市生态环境状况公报的结论。</w:t>
            </w:r>
          </w:p>
          <w:p w14:paraId="36BE51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
              </w:rPr>
              <w:t>池州市生态环境局于2025年6月16日发布的《2024年池州市生态环境状况公报》中的统计数据。区域环境空气质量现状评价见下表：</w:t>
            </w:r>
          </w:p>
          <w:p w14:paraId="582E1FE2">
            <w:pPr>
              <w:keepNext w:val="0"/>
              <w:keepLines w:val="0"/>
              <w:widowControl w:val="0"/>
              <w:suppressLineNumbers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lang w:val="en-US" w:eastAsia="zh-CN" w:bidi="ar"/>
              </w:rPr>
              <w:t>表3-1  区域环境空气质量现状评价表</w:t>
            </w:r>
          </w:p>
          <w:tbl>
            <w:tblPr>
              <w:tblStyle w:val="3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left w:w="51" w:type="dxa"/>
                <w:bottom w:w="28" w:type="dxa"/>
                <w:right w:w="51" w:type="dxa"/>
              </w:tblCellMar>
            </w:tblPr>
            <w:tblGrid>
              <w:gridCol w:w="934"/>
              <w:gridCol w:w="2615"/>
              <w:gridCol w:w="1072"/>
              <w:gridCol w:w="1028"/>
              <w:gridCol w:w="1134"/>
              <w:gridCol w:w="1513"/>
            </w:tblGrid>
            <w:tr w14:paraId="4F445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1" w:type="dxa"/>
                  <w:bottom w:w="28" w:type="dxa"/>
                  <w:right w:w="51" w:type="dxa"/>
                </w:tblCellMar>
              </w:tblPrEx>
              <w:trPr>
                <w:trHeight w:val="340" w:hRule="atLeast"/>
                <w:jc w:val="center"/>
              </w:trPr>
              <w:tc>
                <w:tcPr>
                  <w:tcW w:w="831" w:type="dxa"/>
                  <w:tcBorders>
                    <w:top w:val="single" w:color="auto" w:sz="4" w:space="0"/>
                    <w:left w:val="single" w:color="000000" w:sz="4" w:space="0"/>
                    <w:bottom w:val="single" w:color="auto" w:sz="4" w:space="0"/>
                    <w:right w:val="single" w:color="auto" w:sz="4" w:space="0"/>
                  </w:tcBorders>
                  <w:noWrap w:val="0"/>
                  <w:vAlign w:val="center"/>
                </w:tcPr>
                <w:p w14:paraId="085430D0">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lang w:val="en-US" w:eastAsia="zh-CN" w:bidi="ar"/>
                    </w:rPr>
                    <w:t>污染物</w:t>
                  </w:r>
                </w:p>
              </w:tc>
              <w:tc>
                <w:tcPr>
                  <w:tcW w:w="2327" w:type="dxa"/>
                  <w:tcBorders>
                    <w:top w:val="single" w:color="auto" w:sz="4" w:space="0"/>
                    <w:left w:val="nil"/>
                    <w:bottom w:val="single" w:color="auto" w:sz="4" w:space="0"/>
                    <w:right w:val="single" w:color="auto" w:sz="4" w:space="0"/>
                  </w:tcBorders>
                  <w:noWrap w:val="0"/>
                  <w:vAlign w:val="center"/>
                </w:tcPr>
                <w:p w14:paraId="4F4C2FB9">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lang w:val="en-US" w:eastAsia="zh-CN" w:bidi="ar"/>
                    </w:rPr>
                    <w:t>年评价指标</w:t>
                  </w:r>
                </w:p>
              </w:tc>
              <w:tc>
                <w:tcPr>
                  <w:tcW w:w="954" w:type="dxa"/>
                  <w:tcBorders>
                    <w:top w:val="single" w:color="auto" w:sz="4" w:space="0"/>
                    <w:left w:val="nil"/>
                    <w:bottom w:val="single" w:color="auto" w:sz="4" w:space="0"/>
                    <w:right w:val="single" w:color="auto" w:sz="4" w:space="0"/>
                  </w:tcBorders>
                  <w:noWrap w:val="0"/>
                  <w:vAlign w:val="center"/>
                </w:tcPr>
                <w:p w14:paraId="4FD786FF">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lang w:val="en-US" w:eastAsia="zh-CN" w:bidi="ar"/>
                    </w:rPr>
                    <w:t>现状浓度μg/m³</w:t>
                  </w:r>
                </w:p>
              </w:tc>
              <w:tc>
                <w:tcPr>
                  <w:tcW w:w="915" w:type="dxa"/>
                  <w:tcBorders>
                    <w:top w:val="single" w:color="auto" w:sz="4" w:space="0"/>
                    <w:left w:val="nil"/>
                    <w:bottom w:val="single" w:color="auto" w:sz="4" w:space="0"/>
                    <w:right w:val="single" w:color="auto" w:sz="4" w:space="0"/>
                  </w:tcBorders>
                  <w:noWrap w:val="0"/>
                  <w:vAlign w:val="center"/>
                </w:tcPr>
                <w:p w14:paraId="2E0751B3">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lang w:val="en-US" w:eastAsia="zh-CN" w:bidi="ar"/>
                    </w:rPr>
                    <w:t>标准值μg/m³</w:t>
                  </w:r>
                </w:p>
              </w:tc>
              <w:tc>
                <w:tcPr>
                  <w:tcW w:w="1009" w:type="dxa"/>
                  <w:tcBorders>
                    <w:top w:val="single" w:color="auto" w:sz="4" w:space="0"/>
                    <w:left w:val="nil"/>
                    <w:bottom w:val="single" w:color="auto" w:sz="4" w:space="0"/>
                    <w:right w:val="single" w:color="auto" w:sz="4" w:space="0"/>
                  </w:tcBorders>
                  <w:noWrap w:val="0"/>
                  <w:vAlign w:val="center"/>
                </w:tcPr>
                <w:p w14:paraId="59FF0781">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lang w:val="en-US" w:eastAsia="zh-CN" w:bidi="ar"/>
                    </w:rPr>
                    <w:t>占标率%</w:t>
                  </w:r>
                </w:p>
              </w:tc>
              <w:tc>
                <w:tcPr>
                  <w:tcW w:w="1346" w:type="dxa"/>
                  <w:tcBorders>
                    <w:top w:val="single" w:color="auto" w:sz="4" w:space="0"/>
                    <w:left w:val="nil"/>
                    <w:bottom w:val="single" w:color="auto" w:sz="4" w:space="0"/>
                    <w:right w:val="single" w:color="auto" w:sz="4" w:space="0"/>
                  </w:tcBorders>
                  <w:noWrap w:val="0"/>
                  <w:vAlign w:val="center"/>
                </w:tcPr>
                <w:p w14:paraId="339F3BDE">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lang w:val="en-US" w:eastAsia="zh-CN" w:bidi="ar"/>
                    </w:rPr>
                    <w:t>区域达标情况</w:t>
                  </w:r>
                </w:p>
              </w:tc>
            </w:tr>
            <w:tr w14:paraId="2A405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1" w:type="dxa"/>
                  <w:bottom w:w="28" w:type="dxa"/>
                  <w:right w:w="51" w:type="dxa"/>
                </w:tblCellMar>
              </w:tblPrEx>
              <w:trPr>
                <w:trHeight w:val="340" w:hRule="atLeast"/>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61745002">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SO</w:t>
                  </w:r>
                  <w:r>
                    <w:rPr>
                      <w:rFonts w:hint="default" w:ascii="Times New Roman" w:hAnsi="Times New Roman" w:eastAsia="宋体" w:cs="Times New Roman"/>
                      <w:color w:val="auto"/>
                      <w:kern w:val="2"/>
                      <w:sz w:val="21"/>
                      <w:szCs w:val="21"/>
                      <w:vertAlign w:val="subscript"/>
                      <w:lang w:val="en-US" w:eastAsia="zh-CN" w:bidi="ar"/>
                    </w:rPr>
                    <w:t>2</w:t>
                  </w:r>
                </w:p>
              </w:tc>
              <w:tc>
                <w:tcPr>
                  <w:tcW w:w="2327" w:type="dxa"/>
                  <w:tcBorders>
                    <w:top w:val="single" w:color="auto" w:sz="4" w:space="0"/>
                    <w:left w:val="nil"/>
                    <w:bottom w:val="single" w:color="auto" w:sz="4" w:space="0"/>
                    <w:right w:val="single" w:color="auto" w:sz="4" w:space="0"/>
                  </w:tcBorders>
                  <w:noWrap w:val="0"/>
                  <w:vAlign w:val="center"/>
                </w:tcPr>
                <w:p w14:paraId="6A1F0246">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年平均质量浓度</w:t>
                  </w:r>
                </w:p>
              </w:tc>
              <w:tc>
                <w:tcPr>
                  <w:tcW w:w="954" w:type="dxa"/>
                  <w:tcBorders>
                    <w:top w:val="single" w:color="auto" w:sz="4" w:space="0"/>
                    <w:left w:val="nil"/>
                    <w:bottom w:val="single" w:color="auto" w:sz="4" w:space="0"/>
                    <w:right w:val="single" w:color="auto" w:sz="4" w:space="0"/>
                  </w:tcBorders>
                  <w:noWrap w:val="0"/>
                  <w:vAlign w:val="center"/>
                </w:tcPr>
                <w:p w14:paraId="0938D6FC">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5</w:t>
                  </w:r>
                </w:p>
              </w:tc>
              <w:tc>
                <w:tcPr>
                  <w:tcW w:w="915" w:type="dxa"/>
                  <w:tcBorders>
                    <w:top w:val="single" w:color="auto" w:sz="4" w:space="0"/>
                    <w:left w:val="nil"/>
                    <w:bottom w:val="single" w:color="auto" w:sz="4" w:space="0"/>
                    <w:right w:val="single" w:color="auto" w:sz="4" w:space="0"/>
                  </w:tcBorders>
                  <w:noWrap w:val="0"/>
                  <w:vAlign w:val="center"/>
                </w:tcPr>
                <w:p w14:paraId="7A46E43D">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60</w:t>
                  </w:r>
                </w:p>
              </w:tc>
              <w:tc>
                <w:tcPr>
                  <w:tcW w:w="1009" w:type="dxa"/>
                  <w:tcBorders>
                    <w:top w:val="single" w:color="auto" w:sz="4" w:space="0"/>
                    <w:left w:val="nil"/>
                    <w:bottom w:val="single" w:color="auto" w:sz="4" w:space="0"/>
                    <w:right w:val="single" w:color="auto" w:sz="4" w:space="0"/>
                  </w:tcBorders>
                  <w:noWrap w:val="0"/>
                  <w:vAlign w:val="center"/>
                </w:tcPr>
                <w:p w14:paraId="173D6144">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8.3%</w:t>
                  </w:r>
                </w:p>
              </w:tc>
              <w:tc>
                <w:tcPr>
                  <w:tcW w:w="1346" w:type="dxa"/>
                  <w:tcBorders>
                    <w:top w:val="single" w:color="auto" w:sz="4" w:space="0"/>
                    <w:left w:val="nil"/>
                    <w:bottom w:val="single" w:color="auto" w:sz="4" w:space="0"/>
                    <w:right w:val="single" w:color="auto" w:sz="4" w:space="0"/>
                  </w:tcBorders>
                  <w:noWrap w:val="0"/>
                  <w:vAlign w:val="center"/>
                </w:tcPr>
                <w:p w14:paraId="6B36F7F2">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达标</w:t>
                  </w:r>
                </w:p>
              </w:tc>
            </w:tr>
            <w:tr w14:paraId="2FD81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1" w:type="dxa"/>
                  <w:bottom w:w="28" w:type="dxa"/>
                  <w:right w:w="51" w:type="dxa"/>
                </w:tblCellMar>
              </w:tblPrEx>
              <w:trPr>
                <w:trHeight w:val="340" w:hRule="atLeast"/>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6F85CEFB">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NO</w:t>
                  </w:r>
                  <w:r>
                    <w:rPr>
                      <w:rFonts w:hint="default" w:ascii="Times New Roman" w:hAnsi="Times New Roman" w:eastAsia="宋体" w:cs="Times New Roman"/>
                      <w:color w:val="auto"/>
                      <w:kern w:val="2"/>
                      <w:sz w:val="21"/>
                      <w:szCs w:val="21"/>
                      <w:vertAlign w:val="subscript"/>
                      <w:lang w:val="en-US" w:eastAsia="zh-CN" w:bidi="ar"/>
                    </w:rPr>
                    <w:t>2</w:t>
                  </w:r>
                </w:p>
              </w:tc>
              <w:tc>
                <w:tcPr>
                  <w:tcW w:w="2327" w:type="dxa"/>
                  <w:tcBorders>
                    <w:top w:val="single" w:color="auto" w:sz="4" w:space="0"/>
                    <w:left w:val="nil"/>
                    <w:bottom w:val="single" w:color="auto" w:sz="4" w:space="0"/>
                    <w:right w:val="single" w:color="auto" w:sz="4" w:space="0"/>
                  </w:tcBorders>
                  <w:noWrap w:val="0"/>
                  <w:vAlign w:val="center"/>
                </w:tcPr>
                <w:p w14:paraId="2FE8039C">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年平均质量浓度</w:t>
                  </w:r>
                </w:p>
              </w:tc>
              <w:tc>
                <w:tcPr>
                  <w:tcW w:w="954" w:type="dxa"/>
                  <w:tcBorders>
                    <w:top w:val="single" w:color="auto" w:sz="4" w:space="0"/>
                    <w:left w:val="nil"/>
                    <w:bottom w:val="single" w:color="auto" w:sz="4" w:space="0"/>
                    <w:right w:val="single" w:color="auto" w:sz="4" w:space="0"/>
                  </w:tcBorders>
                  <w:noWrap w:val="0"/>
                  <w:vAlign w:val="center"/>
                </w:tcPr>
                <w:p w14:paraId="60CB75FC">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rPr>
                  </w:pPr>
                  <w:r>
                    <w:rPr>
                      <w:rFonts w:hint="default" w:ascii="Times New Roman" w:hAnsi="Times New Roman" w:eastAsia="宋体" w:cs="Times New Roman"/>
                      <w:color w:val="auto"/>
                      <w:kern w:val="2"/>
                      <w:sz w:val="21"/>
                      <w:szCs w:val="21"/>
                      <w:lang w:val="en-US"/>
                    </w:rPr>
                    <w:t>20</w:t>
                  </w:r>
                </w:p>
              </w:tc>
              <w:tc>
                <w:tcPr>
                  <w:tcW w:w="915" w:type="dxa"/>
                  <w:tcBorders>
                    <w:top w:val="single" w:color="auto" w:sz="4" w:space="0"/>
                    <w:left w:val="nil"/>
                    <w:bottom w:val="single" w:color="auto" w:sz="4" w:space="0"/>
                    <w:right w:val="single" w:color="auto" w:sz="4" w:space="0"/>
                  </w:tcBorders>
                  <w:noWrap w:val="0"/>
                  <w:vAlign w:val="center"/>
                </w:tcPr>
                <w:p w14:paraId="3EE0A5EA">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40</w:t>
                  </w:r>
                </w:p>
              </w:tc>
              <w:tc>
                <w:tcPr>
                  <w:tcW w:w="1009" w:type="dxa"/>
                  <w:tcBorders>
                    <w:top w:val="single" w:color="auto" w:sz="4" w:space="0"/>
                    <w:left w:val="nil"/>
                    <w:bottom w:val="single" w:color="auto" w:sz="4" w:space="0"/>
                    <w:right w:val="single" w:color="auto" w:sz="4" w:space="0"/>
                  </w:tcBorders>
                  <w:noWrap w:val="0"/>
                  <w:vAlign w:val="center"/>
                </w:tcPr>
                <w:p w14:paraId="069784BA">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50.0%</w:t>
                  </w:r>
                </w:p>
              </w:tc>
              <w:tc>
                <w:tcPr>
                  <w:tcW w:w="1346" w:type="dxa"/>
                  <w:tcBorders>
                    <w:top w:val="single" w:color="auto" w:sz="4" w:space="0"/>
                    <w:left w:val="nil"/>
                    <w:bottom w:val="single" w:color="auto" w:sz="4" w:space="0"/>
                    <w:right w:val="single" w:color="auto" w:sz="4" w:space="0"/>
                  </w:tcBorders>
                  <w:noWrap w:val="0"/>
                  <w:vAlign w:val="center"/>
                </w:tcPr>
                <w:p w14:paraId="20D52A2C">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达标</w:t>
                  </w:r>
                </w:p>
              </w:tc>
            </w:tr>
            <w:tr w14:paraId="082A0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1" w:type="dxa"/>
                  <w:bottom w:w="28" w:type="dxa"/>
                  <w:right w:w="51" w:type="dxa"/>
                </w:tblCellMar>
              </w:tblPrEx>
              <w:trPr>
                <w:trHeight w:val="340" w:hRule="atLeast"/>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084C0FE2">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O</w:t>
                  </w:r>
                  <w:r>
                    <w:rPr>
                      <w:rFonts w:hint="default" w:ascii="Times New Roman" w:hAnsi="Times New Roman" w:eastAsia="宋体" w:cs="Times New Roman"/>
                      <w:color w:val="auto"/>
                      <w:kern w:val="2"/>
                      <w:sz w:val="21"/>
                      <w:szCs w:val="21"/>
                      <w:vertAlign w:val="subscript"/>
                      <w:lang w:val="en-US" w:eastAsia="zh-CN" w:bidi="ar"/>
                    </w:rPr>
                    <w:t>3</w:t>
                  </w:r>
                </w:p>
              </w:tc>
              <w:tc>
                <w:tcPr>
                  <w:tcW w:w="2327" w:type="dxa"/>
                  <w:tcBorders>
                    <w:top w:val="single" w:color="auto" w:sz="4" w:space="0"/>
                    <w:left w:val="nil"/>
                    <w:bottom w:val="single" w:color="auto" w:sz="4" w:space="0"/>
                    <w:right w:val="single" w:color="auto" w:sz="4" w:space="0"/>
                  </w:tcBorders>
                  <w:noWrap w:val="0"/>
                  <w:vAlign w:val="center"/>
                </w:tcPr>
                <w:p w14:paraId="0F686E37">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日最大八小时平均浓度第90百分位浓度</w:t>
                  </w:r>
                </w:p>
              </w:tc>
              <w:tc>
                <w:tcPr>
                  <w:tcW w:w="954" w:type="dxa"/>
                  <w:tcBorders>
                    <w:top w:val="single" w:color="auto" w:sz="4" w:space="0"/>
                    <w:left w:val="nil"/>
                    <w:bottom w:val="single" w:color="auto" w:sz="4" w:space="0"/>
                    <w:right w:val="single" w:color="auto" w:sz="4" w:space="0"/>
                  </w:tcBorders>
                  <w:noWrap w:val="0"/>
                  <w:vAlign w:val="center"/>
                </w:tcPr>
                <w:p w14:paraId="5598DB62">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154</w:t>
                  </w:r>
                </w:p>
              </w:tc>
              <w:tc>
                <w:tcPr>
                  <w:tcW w:w="915" w:type="dxa"/>
                  <w:tcBorders>
                    <w:top w:val="single" w:color="auto" w:sz="4" w:space="0"/>
                    <w:left w:val="nil"/>
                    <w:bottom w:val="single" w:color="auto" w:sz="4" w:space="0"/>
                    <w:right w:val="single" w:color="auto" w:sz="4" w:space="0"/>
                  </w:tcBorders>
                  <w:noWrap w:val="0"/>
                  <w:vAlign w:val="center"/>
                </w:tcPr>
                <w:p w14:paraId="178B1DF9">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160</w:t>
                  </w:r>
                </w:p>
              </w:tc>
              <w:tc>
                <w:tcPr>
                  <w:tcW w:w="1009" w:type="dxa"/>
                  <w:tcBorders>
                    <w:top w:val="single" w:color="auto" w:sz="4" w:space="0"/>
                    <w:left w:val="nil"/>
                    <w:bottom w:val="single" w:color="auto" w:sz="4" w:space="0"/>
                    <w:right w:val="single" w:color="auto" w:sz="4" w:space="0"/>
                  </w:tcBorders>
                  <w:noWrap w:val="0"/>
                  <w:vAlign w:val="center"/>
                </w:tcPr>
                <w:p w14:paraId="55EAB50F">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96.3%</w:t>
                  </w:r>
                </w:p>
              </w:tc>
              <w:tc>
                <w:tcPr>
                  <w:tcW w:w="1346" w:type="dxa"/>
                  <w:tcBorders>
                    <w:top w:val="single" w:color="auto" w:sz="4" w:space="0"/>
                    <w:left w:val="nil"/>
                    <w:bottom w:val="single" w:color="auto" w:sz="4" w:space="0"/>
                    <w:right w:val="single" w:color="auto" w:sz="4" w:space="0"/>
                  </w:tcBorders>
                  <w:noWrap w:val="0"/>
                  <w:vAlign w:val="center"/>
                </w:tcPr>
                <w:p w14:paraId="0EE4D65A">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达标</w:t>
                  </w:r>
                </w:p>
              </w:tc>
            </w:tr>
            <w:tr w14:paraId="0591E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1" w:type="dxa"/>
                  <w:bottom w:w="28" w:type="dxa"/>
                  <w:right w:w="51" w:type="dxa"/>
                </w:tblCellMar>
              </w:tblPrEx>
              <w:trPr>
                <w:trHeight w:val="346" w:hRule="atLeast"/>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578E70BB">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PM</w:t>
                  </w:r>
                  <w:r>
                    <w:rPr>
                      <w:rFonts w:hint="default" w:ascii="Times New Roman" w:hAnsi="Times New Roman" w:eastAsia="宋体" w:cs="Times New Roman"/>
                      <w:color w:val="auto"/>
                      <w:kern w:val="2"/>
                      <w:sz w:val="21"/>
                      <w:szCs w:val="21"/>
                      <w:vertAlign w:val="subscript"/>
                      <w:lang w:val="en-US" w:eastAsia="zh-CN" w:bidi="ar"/>
                    </w:rPr>
                    <w:t>10</w:t>
                  </w:r>
                </w:p>
              </w:tc>
              <w:tc>
                <w:tcPr>
                  <w:tcW w:w="2327" w:type="dxa"/>
                  <w:tcBorders>
                    <w:top w:val="single" w:color="auto" w:sz="4" w:space="0"/>
                    <w:left w:val="nil"/>
                    <w:bottom w:val="single" w:color="auto" w:sz="4" w:space="0"/>
                    <w:right w:val="single" w:color="auto" w:sz="4" w:space="0"/>
                  </w:tcBorders>
                  <w:noWrap w:val="0"/>
                  <w:vAlign w:val="center"/>
                </w:tcPr>
                <w:p w14:paraId="6075DE4E">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年平均质量浓度</w:t>
                  </w:r>
                </w:p>
              </w:tc>
              <w:tc>
                <w:tcPr>
                  <w:tcW w:w="954" w:type="dxa"/>
                  <w:tcBorders>
                    <w:top w:val="single" w:color="auto" w:sz="4" w:space="0"/>
                    <w:left w:val="nil"/>
                    <w:bottom w:val="single" w:color="auto" w:sz="4" w:space="0"/>
                    <w:right w:val="single" w:color="auto" w:sz="4" w:space="0"/>
                  </w:tcBorders>
                  <w:noWrap w:val="0"/>
                  <w:vAlign w:val="center"/>
                </w:tcPr>
                <w:p w14:paraId="33836D0F">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47</w:t>
                  </w:r>
                </w:p>
              </w:tc>
              <w:tc>
                <w:tcPr>
                  <w:tcW w:w="915" w:type="dxa"/>
                  <w:tcBorders>
                    <w:top w:val="single" w:color="auto" w:sz="4" w:space="0"/>
                    <w:left w:val="nil"/>
                    <w:bottom w:val="single" w:color="auto" w:sz="4" w:space="0"/>
                    <w:right w:val="single" w:color="auto" w:sz="4" w:space="0"/>
                  </w:tcBorders>
                  <w:noWrap w:val="0"/>
                  <w:vAlign w:val="center"/>
                </w:tcPr>
                <w:p w14:paraId="2301E9E5">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70</w:t>
                  </w:r>
                </w:p>
              </w:tc>
              <w:tc>
                <w:tcPr>
                  <w:tcW w:w="1009" w:type="dxa"/>
                  <w:tcBorders>
                    <w:top w:val="single" w:color="auto" w:sz="4" w:space="0"/>
                    <w:left w:val="nil"/>
                    <w:bottom w:val="single" w:color="auto" w:sz="4" w:space="0"/>
                    <w:right w:val="single" w:color="auto" w:sz="4" w:space="0"/>
                  </w:tcBorders>
                  <w:noWrap w:val="0"/>
                  <w:vAlign w:val="center"/>
                </w:tcPr>
                <w:p w14:paraId="5F1ED5E1">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67.1%</w:t>
                  </w:r>
                </w:p>
              </w:tc>
              <w:tc>
                <w:tcPr>
                  <w:tcW w:w="1346" w:type="dxa"/>
                  <w:tcBorders>
                    <w:top w:val="single" w:color="auto" w:sz="4" w:space="0"/>
                    <w:left w:val="nil"/>
                    <w:bottom w:val="single" w:color="auto" w:sz="4" w:space="0"/>
                    <w:right w:val="single" w:color="auto" w:sz="4" w:space="0"/>
                  </w:tcBorders>
                  <w:noWrap w:val="0"/>
                  <w:vAlign w:val="center"/>
                </w:tcPr>
                <w:p w14:paraId="3AB7E316">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达标</w:t>
                  </w:r>
                </w:p>
              </w:tc>
            </w:tr>
            <w:tr w14:paraId="4C936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1" w:type="dxa"/>
                  <w:bottom w:w="28" w:type="dxa"/>
                  <w:right w:w="51" w:type="dxa"/>
                </w:tblCellMar>
              </w:tblPrEx>
              <w:trPr>
                <w:trHeight w:val="340" w:hRule="atLeast"/>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2DCDCEF4">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PM</w:t>
                  </w:r>
                  <w:r>
                    <w:rPr>
                      <w:rFonts w:hint="default" w:ascii="Times New Roman" w:hAnsi="Times New Roman" w:eastAsia="宋体" w:cs="Times New Roman"/>
                      <w:color w:val="auto"/>
                      <w:kern w:val="2"/>
                      <w:sz w:val="21"/>
                      <w:szCs w:val="21"/>
                      <w:vertAlign w:val="subscript"/>
                      <w:lang w:val="en-US" w:eastAsia="zh-CN" w:bidi="ar"/>
                    </w:rPr>
                    <w:t>2.5</w:t>
                  </w:r>
                </w:p>
              </w:tc>
              <w:tc>
                <w:tcPr>
                  <w:tcW w:w="2327" w:type="dxa"/>
                  <w:tcBorders>
                    <w:top w:val="single" w:color="auto" w:sz="4" w:space="0"/>
                    <w:left w:val="nil"/>
                    <w:bottom w:val="single" w:color="auto" w:sz="4" w:space="0"/>
                    <w:right w:val="single" w:color="auto" w:sz="4" w:space="0"/>
                  </w:tcBorders>
                  <w:noWrap w:val="0"/>
                  <w:vAlign w:val="center"/>
                </w:tcPr>
                <w:p w14:paraId="47D643DC">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年平均质量浓度</w:t>
                  </w:r>
                </w:p>
              </w:tc>
              <w:tc>
                <w:tcPr>
                  <w:tcW w:w="954" w:type="dxa"/>
                  <w:tcBorders>
                    <w:top w:val="single" w:color="auto" w:sz="4" w:space="0"/>
                    <w:left w:val="nil"/>
                    <w:bottom w:val="single" w:color="auto" w:sz="4" w:space="0"/>
                    <w:right w:val="single" w:color="auto" w:sz="4" w:space="0"/>
                  </w:tcBorders>
                  <w:noWrap w:val="0"/>
                  <w:vAlign w:val="center"/>
                </w:tcPr>
                <w:p w14:paraId="4EF4B47A">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31</w:t>
                  </w:r>
                </w:p>
              </w:tc>
              <w:tc>
                <w:tcPr>
                  <w:tcW w:w="915" w:type="dxa"/>
                  <w:tcBorders>
                    <w:top w:val="single" w:color="auto" w:sz="4" w:space="0"/>
                    <w:left w:val="nil"/>
                    <w:bottom w:val="single" w:color="auto" w:sz="4" w:space="0"/>
                    <w:right w:val="single" w:color="auto" w:sz="4" w:space="0"/>
                  </w:tcBorders>
                  <w:noWrap w:val="0"/>
                  <w:vAlign w:val="center"/>
                </w:tcPr>
                <w:p w14:paraId="0830EAD2">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35</w:t>
                  </w:r>
                </w:p>
              </w:tc>
              <w:tc>
                <w:tcPr>
                  <w:tcW w:w="1009" w:type="dxa"/>
                  <w:tcBorders>
                    <w:top w:val="single" w:color="auto" w:sz="4" w:space="0"/>
                    <w:left w:val="nil"/>
                    <w:bottom w:val="single" w:color="auto" w:sz="4" w:space="0"/>
                    <w:right w:val="single" w:color="auto" w:sz="4" w:space="0"/>
                  </w:tcBorders>
                  <w:noWrap w:val="0"/>
                  <w:vAlign w:val="center"/>
                </w:tcPr>
                <w:p w14:paraId="18D90AEC">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88.6%</w:t>
                  </w:r>
                </w:p>
              </w:tc>
              <w:tc>
                <w:tcPr>
                  <w:tcW w:w="1346" w:type="dxa"/>
                  <w:tcBorders>
                    <w:top w:val="single" w:color="auto" w:sz="4" w:space="0"/>
                    <w:left w:val="nil"/>
                    <w:bottom w:val="single" w:color="auto" w:sz="4" w:space="0"/>
                    <w:right w:val="single" w:color="auto" w:sz="4" w:space="0"/>
                  </w:tcBorders>
                  <w:noWrap w:val="0"/>
                  <w:vAlign w:val="center"/>
                </w:tcPr>
                <w:p w14:paraId="07C1CBA0">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达标</w:t>
                  </w:r>
                </w:p>
              </w:tc>
            </w:tr>
            <w:tr w14:paraId="6A061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51" w:type="dxa"/>
                  <w:bottom w:w="28" w:type="dxa"/>
                  <w:right w:w="51" w:type="dxa"/>
                </w:tblCellMar>
              </w:tblPrEx>
              <w:trPr>
                <w:trHeight w:val="340" w:hRule="atLeast"/>
                <w:jc w:val="center"/>
              </w:trPr>
              <w:tc>
                <w:tcPr>
                  <w:tcW w:w="831" w:type="dxa"/>
                  <w:tcBorders>
                    <w:top w:val="single" w:color="auto" w:sz="4" w:space="0"/>
                    <w:left w:val="single" w:color="auto" w:sz="4" w:space="0"/>
                    <w:bottom w:val="single" w:color="auto" w:sz="4" w:space="0"/>
                    <w:right w:val="single" w:color="auto" w:sz="4" w:space="0"/>
                  </w:tcBorders>
                  <w:noWrap w:val="0"/>
                  <w:vAlign w:val="center"/>
                </w:tcPr>
                <w:p w14:paraId="351720CB">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CO</w:t>
                  </w:r>
                </w:p>
              </w:tc>
              <w:tc>
                <w:tcPr>
                  <w:tcW w:w="2327" w:type="dxa"/>
                  <w:tcBorders>
                    <w:top w:val="single" w:color="auto" w:sz="4" w:space="0"/>
                    <w:left w:val="nil"/>
                    <w:bottom w:val="single" w:color="auto" w:sz="4" w:space="0"/>
                    <w:right w:val="single" w:color="auto" w:sz="4" w:space="0"/>
                  </w:tcBorders>
                  <w:noWrap w:val="0"/>
                  <w:vAlign w:val="center"/>
                </w:tcPr>
                <w:p w14:paraId="3A09F871">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日均值第95百分位浓度</w:t>
                  </w:r>
                </w:p>
              </w:tc>
              <w:tc>
                <w:tcPr>
                  <w:tcW w:w="954" w:type="dxa"/>
                  <w:tcBorders>
                    <w:top w:val="single" w:color="auto" w:sz="4" w:space="0"/>
                    <w:left w:val="nil"/>
                    <w:bottom w:val="single" w:color="auto" w:sz="4" w:space="0"/>
                    <w:right w:val="single" w:color="auto" w:sz="4" w:space="0"/>
                  </w:tcBorders>
                  <w:noWrap w:val="0"/>
                  <w:vAlign w:val="center"/>
                </w:tcPr>
                <w:p w14:paraId="01D734A0">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1000</w:t>
                  </w:r>
                </w:p>
              </w:tc>
              <w:tc>
                <w:tcPr>
                  <w:tcW w:w="915" w:type="dxa"/>
                  <w:tcBorders>
                    <w:top w:val="single" w:color="auto" w:sz="4" w:space="0"/>
                    <w:left w:val="nil"/>
                    <w:bottom w:val="single" w:color="auto" w:sz="4" w:space="0"/>
                    <w:right w:val="single" w:color="auto" w:sz="4" w:space="0"/>
                  </w:tcBorders>
                  <w:noWrap w:val="0"/>
                  <w:vAlign w:val="center"/>
                </w:tcPr>
                <w:p w14:paraId="6C868F74">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4000</w:t>
                  </w:r>
                </w:p>
              </w:tc>
              <w:tc>
                <w:tcPr>
                  <w:tcW w:w="1009" w:type="dxa"/>
                  <w:tcBorders>
                    <w:top w:val="single" w:color="auto" w:sz="4" w:space="0"/>
                    <w:left w:val="nil"/>
                    <w:bottom w:val="single" w:color="auto" w:sz="4" w:space="0"/>
                    <w:right w:val="single" w:color="auto" w:sz="4" w:space="0"/>
                  </w:tcBorders>
                  <w:noWrap w:val="0"/>
                  <w:vAlign w:val="center"/>
                </w:tcPr>
                <w:p w14:paraId="5D2A83E6">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25.0%</w:t>
                  </w:r>
                </w:p>
              </w:tc>
              <w:tc>
                <w:tcPr>
                  <w:tcW w:w="1346" w:type="dxa"/>
                  <w:tcBorders>
                    <w:top w:val="single" w:color="auto" w:sz="4" w:space="0"/>
                    <w:left w:val="nil"/>
                    <w:bottom w:val="single" w:color="auto" w:sz="4" w:space="0"/>
                    <w:right w:val="single" w:color="auto" w:sz="4" w:space="0"/>
                  </w:tcBorders>
                  <w:noWrap w:val="0"/>
                  <w:vAlign w:val="center"/>
                </w:tcPr>
                <w:p w14:paraId="3FC63D0E">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达标</w:t>
                  </w:r>
                </w:p>
              </w:tc>
            </w:tr>
          </w:tbl>
          <w:p w14:paraId="5F188256">
            <w:pPr>
              <w:keepNext w:val="0"/>
              <w:keepLines w:val="0"/>
              <w:pageBreakBefore w:val="0"/>
              <w:widowControl w:val="0"/>
              <w:suppressLineNumbers w:val="0"/>
              <w:kinsoku/>
              <w:wordWrap/>
              <w:overflowPunct/>
              <w:topLinePunct w:val="0"/>
              <w:autoSpaceDE w:val="0"/>
              <w:autoSpaceDN/>
              <w:bidi w:val="0"/>
              <w:adjustRightInd w:val="0"/>
              <w:snapToGrid w:val="0"/>
              <w:spacing w:before="157" w:beforeLines="5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lang w:val="en-US" w:eastAsia="zh-CN" w:bidi="ar"/>
              </w:rPr>
              <w:t>由表3-1可知，2024年池州市环境空气各项评价指标均满足《环境空气质量标准》（GB 3095-2012）中二级环境空气功能区对应污染物浓度限值，项目所在</w:t>
            </w:r>
            <w:r>
              <w:rPr>
                <w:rFonts w:hint="default" w:ascii="Times New Roman" w:hAnsi="Times New Roman" w:eastAsia="宋体" w:cs="Times New Roman"/>
                <w:color w:val="auto"/>
                <w:kern w:val="2"/>
                <w:sz w:val="24"/>
                <w:szCs w:val="24"/>
                <w:highlight w:val="none"/>
                <w:lang w:val="en-US" w:eastAsia="zh-CN" w:bidi="ar"/>
              </w:rPr>
              <w:t>区域判定为达标区。</w:t>
            </w:r>
          </w:p>
          <w:p w14:paraId="7C0B6E69">
            <w:pPr>
              <w:pStyle w:val="185"/>
              <w:adjustRightInd w:val="0"/>
              <w:snapToGrid w:val="0"/>
              <w:ind w:firstLine="480"/>
              <w:rPr>
                <w:rFonts w:hint="default" w:ascii="Times New Roman" w:hAnsi="Times New Roman" w:eastAsia="宋体" w:cs="Times New Roman"/>
                <w:b/>
                <w:bCs/>
                <w:color w:val="auto"/>
                <w:spacing w:val="-1"/>
                <w:highlight w:val="none"/>
                <w:lang w:eastAsia="zh-CN"/>
              </w:rPr>
            </w:pPr>
            <w:r>
              <w:rPr>
                <w:rFonts w:hint="default" w:ascii="Times New Roman" w:hAnsi="Times New Roman" w:eastAsia="宋体" w:cs="Times New Roman"/>
                <w:b/>
                <w:bCs/>
                <w:color w:val="auto"/>
                <w:spacing w:val="-1"/>
                <w:highlight w:val="none"/>
                <w:lang w:eastAsia="zh-CN"/>
              </w:rPr>
              <w:t>（2）</w:t>
            </w:r>
            <w:r>
              <w:rPr>
                <w:rFonts w:hint="default" w:ascii="Times New Roman" w:hAnsi="Times New Roman" w:eastAsia="宋体" w:cs="Times New Roman"/>
                <w:b/>
                <w:bCs/>
                <w:color w:val="auto"/>
                <w:spacing w:val="-1"/>
                <w:highlight w:val="none"/>
                <w:lang w:val="en-US" w:eastAsia="zh-CN"/>
              </w:rPr>
              <w:t>特征污染物</w:t>
            </w:r>
            <w:r>
              <w:rPr>
                <w:rFonts w:hint="default" w:ascii="Times New Roman" w:hAnsi="Times New Roman" w:eastAsia="宋体" w:cs="Times New Roman"/>
                <w:b/>
                <w:bCs/>
                <w:color w:val="auto"/>
                <w:spacing w:val="-1"/>
                <w:highlight w:val="none"/>
                <w:lang w:eastAsia="zh-CN"/>
              </w:rPr>
              <w:t>补充监测</w:t>
            </w:r>
          </w:p>
          <w:p w14:paraId="5180F60C">
            <w:pPr>
              <w:keepNext w:val="0"/>
              <w:keepLines w:val="0"/>
              <w:widowControl/>
              <w:suppressLineNumbers w:val="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 xml:space="preserve">①本项目其他污染因子为 TSP，根据《建设项目环境影响报告表编制技术指南（污染影响类）（试行）》，排放国家、地方环境空气质量标准中有标准限值要求的特征污染物时，引用建设项目周边5km范围内近3年的现有监测数据，无相关数据的选择当季主导风向下风向1个点位补充不少于3天的监测数据。 </w:t>
            </w:r>
          </w:p>
          <w:p w14:paraId="5BA747F4">
            <w:pPr>
              <w:keepNext w:val="0"/>
              <w:keepLines w:val="0"/>
              <w:widowControl/>
              <w:suppressLineNumbers w:val="0"/>
              <w:jc w:val="left"/>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kern w:val="0"/>
                <w:sz w:val="24"/>
                <w:szCs w:val="24"/>
                <w:highlight w:val="none"/>
                <w:lang w:val="en-US" w:eastAsia="zh-CN" w:bidi="ar"/>
              </w:rPr>
              <w:t>TSP引用《东至县久祥新型墙体材料有限公司监测数据》（2023年7月）中的G1（厂界东北）监测点数据，监测时间：2023年7月9日，引用的监测点位位于本项目西北侧约0.40km，引用的监测点位位于项目周边5km范围内，且为近3年的监测数据，满足引用要求。</w:t>
            </w:r>
          </w:p>
          <w:p w14:paraId="74763425">
            <w:pPr>
              <w:pStyle w:val="185"/>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color w:val="auto"/>
                <w:spacing w:val="-3"/>
                <w:sz w:val="21"/>
                <w:szCs w:val="21"/>
                <w:highlight w:val="none"/>
                <w:lang w:eastAsia="zh-CN"/>
              </w:rPr>
              <w:t xml:space="preserve">表3-2  </w:t>
            </w:r>
            <w:r>
              <w:rPr>
                <w:rFonts w:hint="default" w:ascii="Times New Roman" w:hAnsi="Times New Roman" w:eastAsia="宋体" w:cs="Times New Roman"/>
                <w:b/>
                <w:bCs/>
                <w:color w:val="auto"/>
                <w:spacing w:val="-3"/>
                <w:sz w:val="21"/>
                <w:szCs w:val="21"/>
                <w:highlight w:val="none"/>
                <w:lang w:val="en-US" w:eastAsia="zh-CN"/>
              </w:rPr>
              <w:t>监测点位基本信息</w:t>
            </w:r>
          </w:p>
          <w:tbl>
            <w:tblPr>
              <w:tblStyle w:val="113"/>
              <w:tblW w:w="8312" w:type="dxa"/>
              <w:tblInd w:w="-5"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0" w:type="dxa"/>
                <w:bottom w:w="0" w:type="dxa"/>
                <w:right w:w="0" w:type="dxa"/>
              </w:tblCellMar>
            </w:tblPr>
            <w:tblGrid>
              <w:gridCol w:w="1452"/>
              <w:gridCol w:w="1161"/>
              <w:gridCol w:w="2741"/>
              <w:gridCol w:w="2958"/>
            </w:tblGrid>
            <w:tr w14:paraId="3F24F6E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c>
                <w:tcPr>
                  <w:tcW w:w="873" w:type="pct"/>
                  <w:tcBorders>
                    <w:tl2br w:val="nil"/>
                    <w:tr2bl w:val="nil"/>
                  </w:tcBorders>
                  <w:vAlign w:val="center"/>
                </w:tcPr>
                <w:p w14:paraId="75BB5557">
                  <w:pPr>
                    <w:pStyle w:val="185"/>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pacing w:val="-2"/>
                      <w:sz w:val="21"/>
                      <w:szCs w:val="21"/>
                      <w:highlight w:val="none"/>
                      <w:lang w:val="en-US" w:eastAsia="zh-CN"/>
                    </w:rPr>
                    <w:t>编号</w:t>
                  </w:r>
                </w:p>
              </w:tc>
              <w:tc>
                <w:tcPr>
                  <w:tcW w:w="698" w:type="pct"/>
                  <w:tcBorders>
                    <w:tl2br w:val="nil"/>
                    <w:tr2bl w:val="nil"/>
                  </w:tcBorders>
                  <w:vAlign w:val="center"/>
                </w:tcPr>
                <w:p w14:paraId="2EC5EC02">
                  <w:pPr>
                    <w:pStyle w:val="185"/>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点位</w:t>
                  </w:r>
                </w:p>
              </w:tc>
              <w:tc>
                <w:tcPr>
                  <w:tcW w:w="1648" w:type="pct"/>
                  <w:tcBorders>
                    <w:tl2br w:val="nil"/>
                    <w:tr2bl w:val="nil"/>
                  </w:tcBorders>
                  <w:vAlign w:val="center"/>
                </w:tcPr>
                <w:p w14:paraId="79FBD6E0">
                  <w:pPr>
                    <w:pStyle w:val="185"/>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pacing w:val="-2"/>
                      <w:sz w:val="21"/>
                      <w:szCs w:val="21"/>
                      <w:highlight w:val="none"/>
                      <w:lang w:val="en-US" w:eastAsia="zh-CN"/>
                    </w:rPr>
                    <w:t>相对方位及最近距离</w:t>
                  </w:r>
                </w:p>
              </w:tc>
              <w:tc>
                <w:tcPr>
                  <w:tcW w:w="1778" w:type="pct"/>
                  <w:tcBorders>
                    <w:tl2br w:val="nil"/>
                    <w:tr2bl w:val="nil"/>
                  </w:tcBorders>
                  <w:vAlign w:val="center"/>
                </w:tcPr>
                <w:p w14:paraId="4D6F3A86">
                  <w:pPr>
                    <w:pStyle w:val="185"/>
                    <w:adjustRightInd w:val="0"/>
                    <w:snapToGrid w:val="0"/>
                    <w:spacing w:line="240" w:lineRule="auto"/>
                    <w:ind w:firstLine="0" w:firstLineChars="0"/>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pacing w:val="-5"/>
                      <w:sz w:val="21"/>
                      <w:szCs w:val="21"/>
                      <w:highlight w:val="none"/>
                      <w:lang w:val="en-US" w:eastAsia="zh-CN"/>
                    </w:rPr>
                    <w:t>功能</w:t>
                  </w:r>
                </w:p>
              </w:tc>
            </w:tr>
            <w:tr w14:paraId="6B43A82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c>
                <w:tcPr>
                  <w:tcW w:w="873" w:type="pct"/>
                  <w:tcBorders>
                    <w:tl2br w:val="nil"/>
                    <w:tr2bl w:val="nil"/>
                  </w:tcBorders>
                  <w:vAlign w:val="center"/>
                </w:tcPr>
                <w:p w14:paraId="0821D08C">
                  <w:pPr>
                    <w:pStyle w:val="185"/>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3"/>
                      <w:sz w:val="21"/>
                      <w:szCs w:val="21"/>
                      <w:highlight w:val="none"/>
                      <w:lang w:val="en-US" w:eastAsia="zh-CN"/>
                    </w:rPr>
                    <w:t>G1</w:t>
                  </w:r>
                </w:p>
              </w:tc>
              <w:tc>
                <w:tcPr>
                  <w:tcW w:w="698" w:type="pct"/>
                  <w:tcBorders>
                    <w:tl2br w:val="nil"/>
                    <w:tr2bl w:val="nil"/>
                  </w:tcBorders>
                  <w:vAlign w:val="center"/>
                </w:tcPr>
                <w:p w14:paraId="144A344C">
                  <w:pPr>
                    <w:pStyle w:val="185"/>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项目所在地</w:t>
                  </w:r>
                </w:p>
              </w:tc>
              <w:tc>
                <w:tcPr>
                  <w:tcW w:w="1648" w:type="pct"/>
                  <w:tcBorders>
                    <w:tl2br w:val="nil"/>
                    <w:tr2bl w:val="nil"/>
                  </w:tcBorders>
                  <w:vAlign w:val="center"/>
                </w:tcPr>
                <w:p w14:paraId="7DC50C3E">
                  <w:pPr>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1"/>
                      <w:sz w:val="21"/>
                      <w:szCs w:val="21"/>
                      <w:highlight w:val="none"/>
                      <w:lang w:val="en-US" w:eastAsia="zh-CN"/>
                    </w:rPr>
                    <w:t>0.40km</w:t>
                  </w:r>
                </w:p>
              </w:tc>
              <w:tc>
                <w:tcPr>
                  <w:tcW w:w="1778" w:type="pct"/>
                  <w:tcBorders>
                    <w:tl2br w:val="nil"/>
                    <w:tr2bl w:val="nil"/>
                  </w:tcBorders>
                  <w:vAlign w:val="center"/>
                </w:tcPr>
                <w:p w14:paraId="0B738F0D">
                  <w:pPr>
                    <w:pStyle w:val="7"/>
                    <w:spacing w:line="240" w:lineRule="auto"/>
                    <w:ind w:left="0" w:lef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厂址</w:t>
                  </w:r>
                </w:p>
              </w:tc>
            </w:tr>
          </w:tbl>
          <w:p w14:paraId="7FDF87FC">
            <w:pPr>
              <w:pStyle w:val="185"/>
              <w:adjustRightInd w:val="0"/>
              <w:snapToGrid w:val="0"/>
              <w:ind w:firstLine="478"/>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spacing w:val="-1"/>
                <w:highlight w:val="none"/>
                <w:lang w:val="en-US" w:eastAsia="zh-CN"/>
              </w:rPr>
              <w:t>②</w:t>
            </w:r>
            <w:r>
              <w:rPr>
                <w:rFonts w:hint="default" w:ascii="Times New Roman" w:hAnsi="Times New Roman" w:eastAsia="宋体" w:cs="Times New Roman"/>
                <w:color w:val="auto"/>
                <w:spacing w:val="-1"/>
                <w:highlight w:val="none"/>
                <w:lang w:eastAsia="zh-CN"/>
              </w:rPr>
              <w:t>评价方法</w:t>
            </w:r>
          </w:p>
          <w:p w14:paraId="3D70DD23">
            <w:pPr>
              <w:pStyle w:val="185"/>
              <w:adjustRightInd w:val="0"/>
              <w:snapToGrid w:val="0"/>
              <w:ind w:firstLine="478"/>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spacing w:val="-1"/>
                <w:highlight w:val="none"/>
                <w:lang w:eastAsia="zh-CN"/>
              </w:rPr>
              <w:t>采用单项标准指数法，数学表达式如下：</w:t>
            </w:r>
          </w:p>
          <w:p w14:paraId="2DE054AB">
            <w:pPr>
              <w:pStyle w:val="185"/>
              <w:adjustRightInd w:val="0"/>
              <w:snapToGrid w:val="0"/>
              <w:ind w:firstLine="0" w:firstLineChars="0"/>
              <w:jc w:val="center"/>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spacing w:val="-1"/>
                <w:highlight w:val="none"/>
                <w:lang w:eastAsia="zh-CN"/>
              </w:rPr>
              <w:drawing>
                <wp:inline distT="0" distB="0" distL="0" distR="0">
                  <wp:extent cx="755015" cy="210185"/>
                  <wp:effectExtent l="0" t="0" r="6985" b="18415"/>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25"/>
                          <a:stretch>
                            <a:fillRect/>
                          </a:stretch>
                        </pic:blipFill>
                        <pic:spPr>
                          <a:xfrm>
                            <a:off x="0" y="0"/>
                            <a:ext cx="755141" cy="210311"/>
                          </a:xfrm>
                          <a:prstGeom prst="rect">
                            <a:avLst/>
                          </a:prstGeom>
                        </pic:spPr>
                      </pic:pic>
                    </a:graphicData>
                  </a:graphic>
                </wp:inline>
              </w:drawing>
            </w:r>
          </w:p>
          <w:p w14:paraId="121CEC81">
            <w:pPr>
              <w:pStyle w:val="185"/>
              <w:adjustRightInd w:val="0"/>
              <w:snapToGrid w:val="0"/>
              <w:ind w:firstLine="478"/>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spacing w:val="-1"/>
                <w:highlight w:val="none"/>
                <w:lang w:eastAsia="zh-CN"/>
              </w:rPr>
              <w:t>式中：I</w:t>
            </w:r>
            <w:r>
              <w:rPr>
                <w:rFonts w:hint="default" w:ascii="Times New Roman" w:hAnsi="Times New Roman" w:eastAsia="宋体" w:cs="Times New Roman"/>
                <w:color w:val="auto"/>
                <w:spacing w:val="-1"/>
                <w:highlight w:val="none"/>
                <w:vertAlign w:val="subscript"/>
                <w:lang w:eastAsia="zh-CN"/>
              </w:rPr>
              <w:t>i</w:t>
            </w:r>
            <w:r>
              <w:rPr>
                <w:rFonts w:hint="default" w:ascii="Times New Roman" w:hAnsi="Times New Roman" w:eastAsia="宋体" w:cs="Times New Roman"/>
                <w:color w:val="auto"/>
                <w:spacing w:val="-1"/>
                <w:highlight w:val="none"/>
                <w:lang w:eastAsia="zh-CN"/>
              </w:rPr>
              <w:t>—第i种污染物环境质量指数；</w:t>
            </w:r>
          </w:p>
          <w:p w14:paraId="7AA9D62B">
            <w:pPr>
              <w:pStyle w:val="185"/>
              <w:adjustRightInd w:val="0"/>
              <w:snapToGrid w:val="0"/>
              <w:ind w:firstLine="478"/>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spacing w:val="-1"/>
                <w:highlight w:val="none"/>
                <w:lang w:eastAsia="zh-CN"/>
              </w:rPr>
              <w:t>C</w:t>
            </w:r>
            <w:r>
              <w:rPr>
                <w:rFonts w:hint="default" w:ascii="Times New Roman" w:hAnsi="Times New Roman" w:eastAsia="宋体" w:cs="Times New Roman"/>
                <w:color w:val="auto"/>
                <w:spacing w:val="-1"/>
                <w:highlight w:val="none"/>
                <w:vertAlign w:val="subscript"/>
                <w:lang w:eastAsia="zh-CN"/>
              </w:rPr>
              <w:t>i</w:t>
            </w:r>
            <w:r>
              <w:rPr>
                <w:rFonts w:hint="default" w:ascii="Times New Roman" w:hAnsi="Times New Roman" w:eastAsia="宋体" w:cs="Times New Roman"/>
                <w:color w:val="auto"/>
                <w:spacing w:val="-1"/>
                <w:highlight w:val="none"/>
                <w:lang w:eastAsia="zh-CN"/>
              </w:rPr>
              <w:t>—第i种污染物的平均浓度，ug/m</w:t>
            </w:r>
            <w:r>
              <w:rPr>
                <w:rFonts w:hint="default" w:ascii="Times New Roman" w:hAnsi="Times New Roman" w:eastAsia="宋体" w:cs="Times New Roman"/>
                <w:color w:val="auto"/>
                <w:spacing w:val="-1"/>
                <w:highlight w:val="none"/>
                <w:vertAlign w:val="superscript"/>
                <w:lang w:eastAsia="zh-CN"/>
              </w:rPr>
              <w:t>3</w:t>
            </w:r>
            <w:r>
              <w:rPr>
                <w:rFonts w:hint="default" w:ascii="Times New Roman" w:hAnsi="Times New Roman" w:eastAsia="宋体" w:cs="Times New Roman"/>
                <w:color w:val="auto"/>
                <w:spacing w:val="-1"/>
                <w:highlight w:val="none"/>
                <w:lang w:eastAsia="zh-CN"/>
              </w:rPr>
              <w:t>；</w:t>
            </w:r>
          </w:p>
          <w:p w14:paraId="608A307F">
            <w:pPr>
              <w:pStyle w:val="185"/>
              <w:adjustRightInd w:val="0"/>
              <w:snapToGrid w:val="0"/>
              <w:ind w:firstLine="478"/>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spacing w:val="-1"/>
                <w:highlight w:val="none"/>
                <w:lang w:eastAsia="zh-CN"/>
              </w:rPr>
              <w:t>C</w:t>
            </w:r>
            <w:r>
              <w:rPr>
                <w:rFonts w:hint="default" w:ascii="Times New Roman" w:hAnsi="Times New Roman" w:eastAsia="宋体" w:cs="Times New Roman"/>
                <w:color w:val="auto"/>
                <w:spacing w:val="-1"/>
                <w:highlight w:val="none"/>
                <w:vertAlign w:val="subscript"/>
                <w:lang w:eastAsia="zh-CN"/>
              </w:rPr>
              <w:t>o</w:t>
            </w:r>
            <w:r>
              <w:rPr>
                <w:rFonts w:hint="default" w:ascii="Times New Roman" w:hAnsi="Times New Roman" w:eastAsia="宋体" w:cs="Times New Roman"/>
                <w:color w:val="auto"/>
                <w:spacing w:val="-1"/>
                <w:highlight w:val="none"/>
                <w:lang w:eastAsia="zh-CN"/>
              </w:rPr>
              <w:t>—第i种污染物环境质量标准，ug/m</w:t>
            </w:r>
            <w:r>
              <w:rPr>
                <w:rFonts w:hint="eastAsia" w:ascii="Times New Roman" w:hAnsi="Times New Roman" w:cs="Times New Roman"/>
                <w:color w:val="auto"/>
                <w:spacing w:val="-1"/>
                <w:highlight w:val="none"/>
                <w:vertAlign w:val="superscript"/>
                <w:lang w:val="en-US" w:eastAsia="zh-CN"/>
              </w:rPr>
              <w:t>3</w:t>
            </w:r>
            <w:r>
              <w:rPr>
                <w:rFonts w:hint="default" w:ascii="Times New Roman" w:hAnsi="Times New Roman" w:eastAsia="宋体" w:cs="Times New Roman"/>
                <w:color w:val="auto"/>
                <w:spacing w:val="-1"/>
                <w:highlight w:val="none"/>
                <w:lang w:eastAsia="zh-CN"/>
              </w:rPr>
              <w:t>。</w:t>
            </w:r>
          </w:p>
          <w:p w14:paraId="30736229">
            <w:pPr>
              <w:pStyle w:val="185"/>
              <w:numPr>
                <w:ilvl w:val="0"/>
                <w:numId w:val="6"/>
              </w:numPr>
              <w:adjustRightInd w:val="0"/>
              <w:snapToGrid w:val="0"/>
              <w:ind w:firstLine="478"/>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spacing w:val="-1"/>
                <w:highlight w:val="none"/>
                <w:lang w:eastAsia="zh-CN"/>
              </w:rPr>
              <w:t>评价结果</w:t>
            </w:r>
          </w:p>
          <w:p w14:paraId="5589998F">
            <w:pPr>
              <w:pStyle w:val="185"/>
              <w:adjustRightInd w:val="0"/>
              <w:snapToGrid w:val="0"/>
              <w:ind w:left="480" w:leftChars="200" w:firstLine="0" w:firstLineChars="0"/>
              <w:rPr>
                <w:rFonts w:hint="default" w:ascii="Times New Roman" w:hAnsi="Times New Roman" w:eastAsia="宋体" w:cs="Times New Roman"/>
                <w:color w:val="auto"/>
                <w:spacing w:val="-1"/>
                <w:highlight w:val="none"/>
                <w:lang w:eastAsia="zh-CN"/>
              </w:rPr>
            </w:pPr>
            <w:r>
              <w:rPr>
                <w:rFonts w:hint="default" w:ascii="Times New Roman" w:hAnsi="Times New Roman" w:eastAsia="宋体" w:cs="Times New Roman"/>
                <w:color w:val="auto"/>
                <w:spacing w:val="-1"/>
                <w:highlight w:val="none"/>
                <w:lang w:eastAsia="zh-CN"/>
              </w:rPr>
              <w:t>评价结果见表3-3。</w:t>
            </w:r>
          </w:p>
          <w:p w14:paraId="1AD4D48C">
            <w:pPr>
              <w:pStyle w:val="185"/>
              <w:spacing w:before="36" w:line="212" w:lineRule="auto"/>
              <w:ind w:firstLine="0" w:firstLineChars="0"/>
              <w:jc w:val="center"/>
              <w:rPr>
                <w:rFonts w:hint="default" w:ascii="Times New Roman" w:hAnsi="Times New Roman" w:eastAsia="宋体" w:cs="Times New Roman"/>
                <w:b/>
                <w:bCs/>
                <w:color w:val="auto"/>
                <w:spacing w:val="-2"/>
                <w:sz w:val="21"/>
                <w:szCs w:val="21"/>
                <w:lang w:eastAsia="zh-CN"/>
              </w:rPr>
            </w:pPr>
            <w:r>
              <w:rPr>
                <w:rFonts w:hint="default" w:ascii="Times New Roman" w:hAnsi="Times New Roman" w:eastAsia="宋体" w:cs="Times New Roman"/>
                <w:b/>
                <w:bCs/>
                <w:color w:val="auto"/>
                <w:spacing w:val="-2"/>
                <w:sz w:val="21"/>
                <w:szCs w:val="21"/>
                <w:lang w:eastAsia="zh-CN"/>
              </w:rPr>
              <w:t>表3-3  环境空气质量现状评价结果</w:t>
            </w:r>
          </w:p>
          <w:tbl>
            <w:tblPr>
              <w:tblStyle w:val="34"/>
              <w:tblW w:w="4996"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06"/>
              <w:gridCol w:w="525"/>
              <w:gridCol w:w="1634"/>
              <w:gridCol w:w="1634"/>
              <w:gridCol w:w="1137"/>
              <w:gridCol w:w="1195"/>
              <w:gridCol w:w="752"/>
              <w:gridCol w:w="811"/>
            </w:tblGrid>
            <w:tr w14:paraId="70E994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365" w:type="pct"/>
                  <w:vAlign w:val="center"/>
                </w:tcPr>
                <w:p w14:paraId="71EAD147">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检测点位</w:t>
                  </w:r>
                </w:p>
              </w:tc>
              <w:tc>
                <w:tcPr>
                  <w:tcW w:w="316" w:type="pct"/>
                  <w:vAlign w:val="center"/>
                </w:tcPr>
                <w:p w14:paraId="586B8980">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污染物</w:t>
                  </w:r>
                </w:p>
              </w:tc>
              <w:tc>
                <w:tcPr>
                  <w:tcW w:w="984" w:type="pct"/>
                  <w:vAlign w:val="center"/>
                </w:tcPr>
                <w:p w14:paraId="4BF3C87F">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平均时间</w:t>
                  </w:r>
                </w:p>
              </w:tc>
              <w:tc>
                <w:tcPr>
                  <w:tcW w:w="984" w:type="pct"/>
                  <w:vAlign w:val="center"/>
                </w:tcPr>
                <w:p w14:paraId="3086E551">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浓度范围（mg/m</w:t>
                  </w:r>
                  <w:r>
                    <w:rPr>
                      <w:rFonts w:hint="default" w:ascii="Times New Roman" w:hAnsi="Times New Roman" w:eastAsia="宋体" w:cs="Times New Roman"/>
                      <w:b/>
                      <w:bCs/>
                      <w:color w:val="auto"/>
                      <w:sz w:val="21"/>
                      <w:szCs w:val="21"/>
                      <w:vertAlign w:val="superscript"/>
                    </w:rPr>
                    <w:t>3</w:t>
                  </w:r>
                  <w:r>
                    <w:rPr>
                      <w:rFonts w:hint="default" w:ascii="Times New Roman" w:hAnsi="Times New Roman" w:eastAsia="宋体" w:cs="Times New Roman"/>
                      <w:b/>
                      <w:bCs/>
                      <w:color w:val="auto"/>
                      <w:sz w:val="21"/>
                      <w:szCs w:val="21"/>
                    </w:rPr>
                    <w:t>）</w:t>
                  </w:r>
                </w:p>
              </w:tc>
              <w:tc>
                <w:tcPr>
                  <w:tcW w:w="685" w:type="pct"/>
                  <w:vAlign w:val="center"/>
                </w:tcPr>
                <w:p w14:paraId="42182AE5">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评价标准（mg/m</w:t>
                  </w:r>
                  <w:r>
                    <w:rPr>
                      <w:rFonts w:hint="default" w:ascii="Times New Roman" w:hAnsi="Times New Roman" w:eastAsia="宋体" w:cs="Times New Roman"/>
                      <w:b/>
                      <w:bCs/>
                      <w:color w:val="auto"/>
                      <w:sz w:val="21"/>
                      <w:szCs w:val="21"/>
                      <w:vertAlign w:val="superscript"/>
                    </w:rPr>
                    <w:t>3</w:t>
                  </w:r>
                  <w:r>
                    <w:rPr>
                      <w:rFonts w:hint="default" w:ascii="Times New Roman" w:hAnsi="Times New Roman" w:eastAsia="宋体" w:cs="Times New Roman"/>
                      <w:b/>
                      <w:bCs/>
                      <w:color w:val="auto"/>
                      <w:sz w:val="21"/>
                      <w:szCs w:val="21"/>
                    </w:rPr>
                    <w:t>）</w:t>
                  </w:r>
                </w:p>
              </w:tc>
              <w:tc>
                <w:tcPr>
                  <w:tcW w:w="720" w:type="pct"/>
                  <w:vAlign w:val="center"/>
                </w:tcPr>
                <w:p w14:paraId="34325E32">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最大浓度占标率（%）</w:t>
                  </w:r>
                </w:p>
              </w:tc>
              <w:tc>
                <w:tcPr>
                  <w:tcW w:w="453" w:type="pct"/>
                  <w:vAlign w:val="center"/>
                </w:tcPr>
                <w:p w14:paraId="0B547730">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超标率（%）</w:t>
                  </w:r>
                </w:p>
              </w:tc>
              <w:tc>
                <w:tcPr>
                  <w:tcW w:w="488" w:type="pct"/>
                  <w:vAlign w:val="center"/>
                </w:tcPr>
                <w:p w14:paraId="426D29CE">
                  <w:pPr>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达标情况</w:t>
                  </w:r>
                </w:p>
              </w:tc>
            </w:tr>
            <w:tr w14:paraId="7407F6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365" w:type="pct"/>
                  <w:vAlign w:val="center"/>
                </w:tcPr>
                <w:p w14:paraId="47F001D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bookmarkStart w:id="63" w:name="OLE_LINK327" w:colFirst="2" w:colLast="3"/>
                  <w:r>
                    <w:rPr>
                      <w:rFonts w:hint="default" w:ascii="Times New Roman" w:hAnsi="Times New Roman" w:eastAsia="宋体" w:cs="Times New Roman"/>
                      <w:color w:val="auto"/>
                      <w:spacing w:val="-3"/>
                      <w:sz w:val="21"/>
                      <w:szCs w:val="21"/>
                      <w:lang w:val="en-US" w:eastAsia="zh-CN"/>
                    </w:rPr>
                    <w:t>陈屋</w:t>
                  </w:r>
                </w:p>
              </w:tc>
              <w:tc>
                <w:tcPr>
                  <w:tcW w:w="316" w:type="pct"/>
                  <w:vAlign w:val="center"/>
                </w:tcPr>
                <w:p w14:paraId="5D83C18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TSP</w:t>
                  </w:r>
                </w:p>
              </w:tc>
              <w:tc>
                <w:tcPr>
                  <w:tcW w:w="984" w:type="pct"/>
                  <w:vAlign w:val="center"/>
                </w:tcPr>
                <w:p w14:paraId="48A735EE">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24小时平均</w:t>
                  </w:r>
                </w:p>
              </w:tc>
              <w:tc>
                <w:tcPr>
                  <w:tcW w:w="984" w:type="pct"/>
                  <w:vAlign w:val="center"/>
                </w:tcPr>
                <w:p w14:paraId="7E992664">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9.2-10.3</w:t>
                  </w:r>
                </w:p>
              </w:tc>
              <w:tc>
                <w:tcPr>
                  <w:tcW w:w="685" w:type="pct"/>
                  <w:vAlign w:val="center"/>
                </w:tcPr>
                <w:p w14:paraId="5462B5C6">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300</w:t>
                  </w:r>
                </w:p>
              </w:tc>
              <w:tc>
                <w:tcPr>
                  <w:tcW w:w="720" w:type="pct"/>
                  <w:vAlign w:val="center"/>
                </w:tcPr>
                <w:p w14:paraId="69E4590D">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37</w:t>
                  </w:r>
                </w:p>
              </w:tc>
              <w:tc>
                <w:tcPr>
                  <w:tcW w:w="453" w:type="pct"/>
                  <w:vAlign w:val="center"/>
                </w:tcPr>
                <w:p w14:paraId="783925AE">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w:t>
                  </w:r>
                </w:p>
              </w:tc>
              <w:tc>
                <w:tcPr>
                  <w:tcW w:w="488" w:type="pct"/>
                  <w:vAlign w:val="center"/>
                </w:tcPr>
                <w:p w14:paraId="43677BDF">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bookmarkEnd w:id="63"/>
          </w:tbl>
          <w:p w14:paraId="709B7E6F">
            <w:pPr>
              <w:tabs>
                <w:tab w:val="left" w:pos="720"/>
              </w:tabs>
              <w:adjustRightInd w:val="0"/>
              <w:spacing w:line="360" w:lineRule="auto"/>
              <w:ind w:firstLine="488" w:firstLineChars="200"/>
              <w:rPr>
                <w:rFonts w:hint="default" w:ascii="Times New Roman" w:hAnsi="Times New Roman" w:eastAsia="宋体" w:cs="Times New Roman"/>
                <w:color w:val="auto"/>
                <w:spacing w:val="2"/>
                <w:sz w:val="24"/>
              </w:rPr>
            </w:pPr>
            <w:r>
              <w:rPr>
                <w:rFonts w:hint="default" w:ascii="Times New Roman" w:hAnsi="Times New Roman" w:eastAsia="宋体" w:cs="Times New Roman"/>
                <w:color w:val="auto"/>
                <w:spacing w:val="2"/>
                <w:sz w:val="24"/>
              </w:rPr>
              <w:t>引用监测及</w:t>
            </w:r>
            <w:bookmarkStart w:id="64" w:name="OLE_LINK328"/>
            <w:r>
              <w:rPr>
                <w:rFonts w:hint="default" w:ascii="Times New Roman" w:hAnsi="Times New Roman" w:eastAsia="宋体" w:cs="Times New Roman"/>
                <w:color w:val="auto"/>
                <w:spacing w:val="2"/>
                <w:sz w:val="24"/>
              </w:rPr>
              <w:t>评价结果表明，区域</w:t>
            </w:r>
            <w:bookmarkEnd w:id="64"/>
            <w:r>
              <w:rPr>
                <w:rFonts w:hint="default" w:ascii="Times New Roman" w:hAnsi="Times New Roman" w:eastAsia="宋体" w:cs="Times New Roman"/>
                <w:color w:val="auto"/>
                <w:spacing w:val="2"/>
                <w:sz w:val="24"/>
              </w:rPr>
              <w:t>TSP满足《环境空气质量标准最新》（GB3095-2012）中二级标准限值要求。</w:t>
            </w:r>
          </w:p>
          <w:p w14:paraId="184E5473">
            <w:pPr>
              <w:pStyle w:val="185"/>
              <w:adjustRightInd w:val="0"/>
              <w:snapToGrid w:val="0"/>
              <w:ind w:firstLine="480"/>
              <w:rPr>
                <w:rFonts w:hint="default" w:ascii="Times New Roman" w:hAnsi="Times New Roman" w:eastAsia="宋体" w:cs="Times New Roman"/>
                <w:b/>
                <w:bCs/>
                <w:color w:val="auto"/>
                <w:spacing w:val="-1"/>
                <w:lang w:eastAsia="zh-CN"/>
              </w:rPr>
            </w:pPr>
            <w:r>
              <w:rPr>
                <w:rFonts w:hint="default" w:ascii="Times New Roman" w:hAnsi="Times New Roman" w:eastAsia="宋体" w:cs="Times New Roman"/>
                <w:b/>
                <w:bCs/>
                <w:color w:val="auto"/>
                <w:spacing w:val="-1"/>
                <w:lang w:eastAsia="zh-CN"/>
              </w:rPr>
              <w:t>2.地表水环境质量现状</w:t>
            </w:r>
          </w:p>
          <w:p w14:paraId="7D21ED15">
            <w:pPr>
              <w:tabs>
                <w:tab w:val="left" w:pos="720"/>
              </w:tabs>
              <w:adjustRightInd w:val="0"/>
              <w:spacing w:line="360" w:lineRule="auto"/>
              <w:ind w:firstLine="488" w:firstLineChars="200"/>
              <w:rPr>
                <w:rFonts w:hint="default" w:ascii="Times New Roman" w:hAnsi="Times New Roman" w:eastAsia="宋体" w:cs="Times New Roman"/>
                <w:color w:val="auto"/>
                <w:spacing w:val="2"/>
                <w:sz w:val="24"/>
              </w:rPr>
            </w:pPr>
            <w:r>
              <w:rPr>
                <w:rFonts w:hint="default" w:ascii="Times New Roman" w:hAnsi="Times New Roman" w:eastAsia="宋体" w:cs="Times New Roman"/>
                <w:color w:val="auto"/>
                <w:spacing w:val="2"/>
                <w:sz w:val="24"/>
              </w:rPr>
              <w:t>根据池州市生态环境局2025年6月发布的《2024年池州市生态环境状况公报》，2024年全市长江</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池州段</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秋浦河、青通河、尧渡河、黄湓河、九华河、龙泉河、陵阳河、白洋河、香隅河、丁香河、石台清溪河、王村河等河流和升金湖、平天湖、牛桥水库、古潭水库、石湖水库等湖库共计25个国省控考核监测断面(点位)，其中达到I类水的断面</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点位</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有3个，占12%</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达到类水的断面(点位)有17个，占68%</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达到</w:t>
            </w:r>
            <w:r>
              <w:rPr>
                <w:rFonts w:hint="default" w:ascii="Times New Roman" w:hAnsi="Times New Roman" w:eastAsia="宋体" w:cs="Times New Roman"/>
                <w:color w:val="auto"/>
                <w:kern w:val="2"/>
                <w:sz w:val="24"/>
                <w:szCs w:val="24"/>
                <w:lang w:val="en-US" w:eastAsia="zh-CN" w:bidi="ar-SA"/>
              </w:rPr>
              <w:t>Ⅲ</w:t>
            </w:r>
            <w:r>
              <w:rPr>
                <w:rFonts w:hint="default" w:ascii="Times New Roman" w:hAnsi="Times New Roman" w:eastAsia="宋体" w:cs="Times New Roman"/>
                <w:color w:val="auto"/>
                <w:spacing w:val="2"/>
                <w:sz w:val="24"/>
              </w:rPr>
              <w:t>类水的断面</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点位</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有5个，占20%。</w:t>
            </w:r>
          </w:p>
          <w:p w14:paraId="1B841F40">
            <w:pPr>
              <w:widowControl w:val="0"/>
              <w:spacing w:line="360" w:lineRule="auto"/>
              <w:ind w:firstLine="488" w:firstLineChars="200"/>
              <w:jc w:val="both"/>
              <w:rPr>
                <w:rFonts w:hint="default" w:ascii="Times New Roman" w:hAnsi="Times New Roman" w:eastAsia="宋体" w:cs="Times New Roman"/>
                <w:color w:val="auto"/>
                <w:sz w:val="24"/>
              </w:rPr>
            </w:pPr>
            <w:r>
              <w:rPr>
                <w:rFonts w:hint="default" w:ascii="Times New Roman" w:hAnsi="Times New Roman" w:eastAsia="宋体" w:cs="Times New Roman"/>
                <w:color w:val="auto"/>
                <w:spacing w:val="2"/>
                <w:sz w:val="24"/>
                <w:lang w:eastAsia="zh-CN"/>
              </w:rPr>
              <w:t>项目</w:t>
            </w:r>
            <w:r>
              <w:rPr>
                <w:rFonts w:hint="default" w:ascii="Times New Roman" w:hAnsi="Times New Roman" w:eastAsia="宋体" w:cs="Times New Roman"/>
                <w:color w:val="auto"/>
                <w:spacing w:val="2"/>
                <w:sz w:val="24"/>
              </w:rPr>
              <w:t>涉及的尧渡河、长江</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池州段</w:t>
            </w:r>
            <w:r>
              <w:rPr>
                <w:rFonts w:hint="default" w:ascii="Times New Roman" w:hAnsi="Times New Roman" w:eastAsia="宋体" w:cs="Times New Roman"/>
                <w:color w:val="auto"/>
                <w:spacing w:val="2"/>
                <w:sz w:val="24"/>
                <w:lang w:eastAsia="zh-CN"/>
              </w:rPr>
              <w:t>）</w:t>
            </w:r>
            <w:r>
              <w:rPr>
                <w:rFonts w:hint="default" w:ascii="Times New Roman" w:hAnsi="Times New Roman" w:eastAsia="宋体" w:cs="Times New Roman"/>
                <w:color w:val="auto"/>
                <w:spacing w:val="2"/>
                <w:sz w:val="24"/>
              </w:rPr>
              <w:t>等水系均满足《地表水环境质量标准》(GB3838-2002)中的</w:t>
            </w:r>
            <w:r>
              <w:rPr>
                <w:rFonts w:hint="default" w:ascii="Times New Roman" w:hAnsi="Times New Roman" w:eastAsia="宋体" w:cs="Times New Roman"/>
                <w:color w:val="auto"/>
                <w:kern w:val="2"/>
                <w:sz w:val="24"/>
                <w:szCs w:val="24"/>
                <w:lang w:val="en-US" w:eastAsia="zh-CN" w:bidi="ar-SA"/>
              </w:rPr>
              <w:t>Ⅲ类水体水质要求，项目所在地地表水质量良好</w:t>
            </w:r>
            <w:r>
              <w:rPr>
                <w:rFonts w:hint="default" w:ascii="Times New Roman" w:hAnsi="Times New Roman" w:eastAsia="宋体" w:cs="Times New Roman"/>
                <w:color w:val="auto"/>
                <w:kern w:val="2"/>
                <w:sz w:val="24"/>
                <w:szCs w:val="24"/>
                <w:lang w:val="en-US" w:eastAsia="en-US" w:bidi="ar-SA"/>
              </w:rPr>
              <w:t>。</w:t>
            </w:r>
          </w:p>
          <w:p w14:paraId="7C954F0A">
            <w:pPr>
              <w:pStyle w:val="185"/>
              <w:adjustRightInd w:val="0"/>
              <w:snapToGrid w:val="0"/>
              <w:ind w:firstLine="480"/>
              <w:rPr>
                <w:rFonts w:hint="default" w:ascii="Times New Roman" w:hAnsi="Times New Roman" w:eastAsia="宋体" w:cs="Times New Roman"/>
                <w:b/>
                <w:bCs/>
                <w:color w:val="auto"/>
                <w:spacing w:val="-1"/>
                <w:lang w:eastAsia="zh-CN"/>
              </w:rPr>
            </w:pPr>
            <w:r>
              <w:rPr>
                <w:rFonts w:hint="default" w:ascii="Times New Roman" w:hAnsi="Times New Roman" w:eastAsia="宋体" w:cs="Times New Roman"/>
                <w:b/>
                <w:bCs/>
                <w:color w:val="auto"/>
                <w:spacing w:val="-1"/>
                <w:lang w:eastAsia="zh-CN"/>
              </w:rPr>
              <w:t>3.声环境质量现状</w:t>
            </w:r>
          </w:p>
          <w:p w14:paraId="7135E5CF">
            <w:pPr>
              <w:tabs>
                <w:tab w:val="left" w:pos="720"/>
              </w:tabs>
              <w:adjustRightInd w:val="0"/>
              <w:spacing w:line="360" w:lineRule="auto"/>
              <w:ind w:firstLine="488" w:firstLineChars="200"/>
              <w:rPr>
                <w:rFonts w:hint="default" w:ascii="Times New Roman" w:hAnsi="Times New Roman" w:eastAsia="宋体" w:cs="Times New Roman"/>
                <w:color w:val="auto"/>
                <w:spacing w:val="2"/>
                <w:sz w:val="24"/>
                <w:lang w:eastAsia="zh-CN"/>
              </w:rPr>
            </w:pPr>
            <w:r>
              <w:rPr>
                <w:rFonts w:hint="default" w:ascii="Times New Roman" w:hAnsi="Times New Roman" w:eastAsia="宋体" w:cs="Times New Roman"/>
                <w:color w:val="auto"/>
                <w:spacing w:val="2"/>
                <w:sz w:val="24"/>
                <w:lang w:eastAsia="zh-CN"/>
              </w:rPr>
              <w:t>根据</w:t>
            </w:r>
            <w:r>
              <w:rPr>
                <w:rFonts w:hint="default" w:ascii="Times New Roman" w:hAnsi="Times New Roman" w:eastAsia="宋体" w:cs="Times New Roman"/>
                <w:color w:val="auto"/>
                <w:spacing w:val="2"/>
                <w:sz w:val="24"/>
                <w:lang w:val="en-US" w:eastAsia="zh-CN"/>
              </w:rPr>
              <w:t>“</w:t>
            </w:r>
            <w:r>
              <w:rPr>
                <w:rFonts w:hint="default" w:ascii="Times New Roman" w:hAnsi="Times New Roman" w:eastAsia="宋体" w:cs="Times New Roman"/>
                <w:color w:val="auto"/>
                <w:spacing w:val="2"/>
                <w:sz w:val="24"/>
                <w:lang w:eastAsia="zh-CN"/>
              </w:rPr>
              <w:t>建设项目环境影响报告表编制技术指南（污染影响类）（试行）</w:t>
            </w:r>
            <w:r>
              <w:rPr>
                <w:rFonts w:hint="default" w:ascii="Times New Roman" w:hAnsi="Times New Roman" w:eastAsia="宋体" w:cs="Times New Roman"/>
                <w:color w:val="auto"/>
                <w:spacing w:val="2"/>
                <w:sz w:val="24"/>
                <w:lang w:val="en-US" w:eastAsia="zh-CN"/>
              </w:rPr>
              <w:t>”</w:t>
            </w:r>
            <w:r>
              <w:rPr>
                <w:rFonts w:hint="default" w:ascii="Times New Roman" w:hAnsi="Times New Roman" w:eastAsia="宋体" w:cs="Times New Roman"/>
                <w:color w:val="auto"/>
                <w:spacing w:val="2"/>
                <w:sz w:val="24"/>
                <w:lang w:eastAsia="zh-CN"/>
              </w:rPr>
              <w:t>，项目厂界外周边50米范围内不存在声环境保护目标，因此无需进行声环境质量现状监测。</w:t>
            </w:r>
          </w:p>
          <w:p w14:paraId="13B0CF4D">
            <w:pPr>
              <w:pStyle w:val="185"/>
              <w:adjustRightInd w:val="0"/>
              <w:snapToGrid w:val="0"/>
              <w:ind w:firstLine="480"/>
              <w:rPr>
                <w:rFonts w:hint="default" w:ascii="Times New Roman" w:hAnsi="Times New Roman" w:eastAsia="宋体" w:cs="Times New Roman"/>
                <w:b/>
                <w:bCs/>
                <w:color w:val="auto"/>
                <w:spacing w:val="-1"/>
                <w:lang w:eastAsia="zh-CN"/>
              </w:rPr>
            </w:pPr>
            <w:r>
              <w:rPr>
                <w:rFonts w:hint="default" w:ascii="Times New Roman" w:hAnsi="Times New Roman" w:eastAsia="宋体" w:cs="Times New Roman"/>
                <w:b/>
                <w:bCs/>
                <w:color w:val="auto"/>
                <w:spacing w:val="-1"/>
                <w:lang w:eastAsia="zh-CN"/>
              </w:rPr>
              <w:t>4.生态环境质量现状</w:t>
            </w:r>
          </w:p>
          <w:p w14:paraId="010D8A4E">
            <w:pPr>
              <w:pStyle w:val="185"/>
              <w:adjustRightInd w:val="0"/>
              <w:snapToGrid w:val="0"/>
              <w:ind w:firstLine="478"/>
              <w:rPr>
                <w:rFonts w:hint="default" w:ascii="Times New Roman" w:hAnsi="Times New Roman" w:eastAsia="宋体" w:cs="Times New Roman"/>
                <w:color w:val="auto"/>
                <w:spacing w:val="-1"/>
                <w:lang w:eastAsia="zh-CN"/>
              </w:rPr>
            </w:pPr>
            <w:r>
              <w:rPr>
                <w:rFonts w:hint="default" w:ascii="Times New Roman" w:hAnsi="Times New Roman" w:eastAsia="宋体" w:cs="Times New Roman"/>
                <w:color w:val="auto"/>
                <w:spacing w:val="-1"/>
                <w:lang w:eastAsia="zh-CN"/>
              </w:rPr>
              <w:t>项目选址位于</w:t>
            </w:r>
            <w:r>
              <w:rPr>
                <w:rFonts w:hint="default" w:ascii="Times New Roman" w:hAnsi="Times New Roman" w:eastAsia="宋体" w:cs="Times New Roman"/>
                <w:color w:val="auto"/>
                <w:spacing w:val="-1"/>
                <w:lang w:val="en-US" w:eastAsia="zh-CN"/>
              </w:rPr>
              <w:t>池州市东至县尧渡镇</w:t>
            </w:r>
            <w:r>
              <w:rPr>
                <w:rFonts w:hint="default" w:ascii="Times New Roman" w:hAnsi="Times New Roman" w:eastAsia="宋体" w:cs="Times New Roman"/>
                <w:color w:val="auto"/>
                <w:spacing w:val="-1"/>
                <w:lang w:eastAsia="zh-CN"/>
              </w:rPr>
              <w:t>，</w:t>
            </w:r>
            <w:r>
              <w:rPr>
                <w:rFonts w:hint="default" w:ascii="Times New Roman" w:hAnsi="Times New Roman" w:eastAsia="宋体" w:cs="Times New Roman"/>
                <w:color w:val="auto"/>
                <w:spacing w:val="-1"/>
                <w:lang w:val="en-US" w:eastAsia="zh-CN"/>
              </w:rPr>
              <w:t>项目用地为工业用地，占地范围内不</w:t>
            </w:r>
            <w:r>
              <w:rPr>
                <w:rFonts w:hint="default" w:ascii="Times New Roman" w:hAnsi="Times New Roman" w:eastAsia="宋体" w:cs="Times New Roman"/>
                <w:color w:val="auto"/>
                <w:lang w:val="en-US" w:eastAsia="zh-CN"/>
              </w:rPr>
              <w:t>涉及</w:t>
            </w:r>
            <w:r>
              <w:rPr>
                <w:rFonts w:hint="default" w:ascii="Times New Roman" w:hAnsi="Times New Roman" w:eastAsia="宋体" w:cs="Times New Roman"/>
                <w:color w:val="auto"/>
                <w:spacing w:val="-1"/>
                <w:lang w:val="en-US" w:eastAsia="zh-CN"/>
              </w:rPr>
              <w:t>生态环境保护目标，</w:t>
            </w:r>
            <w:r>
              <w:rPr>
                <w:rFonts w:hint="default" w:ascii="Times New Roman" w:hAnsi="Times New Roman" w:eastAsia="宋体" w:cs="Times New Roman"/>
                <w:color w:val="auto"/>
                <w:spacing w:val="-1"/>
                <w:lang w:eastAsia="zh-CN"/>
              </w:rPr>
              <w:t>无需进行生态环境现状调查。</w:t>
            </w:r>
          </w:p>
          <w:p w14:paraId="7F7F70D4">
            <w:pPr>
              <w:pStyle w:val="185"/>
              <w:adjustRightInd w:val="0"/>
              <w:snapToGrid w:val="0"/>
              <w:ind w:firstLine="480"/>
              <w:rPr>
                <w:rFonts w:hint="default" w:ascii="Times New Roman" w:hAnsi="Times New Roman" w:eastAsia="宋体" w:cs="Times New Roman"/>
                <w:b/>
                <w:bCs/>
                <w:color w:val="auto"/>
                <w:spacing w:val="-1"/>
                <w:lang w:eastAsia="zh-CN"/>
              </w:rPr>
            </w:pPr>
            <w:r>
              <w:rPr>
                <w:rFonts w:hint="default" w:ascii="Times New Roman" w:hAnsi="Times New Roman" w:eastAsia="宋体" w:cs="Times New Roman"/>
                <w:b/>
                <w:bCs/>
                <w:color w:val="auto"/>
                <w:spacing w:val="-1"/>
                <w:lang w:eastAsia="zh-CN"/>
              </w:rPr>
              <w:t>5.电磁辐射现状</w:t>
            </w:r>
          </w:p>
          <w:p w14:paraId="57187272">
            <w:pPr>
              <w:pStyle w:val="185"/>
              <w:adjustRightInd w:val="0"/>
              <w:snapToGrid w:val="0"/>
              <w:ind w:firstLine="478"/>
              <w:rPr>
                <w:rFonts w:hint="default" w:ascii="Times New Roman" w:hAnsi="Times New Roman" w:eastAsia="宋体" w:cs="Times New Roman"/>
                <w:color w:val="auto"/>
                <w:spacing w:val="-1"/>
                <w:lang w:eastAsia="zh-CN"/>
              </w:rPr>
            </w:pPr>
            <w:r>
              <w:rPr>
                <w:rFonts w:hint="default" w:ascii="Times New Roman" w:hAnsi="Times New Roman" w:eastAsia="宋体" w:cs="Times New Roman"/>
                <w:color w:val="auto"/>
                <w:spacing w:val="-1"/>
                <w:lang w:eastAsia="zh-CN"/>
              </w:rPr>
              <w:t>项目不属于电磁辐射类项目，无需进行电磁辐射现状监测与评价。</w:t>
            </w:r>
          </w:p>
          <w:p w14:paraId="5FEB6757">
            <w:pPr>
              <w:pStyle w:val="185"/>
              <w:adjustRightInd w:val="0"/>
              <w:snapToGrid w:val="0"/>
              <w:ind w:firstLine="480"/>
              <w:rPr>
                <w:rFonts w:hint="default" w:ascii="Times New Roman" w:hAnsi="Times New Roman" w:eastAsia="宋体" w:cs="Times New Roman"/>
                <w:b/>
                <w:bCs/>
                <w:color w:val="auto"/>
                <w:spacing w:val="-1"/>
                <w:lang w:eastAsia="zh-CN"/>
              </w:rPr>
            </w:pPr>
            <w:r>
              <w:rPr>
                <w:rFonts w:hint="default" w:ascii="Times New Roman" w:hAnsi="Times New Roman" w:eastAsia="宋体" w:cs="Times New Roman"/>
                <w:b/>
                <w:bCs/>
                <w:color w:val="auto"/>
                <w:spacing w:val="-1"/>
                <w:lang w:eastAsia="zh-CN"/>
              </w:rPr>
              <w:t>6.地下水、土壤环境质量现状</w:t>
            </w:r>
          </w:p>
          <w:p w14:paraId="64E84BF8">
            <w:pPr>
              <w:pStyle w:val="185"/>
              <w:adjustRightInd w:val="0"/>
              <w:snapToGrid w:val="0"/>
              <w:ind w:firstLine="480"/>
              <w:rPr>
                <w:rFonts w:hint="default" w:ascii="Times New Roman" w:hAnsi="Times New Roman" w:eastAsia="宋体" w:cs="Times New Roman"/>
                <w:color w:val="auto"/>
                <w:lang w:eastAsia="zh-CN"/>
              </w:rPr>
            </w:pPr>
            <w:r>
              <w:rPr>
                <w:rFonts w:hint="default" w:ascii="Times New Roman" w:hAnsi="Times New Roman" w:eastAsia="宋体" w:cs="Times New Roman"/>
                <w:color w:val="auto"/>
                <w:lang w:eastAsia="zh-CN"/>
              </w:rPr>
              <w:t>本项目位于</w:t>
            </w:r>
            <w:r>
              <w:rPr>
                <w:rFonts w:hint="default" w:ascii="Times New Roman" w:hAnsi="Times New Roman" w:eastAsia="宋体" w:cs="Times New Roman"/>
                <w:color w:val="auto"/>
                <w:spacing w:val="-1"/>
                <w:lang w:val="en-US" w:eastAsia="zh-CN"/>
              </w:rPr>
              <w:t>池州市东至县尧渡镇</w:t>
            </w:r>
            <w:r>
              <w:rPr>
                <w:rFonts w:hint="default" w:ascii="Times New Roman" w:hAnsi="Times New Roman" w:eastAsia="宋体" w:cs="Times New Roman"/>
                <w:color w:val="auto"/>
                <w:lang w:eastAsia="zh-CN"/>
              </w:rPr>
              <w:t>，项目为</w:t>
            </w:r>
            <w:r>
              <w:rPr>
                <w:rFonts w:hint="default" w:ascii="Times New Roman" w:hAnsi="Times New Roman" w:eastAsia="宋体" w:cs="Times New Roman"/>
                <w:color w:val="auto"/>
                <w:lang w:val="en-US" w:eastAsia="zh-CN"/>
              </w:rPr>
              <w:t>建筑垃圾</w:t>
            </w:r>
            <w:r>
              <w:rPr>
                <w:rFonts w:hint="default" w:ascii="Times New Roman" w:hAnsi="Times New Roman" w:eastAsia="宋体" w:cs="Times New Roman"/>
                <w:color w:val="auto"/>
                <w:lang w:eastAsia="zh-CN"/>
              </w:rPr>
              <w:t>综合利用项目，项目不涉及危化品的使用，土壤、地下水污染途径较少，且厂区按要求落实地面硬化以及分区防渗措施，正常情况下对周边地下水、土壤环境影响很小，本项目不开展地下水、土壤环境质量现状调查。</w:t>
            </w:r>
          </w:p>
        </w:tc>
      </w:tr>
      <w:tr w14:paraId="3A63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vAlign w:val="center"/>
          </w:tcPr>
          <w:p w14:paraId="01288CAC">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1E1D9FB8">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15DA31AC">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563D85AF">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50998F58">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3146C188">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1C1EA7FE">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环境</w:t>
            </w:r>
          </w:p>
          <w:p w14:paraId="5F1F7D22">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保护</w:t>
            </w:r>
          </w:p>
          <w:p w14:paraId="56107497">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目标</w:t>
            </w:r>
          </w:p>
          <w:p w14:paraId="226C1AB9">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4D771A32">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545CC491">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74701023">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41C59F07">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p w14:paraId="032C6C01">
            <w:pPr>
              <w:adjustRightInd w:val="0"/>
              <w:snapToGrid w:val="0"/>
              <w:spacing w:line="240" w:lineRule="auto"/>
              <w:ind w:firstLine="0" w:firstLineChars="0"/>
              <w:jc w:val="both"/>
              <w:rPr>
                <w:rFonts w:hint="default" w:ascii="Times New Roman" w:hAnsi="Times New Roman" w:eastAsia="宋体" w:cs="Times New Roman"/>
                <w:color w:val="auto"/>
                <w:kern w:val="0"/>
                <w:szCs w:val="21"/>
              </w:rPr>
            </w:pPr>
          </w:p>
          <w:p w14:paraId="5DB11951">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p>
        </w:tc>
        <w:tc>
          <w:tcPr>
            <w:tcW w:w="8527" w:type="dxa"/>
            <w:vAlign w:val="center"/>
          </w:tcPr>
          <w:p w14:paraId="5055ACA1">
            <w:pPr>
              <w:ind w:firstLine="480"/>
              <w:rPr>
                <w:rFonts w:hint="default" w:ascii="Times New Roman" w:hAnsi="Times New Roman" w:eastAsia="宋体" w:cs="Times New Roman"/>
                <w:color w:val="auto"/>
              </w:rPr>
            </w:pPr>
            <w:bookmarkStart w:id="65" w:name="OLE_LINK331"/>
            <w:bookmarkStart w:id="66" w:name="OLE_LINK330"/>
            <w:r>
              <w:rPr>
                <w:rFonts w:hint="default" w:ascii="Times New Roman" w:hAnsi="Times New Roman" w:eastAsia="宋体" w:cs="Times New Roman"/>
                <w:color w:val="auto"/>
              </w:rPr>
              <w:t>根据</w:t>
            </w:r>
            <w:bookmarkStart w:id="67" w:name="OLE_LINK306"/>
            <w:r>
              <w:rPr>
                <w:rFonts w:hint="default" w:ascii="Times New Roman" w:hAnsi="Times New Roman" w:eastAsia="宋体" w:cs="Times New Roman"/>
                <w:color w:val="auto"/>
              </w:rPr>
              <w:t>现场调查</w:t>
            </w:r>
            <w:bookmarkStart w:id="68" w:name="OLE_LINK333"/>
            <w:r>
              <w:rPr>
                <w:rFonts w:hint="default" w:ascii="Times New Roman" w:hAnsi="Times New Roman" w:eastAsia="宋体" w:cs="Times New Roman"/>
                <w:color w:val="auto"/>
              </w:rPr>
              <w:t>，项目厂界外500米范围内无自然保护区、风景名胜区等特殊敏感环境保护</w:t>
            </w:r>
            <w:bookmarkStart w:id="69" w:name="OLE_LINK334"/>
            <w:r>
              <w:rPr>
                <w:rFonts w:hint="default" w:ascii="Times New Roman" w:hAnsi="Times New Roman" w:eastAsia="宋体" w:cs="Times New Roman"/>
                <w:color w:val="auto"/>
              </w:rPr>
              <w:t>目标</w:t>
            </w:r>
            <w:bookmarkStart w:id="70" w:name="OLE_LINK332"/>
            <w:r>
              <w:rPr>
                <w:rFonts w:hint="default" w:ascii="Times New Roman" w:hAnsi="Times New Roman" w:eastAsia="宋体" w:cs="Times New Roman"/>
                <w:color w:val="auto"/>
              </w:rPr>
              <w:t>，厂界外500米范围内无地下水集中式饮用水水源和热水、矿泉水、温泉等特殊地下水资源等地下水环境保护目标。项目</w:t>
            </w:r>
            <w:bookmarkEnd w:id="65"/>
            <w:bookmarkEnd w:id="67"/>
            <w:bookmarkEnd w:id="68"/>
            <w:bookmarkEnd w:id="70"/>
            <w:r>
              <w:rPr>
                <w:rFonts w:hint="default" w:ascii="Times New Roman" w:hAnsi="Times New Roman" w:eastAsia="宋体" w:cs="Times New Roman"/>
                <w:color w:val="auto"/>
              </w:rPr>
              <w:t>大气环境保护目标见表3-4和附图</w:t>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rPr>
              <w:t>。</w:t>
            </w:r>
            <w:bookmarkEnd w:id="66"/>
            <w:bookmarkEnd w:id="69"/>
          </w:p>
          <w:p w14:paraId="01CC8C49">
            <w:pPr>
              <w:spacing w:line="240" w:lineRule="auto"/>
              <w:ind w:firstLine="482"/>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表3-</w:t>
            </w:r>
            <w:r>
              <w:rPr>
                <w:rFonts w:hint="default" w:ascii="Times New Roman" w:hAnsi="Times New Roman" w:eastAsia="宋体" w:cs="Times New Roman"/>
                <w:b/>
                <w:bCs/>
                <w:color w:val="auto"/>
                <w:sz w:val="21"/>
                <w:szCs w:val="21"/>
                <w:lang w:val="en-US" w:eastAsia="zh-CN"/>
              </w:rPr>
              <w:t>4</w:t>
            </w:r>
            <w:r>
              <w:rPr>
                <w:rFonts w:hint="default" w:ascii="Times New Roman" w:hAnsi="Times New Roman" w:eastAsia="宋体" w:cs="Times New Roman"/>
                <w:b/>
                <w:bCs/>
                <w:color w:val="auto"/>
                <w:sz w:val="21"/>
                <w:szCs w:val="21"/>
              </w:rPr>
              <w:t xml:space="preserve">  项目环境保护目标</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20"/>
              <w:gridCol w:w="691"/>
              <w:gridCol w:w="1080"/>
              <w:gridCol w:w="960"/>
              <w:gridCol w:w="1063"/>
              <w:gridCol w:w="1663"/>
              <w:gridCol w:w="1165"/>
              <w:gridCol w:w="490"/>
              <w:gridCol w:w="866"/>
            </w:tblGrid>
            <w:tr w14:paraId="17A14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92" w:type="pct"/>
                  <w:vMerge w:val="restart"/>
                  <w:vAlign w:val="center"/>
                </w:tcPr>
                <w:p w14:paraId="64B12F1C">
                  <w:pPr>
                    <w:pStyle w:val="94"/>
                    <w:wordWrap w:val="0"/>
                    <w:adjustRightInd w:val="0"/>
                    <w:snapToGrid w:val="0"/>
                    <w:spacing w:line="240" w:lineRule="auto"/>
                    <w:rPr>
                      <w:rFonts w:hint="default" w:ascii="Times New Roman" w:hAnsi="Times New Roman" w:eastAsia="宋体" w:cs="Times New Roman"/>
                      <w:b/>
                      <w:color w:val="auto"/>
                      <w:szCs w:val="21"/>
                      <w:lang w:val="en-US" w:eastAsia="zh-CN"/>
                    </w:rPr>
                  </w:pPr>
                  <w:r>
                    <w:rPr>
                      <w:rFonts w:hint="default" w:ascii="Times New Roman" w:hAnsi="Times New Roman" w:eastAsia="宋体" w:cs="Times New Roman"/>
                      <w:b/>
                      <w:color w:val="auto"/>
                      <w:szCs w:val="21"/>
                      <w:lang w:val="en-US" w:eastAsia="zh-CN"/>
                    </w:rPr>
                    <w:t>环境要素</w:t>
                  </w:r>
                </w:p>
              </w:tc>
              <w:tc>
                <w:tcPr>
                  <w:tcW w:w="416" w:type="pct"/>
                  <w:vMerge w:val="restart"/>
                  <w:vAlign w:val="center"/>
                </w:tcPr>
                <w:p w14:paraId="1F2E804C">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名称</w:t>
                  </w:r>
                </w:p>
              </w:tc>
              <w:tc>
                <w:tcPr>
                  <w:tcW w:w="1229" w:type="pct"/>
                  <w:gridSpan w:val="2"/>
                  <w:vAlign w:val="center"/>
                </w:tcPr>
                <w:p w14:paraId="55FCAACB">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经纬度坐标</w:t>
                  </w:r>
                </w:p>
              </w:tc>
              <w:tc>
                <w:tcPr>
                  <w:tcW w:w="640" w:type="pct"/>
                  <w:vMerge w:val="restart"/>
                  <w:vAlign w:val="center"/>
                </w:tcPr>
                <w:p w14:paraId="59310DA7">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保护对象</w:t>
                  </w:r>
                </w:p>
              </w:tc>
              <w:tc>
                <w:tcPr>
                  <w:tcW w:w="1002" w:type="pct"/>
                  <w:vMerge w:val="restart"/>
                  <w:vAlign w:val="center"/>
                </w:tcPr>
                <w:p w14:paraId="49E5ACB0">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保护内容</w:t>
                  </w:r>
                </w:p>
              </w:tc>
              <w:tc>
                <w:tcPr>
                  <w:tcW w:w="701" w:type="pct"/>
                  <w:vMerge w:val="restart"/>
                  <w:vAlign w:val="center"/>
                </w:tcPr>
                <w:p w14:paraId="0B1EC0CB">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环境功能区</w:t>
                  </w:r>
                </w:p>
              </w:tc>
              <w:tc>
                <w:tcPr>
                  <w:tcW w:w="295" w:type="pct"/>
                  <w:vMerge w:val="restart"/>
                  <w:vAlign w:val="center"/>
                </w:tcPr>
                <w:p w14:paraId="35D6F1F4">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相对区域及方位</w:t>
                  </w:r>
                </w:p>
              </w:tc>
              <w:tc>
                <w:tcPr>
                  <w:tcW w:w="521" w:type="pct"/>
                  <w:vMerge w:val="restart"/>
                  <w:vAlign w:val="center"/>
                </w:tcPr>
                <w:p w14:paraId="120CFF0D">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相对厂界距离/m</w:t>
                  </w:r>
                </w:p>
              </w:tc>
            </w:tr>
            <w:tr w14:paraId="6828A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92" w:type="pct"/>
                  <w:vMerge w:val="continue"/>
                  <w:vAlign w:val="center"/>
                </w:tcPr>
                <w:p w14:paraId="22457268">
                  <w:pPr>
                    <w:pStyle w:val="94"/>
                    <w:wordWrap w:val="0"/>
                    <w:adjustRightInd w:val="0"/>
                    <w:snapToGrid w:val="0"/>
                    <w:spacing w:line="240" w:lineRule="auto"/>
                    <w:rPr>
                      <w:rFonts w:hint="default" w:ascii="Times New Roman" w:hAnsi="Times New Roman" w:eastAsia="宋体" w:cs="Times New Roman"/>
                      <w:b/>
                      <w:color w:val="auto"/>
                      <w:szCs w:val="21"/>
                    </w:rPr>
                  </w:pPr>
                </w:p>
              </w:tc>
              <w:tc>
                <w:tcPr>
                  <w:tcW w:w="416" w:type="pct"/>
                  <w:vMerge w:val="continue"/>
                  <w:vAlign w:val="center"/>
                </w:tcPr>
                <w:p w14:paraId="3573E345">
                  <w:pPr>
                    <w:pStyle w:val="94"/>
                    <w:wordWrap w:val="0"/>
                    <w:adjustRightInd w:val="0"/>
                    <w:snapToGrid w:val="0"/>
                    <w:spacing w:line="240" w:lineRule="auto"/>
                    <w:rPr>
                      <w:rFonts w:hint="default" w:ascii="Times New Roman" w:hAnsi="Times New Roman" w:eastAsia="宋体" w:cs="Times New Roman"/>
                      <w:b/>
                      <w:color w:val="auto"/>
                      <w:szCs w:val="21"/>
                    </w:rPr>
                  </w:pPr>
                </w:p>
              </w:tc>
              <w:tc>
                <w:tcPr>
                  <w:tcW w:w="650" w:type="pct"/>
                  <w:vAlign w:val="center"/>
                </w:tcPr>
                <w:p w14:paraId="5D42CD7B">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经度</w:t>
                  </w:r>
                </w:p>
              </w:tc>
              <w:tc>
                <w:tcPr>
                  <w:tcW w:w="578" w:type="pct"/>
                  <w:vAlign w:val="center"/>
                </w:tcPr>
                <w:p w14:paraId="66D1CF62">
                  <w:pPr>
                    <w:pStyle w:val="94"/>
                    <w:wordWrap w:val="0"/>
                    <w:adjustRightInd w:val="0"/>
                    <w:snapToGrid w:val="0"/>
                    <w:spacing w:line="240" w:lineRule="auto"/>
                    <w:rPr>
                      <w:rFonts w:hint="default" w:ascii="Times New Roman" w:hAnsi="Times New Roman" w:eastAsia="宋体" w:cs="Times New Roman"/>
                      <w:b/>
                      <w:color w:val="auto"/>
                      <w:szCs w:val="21"/>
                    </w:rPr>
                  </w:pPr>
                  <w:r>
                    <w:rPr>
                      <w:rFonts w:hint="default" w:ascii="Times New Roman" w:hAnsi="Times New Roman" w:eastAsia="宋体" w:cs="Times New Roman"/>
                      <w:b/>
                      <w:color w:val="auto"/>
                      <w:szCs w:val="21"/>
                    </w:rPr>
                    <w:t>纬度</w:t>
                  </w:r>
                </w:p>
              </w:tc>
              <w:tc>
                <w:tcPr>
                  <w:tcW w:w="640" w:type="pct"/>
                  <w:vMerge w:val="continue"/>
                  <w:vAlign w:val="center"/>
                </w:tcPr>
                <w:p w14:paraId="1A0DCB6E">
                  <w:pPr>
                    <w:pStyle w:val="94"/>
                    <w:wordWrap w:val="0"/>
                    <w:adjustRightInd w:val="0"/>
                    <w:snapToGrid w:val="0"/>
                    <w:spacing w:line="240" w:lineRule="auto"/>
                    <w:rPr>
                      <w:rFonts w:hint="default" w:ascii="Times New Roman" w:hAnsi="Times New Roman" w:eastAsia="宋体" w:cs="Times New Roman"/>
                      <w:b/>
                      <w:color w:val="auto"/>
                      <w:szCs w:val="21"/>
                    </w:rPr>
                  </w:pPr>
                </w:p>
              </w:tc>
              <w:tc>
                <w:tcPr>
                  <w:tcW w:w="1002" w:type="pct"/>
                  <w:vMerge w:val="continue"/>
                  <w:vAlign w:val="center"/>
                </w:tcPr>
                <w:p w14:paraId="1E41F2DC">
                  <w:pPr>
                    <w:pStyle w:val="94"/>
                    <w:wordWrap w:val="0"/>
                    <w:adjustRightInd w:val="0"/>
                    <w:snapToGrid w:val="0"/>
                    <w:spacing w:line="240" w:lineRule="auto"/>
                    <w:rPr>
                      <w:rFonts w:hint="default" w:ascii="Times New Roman" w:hAnsi="Times New Roman" w:eastAsia="宋体" w:cs="Times New Roman"/>
                      <w:b/>
                      <w:color w:val="auto"/>
                      <w:szCs w:val="21"/>
                    </w:rPr>
                  </w:pPr>
                </w:p>
              </w:tc>
              <w:tc>
                <w:tcPr>
                  <w:tcW w:w="701" w:type="pct"/>
                  <w:vMerge w:val="continue"/>
                  <w:vAlign w:val="center"/>
                </w:tcPr>
                <w:p w14:paraId="630EA8BA">
                  <w:pPr>
                    <w:pStyle w:val="94"/>
                    <w:wordWrap w:val="0"/>
                    <w:adjustRightInd w:val="0"/>
                    <w:snapToGrid w:val="0"/>
                    <w:spacing w:line="240" w:lineRule="auto"/>
                    <w:rPr>
                      <w:rFonts w:hint="default" w:ascii="Times New Roman" w:hAnsi="Times New Roman" w:eastAsia="宋体" w:cs="Times New Roman"/>
                      <w:b/>
                      <w:color w:val="auto"/>
                      <w:szCs w:val="21"/>
                    </w:rPr>
                  </w:pPr>
                </w:p>
              </w:tc>
              <w:tc>
                <w:tcPr>
                  <w:tcW w:w="295" w:type="pct"/>
                  <w:vMerge w:val="continue"/>
                  <w:vAlign w:val="center"/>
                </w:tcPr>
                <w:p w14:paraId="446BDA5C">
                  <w:pPr>
                    <w:pStyle w:val="94"/>
                    <w:wordWrap w:val="0"/>
                    <w:adjustRightInd w:val="0"/>
                    <w:snapToGrid w:val="0"/>
                    <w:spacing w:line="240" w:lineRule="auto"/>
                    <w:rPr>
                      <w:rFonts w:hint="default" w:ascii="Times New Roman" w:hAnsi="Times New Roman" w:eastAsia="宋体" w:cs="Times New Roman"/>
                      <w:b/>
                      <w:color w:val="auto"/>
                      <w:szCs w:val="21"/>
                    </w:rPr>
                  </w:pPr>
                </w:p>
              </w:tc>
              <w:tc>
                <w:tcPr>
                  <w:tcW w:w="521" w:type="pct"/>
                  <w:vMerge w:val="continue"/>
                  <w:vAlign w:val="center"/>
                </w:tcPr>
                <w:p w14:paraId="78A4DFBF">
                  <w:pPr>
                    <w:pStyle w:val="94"/>
                    <w:wordWrap w:val="0"/>
                    <w:adjustRightInd w:val="0"/>
                    <w:snapToGrid w:val="0"/>
                    <w:spacing w:line="240" w:lineRule="auto"/>
                    <w:rPr>
                      <w:rFonts w:hint="default" w:ascii="Times New Roman" w:hAnsi="Times New Roman" w:eastAsia="宋体" w:cs="Times New Roman"/>
                      <w:b/>
                      <w:color w:val="auto"/>
                      <w:szCs w:val="21"/>
                    </w:rPr>
                  </w:pPr>
                </w:p>
              </w:tc>
            </w:tr>
            <w:tr w14:paraId="53FE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92" w:type="pct"/>
                  <w:vMerge w:val="restart"/>
                  <w:vAlign w:val="center"/>
                </w:tcPr>
                <w:p w14:paraId="3DBA31A4">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spacing w:val="7"/>
                      <w:szCs w:val="21"/>
                      <w:lang w:val="en-US" w:eastAsia="zh-CN"/>
                    </w:rPr>
                    <w:t>大气环境</w:t>
                  </w:r>
                </w:p>
              </w:tc>
              <w:tc>
                <w:tcPr>
                  <w:tcW w:w="416" w:type="pct"/>
                  <w:vAlign w:val="center"/>
                </w:tcPr>
                <w:p w14:paraId="061627D6">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spacing w:val="7"/>
                      <w:szCs w:val="21"/>
                      <w:lang w:val="en-US" w:eastAsia="zh-CN"/>
                    </w:rPr>
                    <w:t>杨家畈</w:t>
                  </w:r>
                </w:p>
              </w:tc>
              <w:tc>
                <w:tcPr>
                  <w:tcW w:w="650" w:type="pct"/>
                  <w:noWrap/>
                  <w:vAlign w:val="center"/>
                </w:tcPr>
                <w:p w14:paraId="26915934">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116.985726</w:t>
                  </w:r>
                </w:p>
              </w:tc>
              <w:tc>
                <w:tcPr>
                  <w:tcW w:w="578" w:type="pct"/>
                  <w:noWrap/>
                  <w:vAlign w:val="center"/>
                </w:tcPr>
                <w:p w14:paraId="6A847FA8">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30.135895</w:t>
                  </w:r>
                </w:p>
              </w:tc>
              <w:tc>
                <w:tcPr>
                  <w:tcW w:w="640" w:type="pct"/>
                  <w:noWrap/>
                  <w:vAlign w:val="center"/>
                </w:tcPr>
                <w:p w14:paraId="4DD20095">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居民</w:t>
                  </w:r>
                </w:p>
              </w:tc>
              <w:tc>
                <w:tcPr>
                  <w:tcW w:w="1002" w:type="pct"/>
                  <w:noWrap/>
                  <w:vAlign w:val="center"/>
                </w:tcPr>
                <w:p w14:paraId="5643B327">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约40户，120人</w:t>
                  </w:r>
                </w:p>
              </w:tc>
              <w:tc>
                <w:tcPr>
                  <w:tcW w:w="701" w:type="pct"/>
                  <w:vMerge w:val="restart"/>
                  <w:noWrap/>
                  <w:vAlign w:val="center"/>
                </w:tcPr>
                <w:p w14:paraId="3703412B">
                  <w:pPr>
                    <w:pStyle w:val="94"/>
                    <w:wordWrap w:val="0"/>
                    <w:adjustRightInd w:val="0"/>
                    <w:snapToGrid w:val="0"/>
                    <w:spacing w:line="240" w:lineRule="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《环境空气质量标准》2类</w:t>
                  </w:r>
                </w:p>
              </w:tc>
              <w:tc>
                <w:tcPr>
                  <w:tcW w:w="295" w:type="pct"/>
                  <w:vAlign w:val="center"/>
                </w:tcPr>
                <w:p w14:paraId="01E20052">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SE</w:t>
                  </w:r>
                </w:p>
              </w:tc>
              <w:tc>
                <w:tcPr>
                  <w:tcW w:w="521" w:type="pct"/>
                  <w:vAlign w:val="center"/>
                </w:tcPr>
                <w:p w14:paraId="406C7C69">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95</w:t>
                  </w:r>
                </w:p>
              </w:tc>
            </w:tr>
            <w:tr w14:paraId="4FCE6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92" w:type="pct"/>
                  <w:vMerge w:val="continue"/>
                  <w:vAlign w:val="center"/>
                </w:tcPr>
                <w:p w14:paraId="3D960055">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p>
              </w:tc>
              <w:tc>
                <w:tcPr>
                  <w:tcW w:w="416" w:type="pct"/>
                  <w:vAlign w:val="center"/>
                </w:tcPr>
                <w:p w14:paraId="3943B478">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spacing w:val="7"/>
                      <w:szCs w:val="21"/>
                      <w:lang w:val="en-US" w:eastAsia="zh-CN"/>
                    </w:rPr>
                    <w:t>石坡滩</w:t>
                  </w:r>
                </w:p>
              </w:tc>
              <w:tc>
                <w:tcPr>
                  <w:tcW w:w="650" w:type="pct"/>
                  <w:noWrap/>
                  <w:vAlign w:val="center"/>
                </w:tcPr>
                <w:p w14:paraId="5437D8B5">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116.987411</w:t>
                  </w:r>
                </w:p>
              </w:tc>
              <w:tc>
                <w:tcPr>
                  <w:tcW w:w="578" w:type="pct"/>
                  <w:noWrap/>
                  <w:vAlign w:val="center"/>
                </w:tcPr>
                <w:p w14:paraId="3C0E8E0A">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30.139839</w:t>
                  </w:r>
                </w:p>
              </w:tc>
              <w:tc>
                <w:tcPr>
                  <w:tcW w:w="640" w:type="pct"/>
                  <w:noWrap/>
                  <w:vAlign w:val="center"/>
                </w:tcPr>
                <w:p w14:paraId="7E7B51CE">
                  <w:pPr>
                    <w:pStyle w:val="94"/>
                    <w:wordWrap w:val="0"/>
                    <w:adjustRightInd w:val="0"/>
                    <w:snapToGrid w:val="0"/>
                    <w:spacing w:line="240" w:lineRule="auto"/>
                    <w:ind w:firstLine="0" w:firstLineChars="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居民</w:t>
                  </w:r>
                </w:p>
              </w:tc>
              <w:tc>
                <w:tcPr>
                  <w:tcW w:w="1002" w:type="pct"/>
                  <w:noWrap/>
                  <w:vAlign w:val="center"/>
                </w:tcPr>
                <w:p w14:paraId="2B8D3066">
                  <w:pPr>
                    <w:pStyle w:val="94"/>
                    <w:wordWrap w:val="0"/>
                    <w:adjustRightInd w:val="0"/>
                    <w:snapToGrid w:val="0"/>
                    <w:spacing w:line="240" w:lineRule="auto"/>
                    <w:ind w:firstLine="0" w:firstLineChars="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约20户，60人</w:t>
                  </w:r>
                </w:p>
              </w:tc>
              <w:tc>
                <w:tcPr>
                  <w:tcW w:w="701" w:type="pct"/>
                  <w:vMerge w:val="continue"/>
                  <w:noWrap/>
                  <w:vAlign w:val="center"/>
                </w:tcPr>
                <w:p w14:paraId="5DB55471">
                  <w:pPr>
                    <w:pStyle w:val="94"/>
                    <w:wordWrap w:val="0"/>
                    <w:adjustRightInd w:val="0"/>
                    <w:snapToGrid w:val="0"/>
                    <w:spacing w:line="240" w:lineRule="auto"/>
                    <w:rPr>
                      <w:rFonts w:hint="default" w:ascii="Times New Roman" w:hAnsi="Times New Roman" w:eastAsia="宋体" w:cs="Times New Roman"/>
                      <w:color w:val="auto"/>
                      <w:szCs w:val="21"/>
                    </w:rPr>
                  </w:pPr>
                </w:p>
              </w:tc>
              <w:tc>
                <w:tcPr>
                  <w:tcW w:w="295" w:type="pct"/>
                  <w:vAlign w:val="center"/>
                </w:tcPr>
                <w:p w14:paraId="0525996D">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N</w:t>
                  </w:r>
                </w:p>
              </w:tc>
              <w:tc>
                <w:tcPr>
                  <w:tcW w:w="521" w:type="pct"/>
                  <w:vAlign w:val="center"/>
                </w:tcPr>
                <w:p w14:paraId="09B70DB5">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105</w:t>
                  </w:r>
                </w:p>
              </w:tc>
            </w:tr>
            <w:tr w14:paraId="19D6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92" w:type="pct"/>
                  <w:vMerge w:val="continue"/>
                  <w:vAlign w:val="center"/>
                </w:tcPr>
                <w:p w14:paraId="31C1E204">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p>
              </w:tc>
              <w:tc>
                <w:tcPr>
                  <w:tcW w:w="416" w:type="pct"/>
                  <w:vAlign w:val="center"/>
                </w:tcPr>
                <w:p w14:paraId="10E1210C">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spacing w:val="7"/>
                      <w:szCs w:val="21"/>
                      <w:lang w:val="en-US" w:eastAsia="zh-CN"/>
                    </w:rPr>
                    <w:t>余家边</w:t>
                  </w:r>
                </w:p>
              </w:tc>
              <w:tc>
                <w:tcPr>
                  <w:tcW w:w="650" w:type="pct"/>
                  <w:noWrap/>
                  <w:vAlign w:val="center"/>
                </w:tcPr>
                <w:p w14:paraId="14775FB9">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116.984557</w:t>
                  </w:r>
                </w:p>
              </w:tc>
              <w:tc>
                <w:tcPr>
                  <w:tcW w:w="578" w:type="pct"/>
                  <w:noWrap/>
                  <w:vAlign w:val="center"/>
                </w:tcPr>
                <w:p w14:paraId="0068D084">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30.133344</w:t>
                  </w:r>
                </w:p>
              </w:tc>
              <w:tc>
                <w:tcPr>
                  <w:tcW w:w="640" w:type="pct"/>
                  <w:noWrap/>
                  <w:vAlign w:val="center"/>
                </w:tcPr>
                <w:p w14:paraId="468202FC">
                  <w:pPr>
                    <w:pStyle w:val="94"/>
                    <w:wordWrap w:val="0"/>
                    <w:adjustRightInd w:val="0"/>
                    <w:snapToGrid w:val="0"/>
                    <w:spacing w:line="240" w:lineRule="auto"/>
                    <w:ind w:firstLine="0" w:firstLineChars="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居民</w:t>
                  </w:r>
                </w:p>
              </w:tc>
              <w:tc>
                <w:tcPr>
                  <w:tcW w:w="1002" w:type="pct"/>
                  <w:noWrap/>
                  <w:vAlign w:val="center"/>
                </w:tcPr>
                <w:p w14:paraId="67F31759">
                  <w:pPr>
                    <w:pStyle w:val="94"/>
                    <w:wordWrap w:val="0"/>
                    <w:adjustRightInd w:val="0"/>
                    <w:snapToGrid w:val="0"/>
                    <w:spacing w:line="240" w:lineRule="auto"/>
                    <w:ind w:firstLine="0" w:firstLineChars="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约25户，75人</w:t>
                  </w:r>
                </w:p>
              </w:tc>
              <w:tc>
                <w:tcPr>
                  <w:tcW w:w="701" w:type="pct"/>
                  <w:vMerge w:val="continue"/>
                  <w:noWrap/>
                  <w:vAlign w:val="center"/>
                </w:tcPr>
                <w:p w14:paraId="761605C5">
                  <w:pPr>
                    <w:pStyle w:val="94"/>
                    <w:wordWrap w:val="0"/>
                    <w:adjustRightInd w:val="0"/>
                    <w:snapToGrid w:val="0"/>
                    <w:spacing w:line="240" w:lineRule="auto"/>
                    <w:rPr>
                      <w:rFonts w:hint="default" w:ascii="Times New Roman" w:hAnsi="Times New Roman" w:eastAsia="宋体" w:cs="Times New Roman"/>
                      <w:color w:val="auto"/>
                      <w:szCs w:val="21"/>
                    </w:rPr>
                  </w:pPr>
                </w:p>
              </w:tc>
              <w:tc>
                <w:tcPr>
                  <w:tcW w:w="295" w:type="pct"/>
                  <w:vAlign w:val="center"/>
                </w:tcPr>
                <w:p w14:paraId="1B41C1D7">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SE</w:t>
                  </w:r>
                </w:p>
              </w:tc>
              <w:tc>
                <w:tcPr>
                  <w:tcW w:w="521" w:type="pct"/>
                  <w:vAlign w:val="center"/>
                </w:tcPr>
                <w:p w14:paraId="3CED3358">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410</w:t>
                  </w:r>
                </w:p>
              </w:tc>
            </w:tr>
            <w:tr w14:paraId="2514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92" w:type="pct"/>
                  <w:vMerge w:val="continue"/>
                  <w:vAlign w:val="center"/>
                </w:tcPr>
                <w:p w14:paraId="44BC05AE">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p>
              </w:tc>
              <w:tc>
                <w:tcPr>
                  <w:tcW w:w="416" w:type="pct"/>
                  <w:vAlign w:val="center"/>
                </w:tcPr>
                <w:p w14:paraId="64DDB954">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spacing w:val="7"/>
                      <w:szCs w:val="21"/>
                      <w:lang w:val="en-US" w:eastAsia="zh-CN"/>
                    </w:rPr>
                    <w:t>东侧居民点</w:t>
                  </w:r>
                </w:p>
              </w:tc>
              <w:tc>
                <w:tcPr>
                  <w:tcW w:w="650" w:type="pct"/>
                  <w:noWrap/>
                  <w:vAlign w:val="center"/>
                </w:tcPr>
                <w:p w14:paraId="1D947949">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116.989868</w:t>
                  </w:r>
                </w:p>
              </w:tc>
              <w:tc>
                <w:tcPr>
                  <w:tcW w:w="578" w:type="pct"/>
                  <w:noWrap/>
                  <w:vAlign w:val="center"/>
                </w:tcPr>
                <w:p w14:paraId="310F0E2C">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30.137974</w:t>
                  </w:r>
                </w:p>
              </w:tc>
              <w:tc>
                <w:tcPr>
                  <w:tcW w:w="640" w:type="pct"/>
                  <w:noWrap/>
                  <w:vAlign w:val="center"/>
                </w:tcPr>
                <w:p w14:paraId="6F8B100E">
                  <w:pPr>
                    <w:pStyle w:val="94"/>
                    <w:wordWrap w:val="0"/>
                    <w:adjustRightInd w:val="0"/>
                    <w:snapToGrid w:val="0"/>
                    <w:spacing w:line="240" w:lineRule="auto"/>
                    <w:ind w:firstLine="0" w:firstLineChars="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居民</w:t>
                  </w:r>
                </w:p>
              </w:tc>
              <w:tc>
                <w:tcPr>
                  <w:tcW w:w="1002" w:type="pct"/>
                  <w:noWrap/>
                  <w:vAlign w:val="center"/>
                </w:tcPr>
                <w:p w14:paraId="260753B1">
                  <w:pPr>
                    <w:pStyle w:val="94"/>
                    <w:wordWrap w:val="0"/>
                    <w:adjustRightInd w:val="0"/>
                    <w:snapToGrid w:val="0"/>
                    <w:spacing w:line="240" w:lineRule="auto"/>
                    <w:ind w:firstLine="0" w:firstLineChars="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lang w:val="en-US" w:eastAsia="zh-CN"/>
                    </w:rPr>
                    <w:t>约5户，15人</w:t>
                  </w:r>
                </w:p>
              </w:tc>
              <w:tc>
                <w:tcPr>
                  <w:tcW w:w="701" w:type="pct"/>
                  <w:vMerge w:val="continue"/>
                  <w:noWrap/>
                  <w:vAlign w:val="center"/>
                </w:tcPr>
                <w:p w14:paraId="7B32A20E">
                  <w:pPr>
                    <w:pStyle w:val="94"/>
                    <w:wordWrap w:val="0"/>
                    <w:adjustRightInd w:val="0"/>
                    <w:snapToGrid w:val="0"/>
                    <w:spacing w:line="240" w:lineRule="auto"/>
                    <w:rPr>
                      <w:rFonts w:hint="default" w:ascii="Times New Roman" w:hAnsi="Times New Roman" w:eastAsia="宋体" w:cs="Times New Roman"/>
                      <w:color w:val="auto"/>
                      <w:szCs w:val="21"/>
                    </w:rPr>
                  </w:pPr>
                </w:p>
              </w:tc>
              <w:tc>
                <w:tcPr>
                  <w:tcW w:w="295" w:type="pct"/>
                  <w:vAlign w:val="center"/>
                </w:tcPr>
                <w:p w14:paraId="317B22A0">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W</w:t>
                  </w:r>
                </w:p>
              </w:tc>
              <w:tc>
                <w:tcPr>
                  <w:tcW w:w="521" w:type="pct"/>
                  <w:vAlign w:val="center"/>
                </w:tcPr>
                <w:p w14:paraId="1BF7DF0C">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125</w:t>
                  </w:r>
                </w:p>
              </w:tc>
            </w:tr>
            <w:tr w14:paraId="2E5D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92" w:type="pct"/>
                  <w:vMerge w:val="continue"/>
                  <w:vAlign w:val="center"/>
                </w:tcPr>
                <w:p w14:paraId="5173298D">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p>
              </w:tc>
              <w:tc>
                <w:tcPr>
                  <w:tcW w:w="416" w:type="pct"/>
                  <w:vAlign w:val="center"/>
                </w:tcPr>
                <w:p w14:paraId="4280029C">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spacing w:val="7"/>
                      <w:szCs w:val="21"/>
                      <w:lang w:val="en-US" w:eastAsia="zh-CN"/>
                    </w:rPr>
                    <w:t>东南侧居民点</w:t>
                  </w:r>
                </w:p>
              </w:tc>
              <w:tc>
                <w:tcPr>
                  <w:tcW w:w="650" w:type="pct"/>
                  <w:noWrap/>
                  <w:vAlign w:val="center"/>
                </w:tcPr>
                <w:p w14:paraId="29011540">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116.991563</w:t>
                  </w:r>
                </w:p>
              </w:tc>
              <w:tc>
                <w:tcPr>
                  <w:tcW w:w="578" w:type="pct"/>
                  <w:noWrap/>
                  <w:vAlign w:val="center"/>
                </w:tcPr>
                <w:p w14:paraId="23EC603C">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30.137371</w:t>
                  </w:r>
                </w:p>
              </w:tc>
              <w:tc>
                <w:tcPr>
                  <w:tcW w:w="640" w:type="pct"/>
                  <w:noWrap/>
                  <w:vAlign w:val="center"/>
                </w:tcPr>
                <w:p w14:paraId="5506C258">
                  <w:pPr>
                    <w:pStyle w:val="94"/>
                    <w:wordWrap w:val="0"/>
                    <w:adjustRightInd w:val="0"/>
                    <w:snapToGrid w:val="0"/>
                    <w:spacing w:line="240" w:lineRule="auto"/>
                    <w:ind w:firstLine="0" w:firstLineChars="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居民</w:t>
                  </w:r>
                </w:p>
              </w:tc>
              <w:tc>
                <w:tcPr>
                  <w:tcW w:w="1002" w:type="pct"/>
                  <w:noWrap/>
                  <w:vAlign w:val="center"/>
                </w:tcPr>
                <w:p w14:paraId="0A8E36D0">
                  <w:pPr>
                    <w:pStyle w:val="94"/>
                    <w:wordWrap w:val="0"/>
                    <w:adjustRightInd w:val="0"/>
                    <w:snapToGrid w:val="0"/>
                    <w:spacing w:line="240" w:lineRule="auto"/>
                    <w:ind w:firstLine="0" w:firstLineChars="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约30户，90人</w:t>
                  </w:r>
                </w:p>
              </w:tc>
              <w:tc>
                <w:tcPr>
                  <w:tcW w:w="701" w:type="pct"/>
                  <w:vMerge w:val="continue"/>
                  <w:noWrap/>
                  <w:vAlign w:val="center"/>
                </w:tcPr>
                <w:p w14:paraId="09E59EF6">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p>
              </w:tc>
              <w:tc>
                <w:tcPr>
                  <w:tcW w:w="295" w:type="pct"/>
                  <w:vAlign w:val="center"/>
                </w:tcPr>
                <w:p w14:paraId="470F0A9A">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SW</w:t>
                  </w:r>
                </w:p>
              </w:tc>
              <w:tc>
                <w:tcPr>
                  <w:tcW w:w="521" w:type="pct"/>
                  <w:vAlign w:val="center"/>
                </w:tcPr>
                <w:p w14:paraId="30195409">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250</w:t>
                  </w:r>
                </w:p>
              </w:tc>
            </w:tr>
            <w:tr w14:paraId="2576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92" w:type="pct"/>
                  <w:vMerge w:val="restart"/>
                  <w:vAlign w:val="center"/>
                </w:tcPr>
                <w:p w14:paraId="18A559B0">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spacing w:val="7"/>
                      <w:szCs w:val="21"/>
                      <w:lang w:val="en-US" w:eastAsia="zh-CN"/>
                    </w:rPr>
                    <w:t>水环境</w:t>
                  </w:r>
                </w:p>
              </w:tc>
              <w:tc>
                <w:tcPr>
                  <w:tcW w:w="416" w:type="pct"/>
                  <w:vAlign w:val="center"/>
                </w:tcPr>
                <w:p w14:paraId="3B2FA73E">
                  <w:pPr>
                    <w:widowControl w:val="0"/>
                    <w:adjustRightInd w:val="0"/>
                    <w:snapToGrid w:val="0"/>
                    <w:spacing w:line="240" w:lineRule="auto"/>
                    <w:ind w:firstLine="0" w:firstLineChars="0"/>
                    <w:jc w:val="center"/>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kern w:val="2"/>
                      <w:sz w:val="21"/>
                      <w:szCs w:val="21"/>
                      <w:lang w:val="en-US" w:eastAsia="zh-CN" w:bidi="ar-SA"/>
                    </w:rPr>
                    <w:t>举团湖</w:t>
                  </w:r>
                </w:p>
              </w:tc>
              <w:tc>
                <w:tcPr>
                  <w:tcW w:w="1229" w:type="pct"/>
                  <w:gridSpan w:val="2"/>
                  <w:noWrap/>
                  <w:vAlign w:val="center"/>
                </w:tcPr>
                <w:p w14:paraId="7350DA13">
                  <w:pPr>
                    <w:widowControl w:val="0"/>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kern w:val="2"/>
                      <w:sz w:val="21"/>
                      <w:szCs w:val="21"/>
                      <w:lang w:val="en-US" w:eastAsia="zh-CN" w:bidi="ar-SA"/>
                    </w:rPr>
                    <w:t>小型湖泊</w:t>
                  </w:r>
                </w:p>
              </w:tc>
              <w:tc>
                <w:tcPr>
                  <w:tcW w:w="1642" w:type="pct"/>
                  <w:gridSpan w:val="2"/>
                  <w:vMerge w:val="restart"/>
                  <w:noWrap/>
                  <w:vAlign w:val="center"/>
                </w:tcPr>
                <w:p w14:paraId="64899AA9">
                  <w:pPr>
                    <w:pStyle w:val="94"/>
                    <w:wordWrap w:val="0"/>
                    <w:adjustRightInd w:val="0"/>
                    <w:snapToGrid w:val="0"/>
                    <w:spacing w:line="240" w:lineRule="auto"/>
                    <w:ind w:firstLine="0" w:firstLineChars="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kern w:val="2"/>
                      <w:sz w:val="21"/>
                      <w:szCs w:val="21"/>
                      <w:lang w:val="en-US" w:eastAsia="zh-CN" w:bidi="ar-SA"/>
                    </w:rPr>
                    <w:t>水环境</w:t>
                  </w:r>
                </w:p>
              </w:tc>
              <w:tc>
                <w:tcPr>
                  <w:tcW w:w="701" w:type="pct"/>
                  <w:vMerge w:val="restart"/>
                  <w:noWrap/>
                  <w:vAlign w:val="center"/>
                </w:tcPr>
                <w:p w14:paraId="652B1581">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kern w:val="2"/>
                      <w:sz w:val="21"/>
                      <w:szCs w:val="21"/>
                      <w:lang w:val="en-US" w:eastAsia="zh-CN" w:bidi="ar-SA"/>
                    </w:rPr>
                    <w:t>GB3838-2002Ⅲ类</w:t>
                  </w:r>
                </w:p>
              </w:tc>
              <w:tc>
                <w:tcPr>
                  <w:tcW w:w="295" w:type="pct"/>
                  <w:vAlign w:val="center"/>
                </w:tcPr>
                <w:p w14:paraId="1C6D8ED0">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E</w:t>
                  </w:r>
                </w:p>
              </w:tc>
              <w:tc>
                <w:tcPr>
                  <w:tcW w:w="521" w:type="pct"/>
                  <w:vAlign w:val="center"/>
                </w:tcPr>
                <w:p w14:paraId="7F4659AE">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800</w:t>
                  </w:r>
                </w:p>
              </w:tc>
            </w:tr>
            <w:tr w14:paraId="049F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92" w:type="pct"/>
                  <w:vMerge w:val="continue"/>
                  <w:vAlign w:val="center"/>
                </w:tcPr>
                <w:p w14:paraId="0925EC3D">
                  <w:pPr>
                    <w:pStyle w:val="94"/>
                    <w:wordWrap w:val="0"/>
                    <w:adjustRightInd w:val="0"/>
                    <w:snapToGrid w:val="0"/>
                    <w:spacing w:line="240" w:lineRule="auto"/>
                    <w:rPr>
                      <w:rFonts w:hint="default" w:ascii="Times New Roman" w:hAnsi="Times New Roman" w:eastAsia="宋体" w:cs="Times New Roman"/>
                      <w:color w:val="auto"/>
                      <w:spacing w:val="7"/>
                      <w:szCs w:val="21"/>
                      <w:lang w:val="en-US" w:eastAsia="zh-CN"/>
                    </w:rPr>
                  </w:pPr>
                </w:p>
              </w:tc>
              <w:tc>
                <w:tcPr>
                  <w:tcW w:w="416" w:type="pct"/>
                  <w:vAlign w:val="center"/>
                </w:tcPr>
                <w:p w14:paraId="03BAA980">
                  <w:pPr>
                    <w:widowControl w:val="0"/>
                    <w:adjustRightInd w:val="0"/>
                    <w:snapToGrid w:val="0"/>
                    <w:spacing w:line="240" w:lineRule="auto"/>
                    <w:ind w:firstLine="0" w:firstLineChars="0"/>
                    <w:jc w:val="center"/>
                    <w:rPr>
                      <w:rFonts w:hint="default" w:ascii="Times New Roman" w:hAnsi="Times New Roman" w:eastAsia="宋体" w:cs="Times New Roman"/>
                      <w:color w:val="auto"/>
                      <w:spacing w:val="7"/>
                      <w:szCs w:val="21"/>
                      <w:lang w:val="en-US" w:eastAsia="zh-CN"/>
                    </w:rPr>
                  </w:pPr>
                  <w:r>
                    <w:rPr>
                      <w:rFonts w:hint="default" w:ascii="Times New Roman" w:hAnsi="Times New Roman" w:eastAsia="宋体" w:cs="Times New Roman"/>
                      <w:color w:val="auto"/>
                      <w:kern w:val="2"/>
                      <w:sz w:val="21"/>
                      <w:szCs w:val="21"/>
                      <w:lang w:val="en-US" w:eastAsia="zh-CN" w:bidi="ar-SA"/>
                    </w:rPr>
                    <w:t>尧渡河</w:t>
                  </w:r>
                </w:p>
              </w:tc>
              <w:tc>
                <w:tcPr>
                  <w:tcW w:w="1229" w:type="pct"/>
                  <w:gridSpan w:val="2"/>
                  <w:noWrap/>
                  <w:vAlign w:val="center"/>
                </w:tcPr>
                <w:p w14:paraId="172E558D">
                  <w:pPr>
                    <w:widowControl w:val="0"/>
                    <w:adjustRightInd w:val="0"/>
                    <w:snapToGrid w:val="0"/>
                    <w:spacing w:line="240" w:lineRule="auto"/>
                    <w:ind w:firstLine="0" w:firstLineChars="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kern w:val="2"/>
                      <w:sz w:val="21"/>
                      <w:szCs w:val="21"/>
                      <w:lang w:val="en-US" w:eastAsia="zh-CN" w:bidi="ar-SA"/>
                    </w:rPr>
                    <w:t>中型河流</w:t>
                  </w:r>
                </w:p>
              </w:tc>
              <w:tc>
                <w:tcPr>
                  <w:tcW w:w="1642" w:type="pct"/>
                  <w:gridSpan w:val="2"/>
                  <w:vMerge w:val="continue"/>
                  <w:noWrap/>
                  <w:vAlign w:val="center"/>
                </w:tcPr>
                <w:p w14:paraId="3AD8044E">
                  <w:pPr>
                    <w:pStyle w:val="94"/>
                    <w:wordWrap w:val="0"/>
                    <w:adjustRightInd w:val="0"/>
                    <w:snapToGrid w:val="0"/>
                    <w:spacing w:line="240" w:lineRule="auto"/>
                    <w:ind w:firstLine="0" w:firstLineChars="0"/>
                    <w:rPr>
                      <w:rFonts w:hint="default" w:ascii="Times New Roman" w:hAnsi="Times New Roman" w:eastAsia="宋体" w:cs="Times New Roman"/>
                      <w:color w:val="auto"/>
                      <w:szCs w:val="21"/>
                      <w:lang w:val="en-US" w:eastAsia="zh-CN"/>
                    </w:rPr>
                  </w:pPr>
                </w:p>
              </w:tc>
              <w:tc>
                <w:tcPr>
                  <w:tcW w:w="701" w:type="pct"/>
                  <w:vMerge w:val="continue"/>
                  <w:noWrap/>
                  <w:vAlign w:val="center"/>
                </w:tcPr>
                <w:p w14:paraId="0F0E0764">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p>
              </w:tc>
              <w:tc>
                <w:tcPr>
                  <w:tcW w:w="295" w:type="pct"/>
                  <w:vAlign w:val="center"/>
                </w:tcPr>
                <w:p w14:paraId="56A65D38">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NE</w:t>
                  </w:r>
                </w:p>
              </w:tc>
              <w:tc>
                <w:tcPr>
                  <w:tcW w:w="521" w:type="pct"/>
                  <w:vAlign w:val="center"/>
                </w:tcPr>
                <w:p w14:paraId="0338332A">
                  <w:pPr>
                    <w:pStyle w:val="94"/>
                    <w:wordWrap w:val="0"/>
                    <w:adjustRightInd w:val="0"/>
                    <w:snapToGrid w:val="0"/>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1500</w:t>
                  </w:r>
                </w:p>
              </w:tc>
            </w:tr>
          </w:tbl>
          <w:p w14:paraId="48D5BCE3">
            <w:pPr>
              <w:pStyle w:val="18"/>
              <w:ind w:firstLine="480"/>
              <w:rPr>
                <w:rFonts w:hint="default" w:ascii="Times New Roman" w:hAnsi="Times New Roman" w:eastAsia="宋体" w:cs="Times New Roman"/>
                <w:color w:val="auto"/>
              </w:rPr>
            </w:pPr>
          </w:p>
        </w:tc>
      </w:tr>
      <w:tr w14:paraId="01620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vAlign w:val="center"/>
          </w:tcPr>
          <w:p w14:paraId="08F8FCA5">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污染</w:t>
            </w:r>
          </w:p>
          <w:p w14:paraId="5300FE23">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物排</w:t>
            </w:r>
          </w:p>
          <w:p w14:paraId="68226765">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放控</w:t>
            </w:r>
          </w:p>
          <w:p w14:paraId="0AE57000">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制标</w:t>
            </w:r>
          </w:p>
          <w:p w14:paraId="1F066F77">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准</w:t>
            </w:r>
          </w:p>
        </w:tc>
        <w:tc>
          <w:tcPr>
            <w:tcW w:w="8527" w:type="dxa"/>
          </w:tcPr>
          <w:p w14:paraId="54EEFC4D">
            <w:pPr>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rPr>
              <w:t>1.废水</w:t>
            </w:r>
          </w:p>
          <w:p w14:paraId="599A07F4">
            <w:pPr>
              <w:spacing w:line="360" w:lineRule="auto"/>
              <w:ind w:firstLine="480"/>
              <w:rPr>
                <w:rFonts w:hint="default" w:ascii="Times New Roman" w:hAnsi="Times New Roman" w:eastAsia="宋体" w:cs="Times New Roman"/>
                <w:color w:val="auto"/>
              </w:rPr>
            </w:pPr>
            <w:r>
              <w:rPr>
                <w:rFonts w:hint="default" w:ascii="Times New Roman" w:hAnsi="Times New Roman" w:eastAsia="宋体" w:cs="Times New Roman"/>
                <w:color w:val="auto"/>
                <w:szCs w:val="21"/>
              </w:rPr>
              <w:t>项目生活污水经化粪池处理</w:t>
            </w:r>
            <w:r>
              <w:rPr>
                <w:rFonts w:hint="default" w:ascii="Times New Roman" w:hAnsi="Times New Roman" w:eastAsia="宋体" w:cs="Times New Roman"/>
                <w:color w:val="auto"/>
                <w:szCs w:val="21"/>
                <w:lang w:val="en-US" w:eastAsia="zh-CN"/>
              </w:rPr>
              <w:t>后</w:t>
            </w:r>
            <w:r>
              <w:rPr>
                <w:rFonts w:hint="default" w:ascii="Times New Roman" w:hAnsi="Times New Roman" w:eastAsia="宋体" w:cs="Times New Roman"/>
                <w:color w:val="auto"/>
                <w:szCs w:val="21"/>
                <w:lang w:val="zh-CN"/>
              </w:rPr>
              <w:t>排入收集池存放，采用槽罐车定期送至</w:t>
            </w:r>
            <w:r>
              <w:rPr>
                <w:rFonts w:hint="eastAsia" w:ascii="Times New Roman" w:hAnsi="Times New Roman" w:eastAsia="宋体" w:cs="Times New Roman"/>
                <w:color w:val="auto"/>
                <w:szCs w:val="21"/>
                <w:lang w:val="zh-CN"/>
              </w:rPr>
              <w:t>东至县国祯污水处理厂</w:t>
            </w:r>
            <w:r>
              <w:rPr>
                <w:rFonts w:hint="default" w:ascii="Times New Roman" w:hAnsi="Times New Roman" w:eastAsia="宋体" w:cs="Times New Roman"/>
                <w:color w:val="auto"/>
                <w:szCs w:val="21"/>
                <w:lang w:val="zh-CN"/>
              </w:rPr>
              <w:t>处置</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东至国祯污水处理厂出水达到《城镇污水处理厂污染物排放标准》(GB18918-2002)中的一级 A 标准排入尧渡河；</w:t>
            </w:r>
            <w:r>
              <w:rPr>
                <w:rFonts w:hint="default" w:ascii="Times New Roman" w:hAnsi="Times New Roman" w:eastAsia="宋体" w:cs="Times New Roman"/>
                <w:snapToGrid w:val="0"/>
                <w:color w:val="auto"/>
                <w:kern w:val="0"/>
                <w:lang w:val="en-US" w:eastAsia="zh-CN"/>
              </w:rPr>
              <w:t>生产废水经沉淀后循环利用不外排，项目无废水外排</w:t>
            </w:r>
            <w:r>
              <w:rPr>
                <w:rFonts w:hint="default" w:ascii="Times New Roman" w:hAnsi="Times New Roman" w:eastAsia="宋体" w:cs="Times New Roman"/>
                <w:snapToGrid w:val="0"/>
                <w:color w:val="auto"/>
                <w:kern w:val="0"/>
              </w:rPr>
              <w:t>。</w:t>
            </w:r>
          </w:p>
          <w:p w14:paraId="6B451FE5">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lang w:val="en-US" w:eastAsia="zh-CN"/>
              </w:rPr>
              <w:t>表 3-5 国祯污水处理厂接管限值 单位：mg/L(pH 除外)</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4"/>
              <w:gridCol w:w="1072"/>
              <w:gridCol w:w="1414"/>
              <w:gridCol w:w="1414"/>
              <w:gridCol w:w="1350"/>
              <w:gridCol w:w="1128"/>
            </w:tblGrid>
            <w:tr w14:paraId="3CB31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4" w:type="dxa"/>
                  <w:vAlign w:val="center"/>
                </w:tcPr>
                <w:p w14:paraId="3D9B771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污染因子</w:t>
                  </w:r>
                </w:p>
              </w:tc>
              <w:tc>
                <w:tcPr>
                  <w:tcW w:w="1072" w:type="dxa"/>
                  <w:vAlign w:val="center"/>
                </w:tcPr>
                <w:p w14:paraId="7802DE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pH</w:t>
                  </w:r>
                </w:p>
              </w:tc>
              <w:tc>
                <w:tcPr>
                  <w:tcW w:w="1414" w:type="dxa"/>
                  <w:vAlign w:val="center"/>
                </w:tcPr>
                <w:p w14:paraId="32C25B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COD</w:t>
                  </w:r>
                  <w:r>
                    <w:rPr>
                      <w:rFonts w:hint="default" w:ascii="Times New Roman" w:hAnsi="Times New Roman" w:eastAsia="宋体" w:cs="Times New Roman"/>
                      <w:b/>
                      <w:bCs/>
                      <w:color w:val="auto"/>
                      <w:sz w:val="21"/>
                      <w:szCs w:val="21"/>
                      <w:vertAlign w:val="subscript"/>
                      <w:lang w:val="en-US" w:eastAsia="zh-CN"/>
                    </w:rPr>
                    <w:t>Cr</w:t>
                  </w:r>
                </w:p>
              </w:tc>
              <w:tc>
                <w:tcPr>
                  <w:tcW w:w="1414" w:type="dxa"/>
                  <w:vAlign w:val="center"/>
                </w:tcPr>
                <w:p w14:paraId="692647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BOD</w:t>
                  </w:r>
                  <w:r>
                    <w:rPr>
                      <w:rFonts w:hint="default" w:ascii="Times New Roman" w:hAnsi="Times New Roman" w:eastAsia="宋体" w:cs="Times New Roman"/>
                      <w:b/>
                      <w:bCs/>
                      <w:color w:val="auto"/>
                      <w:sz w:val="21"/>
                      <w:szCs w:val="21"/>
                      <w:vertAlign w:val="subscript"/>
                      <w:lang w:val="en-US" w:eastAsia="zh-CN"/>
                    </w:rPr>
                    <w:t>5</w:t>
                  </w:r>
                </w:p>
              </w:tc>
              <w:tc>
                <w:tcPr>
                  <w:tcW w:w="1350" w:type="dxa"/>
                  <w:vAlign w:val="center"/>
                </w:tcPr>
                <w:p w14:paraId="0874FB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NH</w:t>
                  </w:r>
                  <w:r>
                    <w:rPr>
                      <w:rFonts w:hint="default" w:ascii="Times New Roman" w:hAnsi="Times New Roman" w:eastAsia="宋体" w:cs="Times New Roman"/>
                      <w:b/>
                      <w:bCs/>
                      <w:color w:val="auto"/>
                      <w:sz w:val="21"/>
                      <w:szCs w:val="21"/>
                      <w:vertAlign w:val="subscript"/>
                      <w:lang w:val="en-US" w:eastAsia="zh-CN"/>
                    </w:rPr>
                    <w:t>3</w:t>
                  </w:r>
                  <w:r>
                    <w:rPr>
                      <w:rFonts w:hint="default" w:ascii="Times New Roman" w:hAnsi="Times New Roman" w:eastAsia="宋体" w:cs="Times New Roman"/>
                      <w:b/>
                      <w:bCs/>
                      <w:color w:val="auto"/>
                      <w:sz w:val="21"/>
                      <w:szCs w:val="21"/>
                      <w:vertAlign w:val="baseline"/>
                      <w:lang w:val="en-US" w:eastAsia="zh-CN"/>
                    </w:rPr>
                    <w:t>-N</w:t>
                  </w:r>
                </w:p>
              </w:tc>
              <w:tc>
                <w:tcPr>
                  <w:tcW w:w="1128" w:type="dxa"/>
                  <w:vAlign w:val="center"/>
                </w:tcPr>
                <w:p w14:paraId="7CF474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SS</w:t>
                  </w:r>
                </w:p>
              </w:tc>
            </w:tr>
            <w:tr w14:paraId="48DB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34" w:type="dxa"/>
                  <w:vAlign w:val="center"/>
                </w:tcPr>
                <w:p w14:paraId="30D2B1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污水厂接管限制</w:t>
                  </w:r>
                </w:p>
              </w:tc>
              <w:tc>
                <w:tcPr>
                  <w:tcW w:w="1072" w:type="dxa"/>
                  <w:vAlign w:val="center"/>
                </w:tcPr>
                <w:p w14:paraId="440773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6~9</w:t>
                  </w:r>
                </w:p>
              </w:tc>
              <w:tc>
                <w:tcPr>
                  <w:tcW w:w="1414" w:type="dxa"/>
                  <w:vAlign w:val="center"/>
                </w:tcPr>
                <w:p w14:paraId="027238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300</w:t>
                  </w:r>
                </w:p>
              </w:tc>
              <w:tc>
                <w:tcPr>
                  <w:tcW w:w="1414" w:type="dxa"/>
                  <w:vAlign w:val="center"/>
                </w:tcPr>
                <w:p w14:paraId="50D3FC3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150</w:t>
                  </w:r>
                </w:p>
              </w:tc>
              <w:tc>
                <w:tcPr>
                  <w:tcW w:w="1350" w:type="dxa"/>
                  <w:vAlign w:val="center"/>
                </w:tcPr>
                <w:p w14:paraId="71AC76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25</w:t>
                  </w:r>
                </w:p>
              </w:tc>
              <w:tc>
                <w:tcPr>
                  <w:tcW w:w="1128" w:type="dxa"/>
                  <w:vAlign w:val="center"/>
                </w:tcPr>
                <w:p w14:paraId="0C88D9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200</w:t>
                  </w:r>
                </w:p>
              </w:tc>
            </w:tr>
          </w:tbl>
          <w:p w14:paraId="3BD87636">
            <w:pPr>
              <w:spacing w:line="240" w:lineRule="auto"/>
              <w:ind w:firstLine="0" w:firstLineChars="0"/>
              <w:jc w:val="center"/>
              <w:rPr>
                <w:rFonts w:hint="default" w:ascii="Times New Roman" w:hAnsi="Times New Roman" w:eastAsia="宋体" w:cs="Times New Roman"/>
                <w:b/>
                <w:color w:val="auto"/>
                <w:sz w:val="21"/>
                <w:szCs w:val="21"/>
                <w:lang w:val="en-US" w:eastAsia="zh-CN"/>
              </w:rPr>
            </w:pPr>
          </w:p>
          <w:p w14:paraId="3F214336">
            <w:pPr>
              <w:spacing w:line="240" w:lineRule="auto"/>
              <w:ind w:firstLine="0" w:firstLineChars="0"/>
              <w:jc w:val="center"/>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表 3-6 《城镇污水处理厂污染物排放标准》（GB18918-2002） 单位：mg/L(pH 除外</w:t>
            </w:r>
            <w:r>
              <w:rPr>
                <w:rFonts w:hint="eastAsia" w:cs="Times New Roman"/>
                <w:b/>
                <w:color w:val="auto"/>
                <w:sz w:val="21"/>
                <w:szCs w:val="21"/>
                <w:lang w:val="en-US" w:eastAsia="zh-CN"/>
              </w:rPr>
              <w:t>）</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3"/>
              <w:gridCol w:w="964"/>
              <w:gridCol w:w="1007"/>
              <w:gridCol w:w="1014"/>
              <w:gridCol w:w="1188"/>
              <w:gridCol w:w="1188"/>
              <w:gridCol w:w="1188"/>
            </w:tblGrid>
            <w:tr w14:paraId="2D697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3" w:type="dxa"/>
                  <w:vAlign w:val="center"/>
                </w:tcPr>
                <w:p w14:paraId="17E6DB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rPr>
                  </w:pPr>
                  <w:r>
                    <w:rPr>
                      <w:rFonts w:hint="default" w:ascii="Times New Roman" w:hAnsi="Times New Roman" w:eastAsia="宋体" w:cs="Times New Roman"/>
                      <w:b/>
                      <w:bCs/>
                      <w:color w:val="auto"/>
                      <w:sz w:val="21"/>
                      <w:szCs w:val="21"/>
                      <w:vertAlign w:val="baseline"/>
                      <w:lang w:val="en-US" w:eastAsia="zh-CN"/>
                    </w:rPr>
                    <w:t>污染因子</w:t>
                  </w:r>
                </w:p>
              </w:tc>
              <w:tc>
                <w:tcPr>
                  <w:tcW w:w="964" w:type="dxa"/>
                  <w:vAlign w:val="center"/>
                </w:tcPr>
                <w:p w14:paraId="15BBFF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rPr>
                  </w:pPr>
                  <w:r>
                    <w:rPr>
                      <w:rFonts w:hint="default" w:ascii="Times New Roman" w:hAnsi="Times New Roman" w:eastAsia="宋体" w:cs="Times New Roman"/>
                      <w:b/>
                      <w:bCs/>
                      <w:color w:val="auto"/>
                      <w:sz w:val="21"/>
                      <w:szCs w:val="21"/>
                      <w:vertAlign w:val="baseline"/>
                      <w:lang w:val="en-US" w:eastAsia="zh-CN"/>
                    </w:rPr>
                    <w:t>pH</w:t>
                  </w:r>
                </w:p>
              </w:tc>
              <w:tc>
                <w:tcPr>
                  <w:tcW w:w="1007" w:type="dxa"/>
                  <w:vAlign w:val="center"/>
                </w:tcPr>
                <w:p w14:paraId="571005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rPr>
                  </w:pPr>
                  <w:r>
                    <w:rPr>
                      <w:rFonts w:hint="default" w:ascii="Times New Roman" w:hAnsi="Times New Roman" w:eastAsia="宋体" w:cs="Times New Roman"/>
                      <w:b/>
                      <w:bCs/>
                      <w:color w:val="auto"/>
                      <w:sz w:val="21"/>
                      <w:szCs w:val="21"/>
                      <w:vertAlign w:val="baseline"/>
                      <w:lang w:val="en-US" w:eastAsia="zh-CN"/>
                    </w:rPr>
                    <w:t>COD</w:t>
                  </w:r>
                  <w:r>
                    <w:rPr>
                      <w:rFonts w:hint="default" w:ascii="Times New Roman" w:hAnsi="Times New Roman" w:eastAsia="宋体" w:cs="Times New Roman"/>
                      <w:b/>
                      <w:bCs/>
                      <w:color w:val="auto"/>
                      <w:sz w:val="21"/>
                      <w:szCs w:val="21"/>
                      <w:vertAlign w:val="subscript"/>
                      <w:lang w:val="en-US" w:eastAsia="zh-CN"/>
                    </w:rPr>
                    <w:t>Cr</w:t>
                  </w:r>
                </w:p>
              </w:tc>
              <w:tc>
                <w:tcPr>
                  <w:tcW w:w="1014" w:type="dxa"/>
                  <w:vAlign w:val="center"/>
                </w:tcPr>
                <w:p w14:paraId="70F2A2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rPr>
                  </w:pPr>
                  <w:r>
                    <w:rPr>
                      <w:rFonts w:hint="default" w:ascii="Times New Roman" w:hAnsi="Times New Roman" w:eastAsia="宋体" w:cs="Times New Roman"/>
                      <w:b/>
                      <w:bCs/>
                      <w:color w:val="auto"/>
                      <w:sz w:val="21"/>
                      <w:szCs w:val="21"/>
                      <w:vertAlign w:val="baseline"/>
                      <w:lang w:val="en-US" w:eastAsia="zh-CN"/>
                    </w:rPr>
                    <w:t>SS</w:t>
                  </w:r>
                </w:p>
              </w:tc>
              <w:tc>
                <w:tcPr>
                  <w:tcW w:w="1188" w:type="dxa"/>
                  <w:vAlign w:val="center"/>
                </w:tcPr>
                <w:p w14:paraId="11447F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rPr>
                  </w:pPr>
                  <w:r>
                    <w:rPr>
                      <w:rFonts w:hint="default" w:ascii="Times New Roman" w:hAnsi="Times New Roman" w:eastAsia="宋体" w:cs="Times New Roman"/>
                      <w:b/>
                      <w:bCs/>
                      <w:color w:val="auto"/>
                      <w:sz w:val="21"/>
                      <w:szCs w:val="21"/>
                      <w:vertAlign w:val="baseline"/>
                      <w:lang w:val="en-US" w:eastAsia="zh-CN"/>
                    </w:rPr>
                    <w:t>NH</w:t>
                  </w:r>
                  <w:r>
                    <w:rPr>
                      <w:rFonts w:hint="default" w:ascii="Times New Roman" w:hAnsi="Times New Roman" w:eastAsia="宋体" w:cs="Times New Roman"/>
                      <w:b/>
                      <w:bCs/>
                      <w:color w:val="auto"/>
                      <w:sz w:val="21"/>
                      <w:szCs w:val="21"/>
                      <w:vertAlign w:val="subscript"/>
                      <w:lang w:val="en-US" w:eastAsia="zh-CN"/>
                    </w:rPr>
                    <w:t>3</w:t>
                  </w:r>
                  <w:r>
                    <w:rPr>
                      <w:rFonts w:hint="default" w:ascii="Times New Roman" w:hAnsi="Times New Roman" w:eastAsia="宋体" w:cs="Times New Roman"/>
                      <w:b/>
                      <w:bCs/>
                      <w:color w:val="auto"/>
                      <w:sz w:val="21"/>
                      <w:szCs w:val="21"/>
                      <w:vertAlign w:val="baseline"/>
                      <w:lang w:val="en-US" w:eastAsia="zh-CN"/>
                    </w:rPr>
                    <w:t>-N</w:t>
                  </w:r>
                </w:p>
              </w:tc>
              <w:tc>
                <w:tcPr>
                  <w:tcW w:w="1188" w:type="dxa"/>
                  <w:vAlign w:val="center"/>
                </w:tcPr>
                <w:p w14:paraId="6A9C62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rPr>
                  </w:pPr>
                  <w:r>
                    <w:rPr>
                      <w:rFonts w:hint="default" w:ascii="Times New Roman" w:hAnsi="Times New Roman" w:eastAsia="宋体" w:cs="Times New Roman"/>
                      <w:b/>
                      <w:bCs/>
                      <w:color w:val="auto"/>
                      <w:sz w:val="21"/>
                      <w:szCs w:val="21"/>
                      <w:vertAlign w:val="baseline"/>
                      <w:lang w:val="en-US" w:eastAsia="zh-CN"/>
                    </w:rPr>
                    <w:t>BOD</w:t>
                  </w:r>
                  <w:r>
                    <w:rPr>
                      <w:rFonts w:hint="default" w:ascii="Times New Roman" w:hAnsi="Times New Roman" w:eastAsia="宋体" w:cs="Times New Roman"/>
                      <w:b/>
                      <w:bCs/>
                      <w:color w:val="auto"/>
                      <w:sz w:val="21"/>
                      <w:szCs w:val="21"/>
                      <w:vertAlign w:val="subscript"/>
                      <w:lang w:val="en-US" w:eastAsia="zh-CN"/>
                    </w:rPr>
                    <w:t>5</w:t>
                  </w:r>
                </w:p>
              </w:tc>
              <w:tc>
                <w:tcPr>
                  <w:tcW w:w="1188" w:type="dxa"/>
                  <w:vAlign w:val="center"/>
                </w:tcPr>
                <w:p w14:paraId="2EED3E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石油类</w:t>
                  </w:r>
                </w:p>
              </w:tc>
            </w:tr>
            <w:tr w14:paraId="49646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3" w:type="dxa"/>
                  <w:vAlign w:val="center"/>
                </w:tcPr>
                <w:p w14:paraId="2FC1E4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rPr>
                  </w:pPr>
                  <w:r>
                    <w:rPr>
                      <w:rFonts w:hint="default" w:ascii="Times New Roman" w:hAnsi="Times New Roman" w:eastAsia="宋体" w:cs="Times New Roman"/>
                      <w:color w:val="auto"/>
                      <w:sz w:val="21"/>
                      <w:szCs w:val="21"/>
                      <w:vertAlign w:val="baseline"/>
                      <w:lang w:val="en-US" w:eastAsia="zh-CN"/>
                    </w:rPr>
                    <w:t>一级 A 标准限值</w:t>
                  </w:r>
                </w:p>
              </w:tc>
              <w:tc>
                <w:tcPr>
                  <w:tcW w:w="964" w:type="dxa"/>
                  <w:vAlign w:val="center"/>
                </w:tcPr>
                <w:p w14:paraId="09486D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6~9</w:t>
                  </w:r>
                </w:p>
              </w:tc>
              <w:tc>
                <w:tcPr>
                  <w:tcW w:w="1007" w:type="dxa"/>
                  <w:vAlign w:val="center"/>
                </w:tcPr>
                <w:p w14:paraId="26EBFC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50</w:t>
                  </w:r>
                </w:p>
              </w:tc>
              <w:tc>
                <w:tcPr>
                  <w:tcW w:w="1014" w:type="dxa"/>
                  <w:vAlign w:val="center"/>
                </w:tcPr>
                <w:p w14:paraId="60F857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10</w:t>
                  </w:r>
                </w:p>
              </w:tc>
              <w:tc>
                <w:tcPr>
                  <w:tcW w:w="1188" w:type="dxa"/>
                  <w:vAlign w:val="center"/>
                </w:tcPr>
                <w:p w14:paraId="5C95597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5(8)</w:t>
                  </w:r>
                </w:p>
              </w:tc>
              <w:tc>
                <w:tcPr>
                  <w:tcW w:w="1188" w:type="dxa"/>
                  <w:vAlign w:val="center"/>
                </w:tcPr>
                <w:p w14:paraId="1856EE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10</w:t>
                  </w:r>
                </w:p>
              </w:tc>
              <w:tc>
                <w:tcPr>
                  <w:tcW w:w="1188" w:type="dxa"/>
                  <w:vAlign w:val="center"/>
                </w:tcPr>
                <w:p w14:paraId="0C095D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w:t>
                  </w:r>
                </w:p>
              </w:tc>
            </w:tr>
            <w:tr w14:paraId="08AE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312" w:type="dxa"/>
                  <w:gridSpan w:val="7"/>
                </w:tcPr>
                <w:p w14:paraId="724FF0F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color w:val="auto"/>
                      <w:sz w:val="21"/>
                      <w:szCs w:val="21"/>
                      <w:vertAlign w:val="baseline"/>
                    </w:rPr>
                  </w:pPr>
                  <w:r>
                    <w:rPr>
                      <w:rFonts w:hint="default" w:ascii="Times New Roman" w:hAnsi="Times New Roman" w:eastAsia="宋体" w:cs="Times New Roman"/>
                      <w:color w:val="auto"/>
                      <w:sz w:val="21"/>
                      <w:szCs w:val="21"/>
                      <w:vertAlign w:val="baseline"/>
                      <w:lang w:val="en-US" w:eastAsia="zh-CN"/>
                    </w:rPr>
                    <w:t>注：括号外数值为水温&gt;12℃时的控制指标，括号内数值为水温≤12℃时的控制指标。</w:t>
                  </w:r>
                </w:p>
                <w:p w14:paraId="049AF97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color w:val="auto"/>
                      <w:sz w:val="21"/>
                      <w:szCs w:val="21"/>
                      <w:vertAlign w:val="baseline"/>
                    </w:rPr>
                  </w:pPr>
                </w:p>
              </w:tc>
            </w:tr>
          </w:tbl>
          <w:p w14:paraId="02EBFC20">
            <w:pPr>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rPr>
              <w:t>2.废气排放标准</w:t>
            </w:r>
          </w:p>
          <w:p w14:paraId="323411FF">
            <w:pPr>
              <w:ind w:firstLine="480"/>
              <w:rPr>
                <w:rFonts w:hint="default" w:ascii="Times New Roman" w:hAnsi="Times New Roman" w:eastAsia="宋体" w:cs="Times New Roman"/>
                <w:bCs/>
                <w:color w:val="auto"/>
              </w:rPr>
            </w:pPr>
            <w:r>
              <w:rPr>
                <w:rFonts w:hint="default" w:ascii="Times New Roman" w:hAnsi="Times New Roman" w:eastAsia="宋体" w:cs="Times New Roman"/>
                <w:bCs/>
                <w:color w:val="auto"/>
              </w:rPr>
              <w:t>项目施工</w:t>
            </w:r>
            <w:r>
              <w:rPr>
                <w:rFonts w:hint="default" w:ascii="Times New Roman" w:hAnsi="Times New Roman" w:eastAsia="宋体" w:cs="Times New Roman"/>
                <w:bCs/>
                <w:color w:val="auto"/>
                <w:lang w:eastAsia="zh-CN"/>
              </w:rPr>
              <w:t>期间</w:t>
            </w:r>
            <w:r>
              <w:rPr>
                <w:rFonts w:hint="default" w:ascii="Times New Roman" w:hAnsi="Times New Roman" w:eastAsia="宋体" w:cs="Times New Roman"/>
                <w:bCs/>
                <w:color w:val="auto"/>
              </w:rPr>
              <w:t>扬尘排放执行《施工场地颗粒物排放标准》（DB34/4811-2024）中限值要求，具体标准值见表3-</w:t>
            </w:r>
            <w:r>
              <w:rPr>
                <w:rFonts w:hint="default" w:ascii="Times New Roman" w:hAnsi="Times New Roman" w:eastAsia="宋体" w:cs="Times New Roman"/>
                <w:bCs/>
                <w:color w:val="auto"/>
                <w:lang w:val="en-US" w:eastAsia="zh-CN"/>
              </w:rPr>
              <w:t>7</w:t>
            </w:r>
            <w:r>
              <w:rPr>
                <w:rFonts w:hint="default" w:ascii="Times New Roman" w:hAnsi="Times New Roman" w:eastAsia="宋体" w:cs="Times New Roman"/>
                <w:bCs/>
                <w:color w:val="auto"/>
              </w:rPr>
              <w:t>。</w:t>
            </w:r>
          </w:p>
          <w:p w14:paraId="12A32A39">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表3-</w:t>
            </w:r>
            <w:r>
              <w:rPr>
                <w:rFonts w:hint="default" w:ascii="Times New Roman" w:hAnsi="Times New Roman" w:eastAsia="宋体" w:cs="Times New Roman"/>
                <w:b/>
                <w:color w:val="auto"/>
                <w:sz w:val="21"/>
                <w:szCs w:val="21"/>
                <w:lang w:val="en-US" w:eastAsia="zh-CN"/>
              </w:rPr>
              <w:t>7</w:t>
            </w:r>
            <w:r>
              <w:rPr>
                <w:rFonts w:hint="default" w:ascii="Times New Roman" w:hAnsi="Times New Roman" w:eastAsia="宋体" w:cs="Times New Roman"/>
                <w:b/>
                <w:color w:val="auto"/>
                <w:sz w:val="21"/>
                <w:szCs w:val="21"/>
              </w:rPr>
              <w:t xml:space="preserve">  施工场地颗粒物排放标准</w:t>
            </w:r>
          </w:p>
          <w:tbl>
            <w:tblPr>
              <w:tblStyle w:val="35"/>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4"/>
              <w:gridCol w:w="2064"/>
              <w:gridCol w:w="2065"/>
              <w:gridCol w:w="2065"/>
            </w:tblGrid>
            <w:tr w14:paraId="06C6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64" w:type="dxa"/>
                  <w:tcBorders>
                    <w:tl2br w:val="nil"/>
                    <w:tr2bl w:val="nil"/>
                  </w:tcBorders>
                  <w:vAlign w:val="center"/>
                </w:tcPr>
                <w:p w14:paraId="18979B3C">
                  <w:pPr>
                    <w:pStyle w:val="45"/>
                    <w:snapToGrid w:val="0"/>
                    <w:spacing w:before="0" w:after="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控制项目</w:t>
                  </w:r>
                </w:p>
              </w:tc>
              <w:tc>
                <w:tcPr>
                  <w:tcW w:w="2064" w:type="dxa"/>
                  <w:tcBorders>
                    <w:tl2br w:val="nil"/>
                    <w:tr2bl w:val="nil"/>
                  </w:tcBorders>
                  <w:vAlign w:val="center"/>
                </w:tcPr>
                <w:p w14:paraId="0B2B0E10">
                  <w:pPr>
                    <w:pStyle w:val="45"/>
                    <w:snapToGrid w:val="0"/>
                    <w:spacing w:before="0" w:after="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单位</w:t>
                  </w:r>
                </w:p>
              </w:tc>
              <w:tc>
                <w:tcPr>
                  <w:tcW w:w="2065" w:type="dxa"/>
                  <w:tcBorders>
                    <w:tl2br w:val="nil"/>
                    <w:tr2bl w:val="nil"/>
                  </w:tcBorders>
                  <w:vAlign w:val="center"/>
                </w:tcPr>
                <w:p w14:paraId="0DC7374F">
                  <w:pPr>
                    <w:pStyle w:val="45"/>
                    <w:snapToGrid w:val="0"/>
                    <w:spacing w:before="0" w:after="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监测点浓度限值</w:t>
                  </w:r>
                </w:p>
              </w:tc>
              <w:tc>
                <w:tcPr>
                  <w:tcW w:w="2065" w:type="dxa"/>
                  <w:tcBorders>
                    <w:tl2br w:val="nil"/>
                    <w:tr2bl w:val="nil"/>
                  </w:tcBorders>
                  <w:vAlign w:val="center"/>
                </w:tcPr>
                <w:p w14:paraId="2EA18DB8">
                  <w:pPr>
                    <w:pStyle w:val="45"/>
                    <w:snapToGrid w:val="0"/>
                    <w:spacing w:before="0" w:after="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达标判定依据</w:t>
                  </w:r>
                </w:p>
              </w:tc>
            </w:tr>
            <w:tr w14:paraId="516C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64" w:type="dxa"/>
                  <w:vMerge w:val="restart"/>
                  <w:tcBorders>
                    <w:tl2br w:val="nil"/>
                    <w:tr2bl w:val="nil"/>
                  </w:tcBorders>
                  <w:vAlign w:val="center"/>
                </w:tcPr>
                <w:p w14:paraId="0AE67DBF">
                  <w:pPr>
                    <w:pStyle w:val="45"/>
                    <w:snapToGrid w:val="0"/>
                    <w:spacing w:before="0" w:after="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TSP</w:t>
                  </w:r>
                </w:p>
              </w:tc>
              <w:tc>
                <w:tcPr>
                  <w:tcW w:w="2064" w:type="dxa"/>
                  <w:vMerge w:val="restart"/>
                  <w:tcBorders>
                    <w:tl2br w:val="nil"/>
                    <w:tr2bl w:val="nil"/>
                  </w:tcBorders>
                  <w:vAlign w:val="center"/>
                </w:tcPr>
                <w:p w14:paraId="4772B498">
                  <w:pPr>
                    <w:pStyle w:val="45"/>
                    <w:snapToGrid w:val="0"/>
                    <w:spacing w:before="0" w:after="0"/>
                    <w:jc w:val="center"/>
                    <w:rPr>
                      <w:rFonts w:hint="default" w:ascii="Times New Roman" w:hAnsi="Times New Roman" w:eastAsia="宋体" w:cs="Times New Roman"/>
                      <w:color w:val="auto"/>
                      <w:sz w:val="21"/>
                      <w:szCs w:val="21"/>
                      <w:vertAlign w:val="superscript"/>
                    </w:rPr>
                  </w:pPr>
                  <w:r>
                    <w:rPr>
                      <w:rFonts w:hint="default" w:ascii="Times New Roman" w:hAnsi="Times New Roman" w:eastAsia="宋体" w:cs="Times New Roman"/>
                      <w:color w:val="auto"/>
                      <w:sz w:val="21"/>
                      <w:szCs w:val="21"/>
                    </w:rPr>
                    <w:t>μg/m</w:t>
                  </w:r>
                  <w:r>
                    <w:rPr>
                      <w:rFonts w:hint="default" w:ascii="Times New Roman" w:hAnsi="Times New Roman" w:eastAsia="宋体" w:cs="Times New Roman"/>
                      <w:color w:val="auto"/>
                      <w:sz w:val="21"/>
                      <w:szCs w:val="21"/>
                      <w:vertAlign w:val="superscript"/>
                    </w:rPr>
                    <w:t>3</w:t>
                  </w:r>
                </w:p>
              </w:tc>
              <w:tc>
                <w:tcPr>
                  <w:tcW w:w="2065" w:type="dxa"/>
                  <w:tcBorders>
                    <w:tl2br w:val="nil"/>
                    <w:tr2bl w:val="nil"/>
                  </w:tcBorders>
                  <w:vAlign w:val="center"/>
                </w:tcPr>
                <w:p w14:paraId="16870B81">
                  <w:pPr>
                    <w:pStyle w:val="45"/>
                    <w:snapToGrid w:val="0"/>
                    <w:spacing w:before="0" w:after="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1000</w:t>
                  </w:r>
                </w:p>
              </w:tc>
              <w:tc>
                <w:tcPr>
                  <w:tcW w:w="2065" w:type="dxa"/>
                  <w:tcBorders>
                    <w:tl2br w:val="nil"/>
                    <w:tr2bl w:val="nil"/>
                  </w:tcBorders>
                  <w:vAlign w:val="center"/>
                </w:tcPr>
                <w:p w14:paraId="55D116FF">
                  <w:pPr>
                    <w:pStyle w:val="45"/>
                    <w:snapToGrid w:val="0"/>
                    <w:spacing w:before="0" w:after="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超标次数≤1次/日</w:t>
                  </w:r>
                </w:p>
              </w:tc>
            </w:tr>
            <w:tr w14:paraId="03575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64" w:type="dxa"/>
                  <w:vMerge w:val="continue"/>
                  <w:tcBorders>
                    <w:tl2br w:val="nil"/>
                    <w:tr2bl w:val="nil"/>
                  </w:tcBorders>
                  <w:vAlign w:val="center"/>
                </w:tcPr>
                <w:p w14:paraId="3DC3FE55">
                  <w:pPr>
                    <w:pStyle w:val="45"/>
                    <w:snapToGrid w:val="0"/>
                    <w:spacing w:before="0" w:after="0"/>
                    <w:jc w:val="center"/>
                    <w:rPr>
                      <w:rFonts w:hint="default" w:ascii="Times New Roman" w:hAnsi="Times New Roman" w:eastAsia="宋体" w:cs="Times New Roman"/>
                      <w:color w:val="auto"/>
                      <w:sz w:val="21"/>
                      <w:szCs w:val="21"/>
                    </w:rPr>
                  </w:pPr>
                </w:p>
              </w:tc>
              <w:tc>
                <w:tcPr>
                  <w:tcW w:w="2064" w:type="dxa"/>
                  <w:vMerge w:val="continue"/>
                  <w:tcBorders>
                    <w:tl2br w:val="nil"/>
                    <w:tr2bl w:val="nil"/>
                  </w:tcBorders>
                  <w:vAlign w:val="center"/>
                </w:tcPr>
                <w:p w14:paraId="2300D2AE">
                  <w:pPr>
                    <w:pStyle w:val="45"/>
                    <w:snapToGrid w:val="0"/>
                    <w:spacing w:before="0" w:after="0"/>
                    <w:jc w:val="center"/>
                    <w:rPr>
                      <w:rFonts w:hint="default" w:ascii="Times New Roman" w:hAnsi="Times New Roman" w:eastAsia="宋体" w:cs="Times New Roman"/>
                      <w:color w:val="auto"/>
                      <w:sz w:val="21"/>
                      <w:szCs w:val="21"/>
                    </w:rPr>
                  </w:pPr>
                </w:p>
              </w:tc>
              <w:tc>
                <w:tcPr>
                  <w:tcW w:w="2065" w:type="dxa"/>
                  <w:tcBorders>
                    <w:tl2br w:val="nil"/>
                    <w:tr2bl w:val="nil"/>
                  </w:tcBorders>
                  <w:vAlign w:val="center"/>
                </w:tcPr>
                <w:p w14:paraId="719F21D8">
                  <w:pPr>
                    <w:pStyle w:val="45"/>
                    <w:snapToGrid w:val="0"/>
                    <w:spacing w:before="0" w:after="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500</w:t>
                  </w:r>
                </w:p>
              </w:tc>
              <w:tc>
                <w:tcPr>
                  <w:tcW w:w="2065" w:type="dxa"/>
                  <w:tcBorders>
                    <w:tl2br w:val="nil"/>
                    <w:tr2bl w:val="nil"/>
                  </w:tcBorders>
                  <w:vAlign w:val="center"/>
                </w:tcPr>
                <w:p w14:paraId="00E243FF">
                  <w:pPr>
                    <w:pStyle w:val="45"/>
                    <w:snapToGrid w:val="0"/>
                    <w:spacing w:before="0" w:after="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超标次数≤6次/日</w:t>
                  </w:r>
                </w:p>
              </w:tc>
            </w:tr>
            <w:tr w14:paraId="2DFED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58" w:type="dxa"/>
                  <w:gridSpan w:val="4"/>
                  <w:tcBorders>
                    <w:tl2br w:val="nil"/>
                    <w:tr2bl w:val="nil"/>
                  </w:tcBorders>
                  <w:vAlign w:val="center"/>
                </w:tcPr>
                <w:p w14:paraId="47A8AD58">
                  <w:pPr>
                    <w:pStyle w:val="45"/>
                    <w:snapToGrid w:val="0"/>
                    <w:spacing w:before="0" w:after="0"/>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任一监测点自整时起依次顺延15分钟的TSP浓度平均值不得超过的限值。超标次数指一个日历日96个TSP15分钟浓度平均值超过监测点浓度限值的次数。</w:t>
                  </w:r>
                </w:p>
                <w:p w14:paraId="2D0EDB46">
                  <w:pPr>
                    <w:pStyle w:val="45"/>
                    <w:snapToGrid w:val="0"/>
                    <w:spacing w:before="0" w:after="0"/>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根据HJ633判定设区市AQI在200~300之间且首要污染物为PM</w:t>
                  </w:r>
                  <w:r>
                    <w:rPr>
                      <w:rFonts w:hint="default" w:ascii="Times New Roman" w:hAnsi="Times New Roman" w:eastAsia="宋体" w:cs="Times New Roman"/>
                      <w:color w:val="auto"/>
                      <w:sz w:val="21"/>
                      <w:szCs w:val="21"/>
                      <w:vertAlign w:val="subscript"/>
                    </w:rPr>
                    <w:t>10</w:t>
                  </w:r>
                  <w:r>
                    <w:rPr>
                      <w:rFonts w:hint="default" w:ascii="Times New Roman" w:hAnsi="Times New Roman" w:eastAsia="宋体" w:cs="Times New Roman"/>
                      <w:color w:val="auto"/>
                      <w:sz w:val="21"/>
                      <w:szCs w:val="21"/>
                    </w:rPr>
                    <w:t>或PM</w:t>
                  </w:r>
                  <w:r>
                    <w:rPr>
                      <w:rFonts w:hint="default" w:ascii="Times New Roman" w:hAnsi="Times New Roman" w:eastAsia="宋体" w:cs="Times New Roman"/>
                      <w:color w:val="auto"/>
                      <w:sz w:val="21"/>
                      <w:szCs w:val="21"/>
                      <w:vertAlign w:val="subscript"/>
                    </w:rPr>
                    <w:t>2.5</w:t>
                  </w:r>
                  <w:r>
                    <w:rPr>
                      <w:rFonts w:hint="default" w:ascii="Times New Roman" w:hAnsi="Times New Roman" w:eastAsia="宋体" w:cs="Times New Roman"/>
                      <w:color w:val="auto"/>
                      <w:sz w:val="21"/>
                      <w:szCs w:val="21"/>
                    </w:rPr>
                    <w:t>时，TSP实测值扣除200μg/m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后再进行评价</w:t>
                  </w:r>
                </w:p>
              </w:tc>
            </w:tr>
          </w:tbl>
          <w:p w14:paraId="25E061BC">
            <w:pPr>
              <w:spacing w:line="360" w:lineRule="auto"/>
              <w:ind w:firstLine="480" w:firstLineChars="200"/>
              <w:rPr>
                <w:rFonts w:hint="default" w:ascii="Times New Roman" w:hAnsi="Times New Roman" w:eastAsia="宋体" w:cs="Times New Roman"/>
                <w:bCs/>
                <w:color w:val="auto"/>
              </w:rPr>
            </w:pPr>
            <w:r>
              <w:rPr>
                <w:rFonts w:hint="default" w:ascii="Times New Roman" w:hAnsi="Times New Roman" w:eastAsia="宋体" w:cs="Times New Roman"/>
                <w:bCs/>
                <w:color w:val="auto"/>
              </w:rPr>
              <w:t>本项目</w:t>
            </w:r>
            <w:r>
              <w:rPr>
                <w:rFonts w:hint="default" w:ascii="Times New Roman" w:hAnsi="Times New Roman" w:eastAsia="宋体" w:cs="Times New Roman"/>
                <w:bCs/>
                <w:color w:val="auto"/>
                <w:lang w:val="en-US" w:eastAsia="zh-CN"/>
              </w:rPr>
              <w:t>骨料车间给料、破碎、筛分，产生的有组织粉尘排放执行《大气污染物综合排放标准》（GB16297-1996）中限值要求，RDF燃料生产线产生的有组织粉尘排放执行《大气污染物综合排放标准》（GB16297-1996）中限值要求，</w:t>
            </w:r>
            <w:r>
              <w:rPr>
                <w:rFonts w:hint="default" w:ascii="Times New Roman" w:hAnsi="Times New Roman" w:eastAsia="宋体" w:cs="Times New Roman"/>
                <w:color w:val="auto"/>
                <w:sz w:val="24"/>
                <w:lang w:eastAsia="zh-CN"/>
              </w:rPr>
              <w:t>污泥贮存</w:t>
            </w:r>
            <w:r>
              <w:rPr>
                <w:rFonts w:hint="default" w:ascii="Times New Roman" w:hAnsi="Times New Roman" w:eastAsia="宋体" w:cs="Times New Roman"/>
                <w:b w:val="0"/>
                <w:bCs w:val="0"/>
                <w:color w:val="auto"/>
                <w:kern w:val="2"/>
                <w:sz w:val="24"/>
                <w:szCs w:val="24"/>
                <w:lang w:val="en-US" w:eastAsia="zh-CN" w:bidi="ar-SA"/>
              </w:rPr>
              <w:t>和成型工序产生的</w:t>
            </w:r>
            <w:r>
              <w:rPr>
                <w:rFonts w:hint="default" w:ascii="Times New Roman" w:hAnsi="Times New Roman" w:eastAsia="宋体" w:cs="Times New Roman"/>
                <w:color w:val="auto"/>
                <w:sz w:val="24"/>
              </w:rPr>
              <w:t>恶臭排放</w:t>
            </w:r>
            <w:r>
              <w:rPr>
                <w:rFonts w:hint="default" w:ascii="Times New Roman" w:hAnsi="Times New Roman" w:eastAsia="宋体" w:cs="Times New Roman"/>
                <w:color w:val="auto"/>
                <w:sz w:val="24"/>
                <w:lang w:eastAsia="zh-CN"/>
              </w:rPr>
              <w:t>参照</w:t>
            </w:r>
            <w:r>
              <w:rPr>
                <w:rFonts w:hint="default" w:ascii="Times New Roman" w:hAnsi="Times New Roman" w:eastAsia="宋体" w:cs="Times New Roman"/>
                <w:color w:val="auto"/>
                <w:sz w:val="24"/>
              </w:rPr>
              <w:t>执行《</w:t>
            </w:r>
            <w:r>
              <w:rPr>
                <w:rFonts w:hint="default" w:ascii="Times New Roman" w:hAnsi="Times New Roman" w:eastAsia="宋体" w:cs="Times New Roman"/>
                <w:bCs/>
                <w:color w:val="auto"/>
                <w:sz w:val="24"/>
              </w:rPr>
              <w:t>恶臭污染物排放标准</w:t>
            </w:r>
            <w:r>
              <w:rPr>
                <w:rFonts w:hint="default" w:ascii="Times New Roman" w:hAnsi="Times New Roman" w:eastAsia="宋体" w:cs="Times New Roman"/>
                <w:color w:val="auto"/>
                <w:sz w:val="24"/>
              </w:rPr>
              <w:t>》</w:t>
            </w:r>
            <w:r>
              <w:rPr>
                <w:rFonts w:hint="default" w:ascii="Times New Roman" w:hAnsi="Times New Roman" w:eastAsia="宋体" w:cs="Times New Roman"/>
                <w:bCs/>
                <w:color w:val="auto"/>
                <w:sz w:val="24"/>
              </w:rPr>
              <w:t>(GB14554-</w:t>
            </w:r>
            <w:r>
              <w:rPr>
                <w:rFonts w:hint="default" w:ascii="Times New Roman" w:hAnsi="Times New Roman" w:eastAsia="宋体" w:cs="Times New Roman"/>
                <w:bCs/>
                <w:color w:val="auto"/>
                <w:sz w:val="24"/>
                <w:lang w:val="en-US" w:eastAsia="zh-CN"/>
              </w:rPr>
              <w:t>19</w:t>
            </w:r>
            <w:r>
              <w:rPr>
                <w:rFonts w:hint="default" w:ascii="Times New Roman" w:hAnsi="Times New Roman" w:eastAsia="宋体" w:cs="Times New Roman"/>
                <w:bCs/>
                <w:color w:val="auto"/>
                <w:sz w:val="24"/>
              </w:rPr>
              <w:t>93)中</w:t>
            </w:r>
            <w:r>
              <w:rPr>
                <w:rFonts w:hint="default" w:ascii="Times New Roman" w:hAnsi="Times New Roman" w:eastAsia="宋体" w:cs="Times New Roman"/>
                <w:color w:val="auto"/>
                <w:sz w:val="24"/>
                <w:szCs w:val="24"/>
                <w:lang w:val="en-US" w:eastAsia="zh-CN"/>
              </w:rPr>
              <w:t>表1及表2恶臭污染物厂界标准限值要求</w:t>
            </w:r>
            <w:r>
              <w:rPr>
                <w:rFonts w:hint="default" w:ascii="Times New Roman" w:hAnsi="Times New Roman" w:eastAsia="宋体" w:cs="Times New Roman"/>
                <w:bCs/>
                <w:color w:val="auto"/>
                <w:lang w:val="en-US" w:eastAsia="zh-CN"/>
              </w:rPr>
              <w:t>。水稳车间有组织粉尘排放执行</w:t>
            </w:r>
            <w:r>
              <w:rPr>
                <w:rFonts w:hint="default" w:ascii="Times New Roman" w:hAnsi="Times New Roman" w:eastAsia="宋体" w:cs="Times New Roman"/>
                <w:bCs/>
                <w:color w:val="auto"/>
              </w:rPr>
              <w:t>《水泥工业大气污染物排放标准》（DB34/3576-2020）</w:t>
            </w:r>
            <w:r>
              <w:rPr>
                <w:rFonts w:hint="default" w:ascii="Times New Roman" w:hAnsi="Times New Roman" w:eastAsia="宋体" w:cs="Times New Roman"/>
                <w:bCs/>
                <w:color w:val="auto"/>
                <w:lang w:val="en-US" w:eastAsia="zh-CN"/>
              </w:rPr>
              <w:t>中限值要求；项目无组织粉尘排放执行</w:t>
            </w:r>
            <w:r>
              <w:rPr>
                <w:rFonts w:hint="default" w:ascii="Times New Roman" w:hAnsi="Times New Roman" w:eastAsia="宋体" w:cs="Times New Roman"/>
                <w:bCs/>
                <w:color w:val="auto"/>
              </w:rPr>
              <w:t>《水泥工业大气污染物排放标准》（DB34/3576-2020）</w:t>
            </w:r>
            <w:r>
              <w:rPr>
                <w:rFonts w:hint="default" w:ascii="Times New Roman" w:hAnsi="Times New Roman" w:eastAsia="宋体" w:cs="Times New Roman"/>
                <w:bCs/>
                <w:color w:val="auto"/>
                <w:lang w:val="en-US" w:eastAsia="zh-CN"/>
              </w:rPr>
              <w:t>中限值要求。</w:t>
            </w:r>
            <w:r>
              <w:rPr>
                <w:rFonts w:hint="default" w:ascii="Times New Roman" w:hAnsi="Times New Roman" w:eastAsia="宋体" w:cs="Times New Roman"/>
                <w:bCs/>
                <w:color w:val="auto"/>
              </w:rPr>
              <w:t>废气排放标准见表3-</w:t>
            </w:r>
            <w:r>
              <w:rPr>
                <w:rFonts w:hint="default" w:ascii="Times New Roman" w:hAnsi="Times New Roman" w:eastAsia="宋体" w:cs="Times New Roman"/>
                <w:bCs/>
                <w:color w:val="auto"/>
                <w:lang w:val="en-US" w:eastAsia="zh-CN"/>
              </w:rPr>
              <w:t>8</w:t>
            </w:r>
            <w:r>
              <w:rPr>
                <w:rFonts w:hint="default" w:ascii="Times New Roman" w:hAnsi="Times New Roman" w:eastAsia="宋体" w:cs="Times New Roman"/>
                <w:bCs/>
                <w:color w:val="auto"/>
              </w:rPr>
              <w:t>和表3-</w:t>
            </w:r>
            <w:r>
              <w:rPr>
                <w:rFonts w:hint="default" w:ascii="Times New Roman" w:hAnsi="Times New Roman" w:eastAsia="宋体" w:cs="Times New Roman"/>
                <w:bCs/>
                <w:color w:val="auto"/>
                <w:lang w:val="en-US" w:eastAsia="zh-CN"/>
              </w:rPr>
              <w:t>9</w:t>
            </w:r>
            <w:r>
              <w:rPr>
                <w:rFonts w:hint="default" w:ascii="Times New Roman" w:hAnsi="Times New Roman" w:eastAsia="宋体" w:cs="Times New Roman"/>
                <w:bCs/>
                <w:color w:val="auto"/>
              </w:rPr>
              <w:t>。</w:t>
            </w:r>
          </w:p>
          <w:p w14:paraId="2C122158">
            <w:pPr>
              <w:pStyle w:val="59"/>
              <w:spacing w:line="240" w:lineRule="auto"/>
              <w:ind w:firstLine="482"/>
              <w:rPr>
                <w:rFonts w:hint="default" w:ascii="Times New Roman" w:hAnsi="Times New Roman" w:eastAsia="宋体" w:cs="Times New Roman"/>
                <w:color w:val="auto"/>
                <w:sz w:val="21"/>
                <w:szCs w:val="22"/>
                <w:u w:val="none" w:color="auto"/>
              </w:rPr>
            </w:pPr>
            <w:r>
              <w:rPr>
                <w:rFonts w:hint="default" w:ascii="Times New Roman" w:hAnsi="Times New Roman" w:eastAsia="宋体" w:cs="Times New Roman"/>
                <w:color w:val="auto"/>
                <w:sz w:val="21"/>
                <w:szCs w:val="22"/>
                <w:u w:val="none" w:color="auto"/>
              </w:rPr>
              <w:t>表3-</w:t>
            </w:r>
            <w:r>
              <w:rPr>
                <w:rFonts w:hint="default" w:ascii="Times New Roman" w:hAnsi="Times New Roman" w:eastAsia="宋体" w:cs="Times New Roman"/>
                <w:color w:val="auto"/>
                <w:sz w:val="21"/>
                <w:szCs w:val="22"/>
                <w:u w:val="none" w:color="auto"/>
                <w:lang w:val="en-US" w:eastAsia="zh-CN"/>
              </w:rPr>
              <w:t>8</w:t>
            </w:r>
            <w:r>
              <w:rPr>
                <w:rFonts w:hint="default" w:ascii="Times New Roman" w:hAnsi="Times New Roman" w:eastAsia="宋体" w:cs="Times New Roman"/>
                <w:color w:val="auto"/>
                <w:sz w:val="21"/>
                <w:szCs w:val="22"/>
                <w:u w:val="none" w:color="auto"/>
              </w:rPr>
              <w:t xml:space="preserve">  项目废气污染物有组织排放标准一览表</w:t>
            </w:r>
          </w:p>
          <w:tbl>
            <w:tblPr>
              <w:tblStyle w:val="34"/>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134"/>
              <w:gridCol w:w="1669"/>
              <w:gridCol w:w="1725"/>
              <w:gridCol w:w="2910"/>
            </w:tblGrid>
            <w:tr w14:paraId="0C36D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tcBorders>
                    <w:tl2br w:val="nil"/>
                    <w:tr2bl w:val="nil"/>
                  </w:tcBorders>
                  <w:vAlign w:val="center"/>
                </w:tcPr>
                <w:p w14:paraId="2974AA63">
                  <w:pPr>
                    <w:pStyle w:val="62"/>
                    <w:rPr>
                      <w:rFonts w:hint="default" w:ascii="Times New Roman" w:hAnsi="Times New Roman" w:eastAsia="宋体" w:cs="Times New Roman"/>
                      <w:bCs/>
                      <w:color w:val="auto"/>
                      <w:lang w:val="en-US" w:eastAsia="zh-CN"/>
                    </w:rPr>
                  </w:pPr>
                  <w:r>
                    <w:rPr>
                      <w:rFonts w:hint="default" w:ascii="Times New Roman" w:hAnsi="Times New Roman" w:eastAsia="宋体" w:cs="Times New Roman"/>
                      <w:bCs/>
                      <w:color w:val="auto"/>
                      <w:lang w:val="en-US" w:eastAsia="zh-CN"/>
                    </w:rPr>
                    <w:t>排气筒</w:t>
                  </w:r>
                </w:p>
              </w:tc>
              <w:tc>
                <w:tcPr>
                  <w:tcW w:w="683" w:type="pct"/>
                  <w:tcBorders>
                    <w:tl2br w:val="nil"/>
                    <w:tr2bl w:val="nil"/>
                  </w:tcBorders>
                  <w:vAlign w:val="center"/>
                </w:tcPr>
                <w:p w14:paraId="4E9601B6">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污染物</w:t>
                  </w:r>
                </w:p>
              </w:tc>
              <w:tc>
                <w:tcPr>
                  <w:tcW w:w="1005" w:type="pct"/>
                  <w:tcBorders>
                    <w:tl2br w:val="nil"/>
                    <w:tr2bl w:val="nil"/>
                  </w:tcBorders>
                  <w:vAlign w:val="center"/>
                </w:tcPr>
                <w:p w14:paraId="6BCC8DAA">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最高允许排放浓度（mg/m</w:t>
                  </w:r>
                  <w:r>
                    <w:rPr>
                      <w:rFonts w:hint="default" w:ascii="Times New Roman" w:hAnsi="Times New Roman" w:eastAsia="宋体" w:cs="Times New Roman"/>
                      <w:bCs/>
                      <w:color w:val="auto"/>
                      <w:vertAlign w:val="superscript"/>
                    </w:rPr>
                    <w:t>3</w:t>
                  </w:r>
                  <w:r>
                    <w:rPr>
                      <w:rFonts w:hint="default" w:ascii="Times New Roman" w:hAnsi="Times New Roman" w:eastAsia="宋体" w:cs="Times New Roman"/>
                      <w:bCs/>
                      <w:color w:val="auto"/>
                    </w:rPr>
                    <w:t>）</w:t>
                  </w:r>
                </w:p>
              </w:tc>
              <w:tc>
                <w:tcPr>
                  <w:tcW w:w="1039" w:type="pct"/>
                  <w:tcBorders>
                    <w:tl2br w:val="nil"/>
                    <w:tr2bl w:val="nil"/>
                  </w:tcBorders>
                  <w:vAlign w:val="center"/>
                </w:tcPr>
                <w:p w14:paraId="216397D7">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最高允许排放速率（kg/h）</w:t>
                  </w:r>
                </w:p>
              </w:tc>
              <w:tc>
                <w:tcPr>
                  <w:tcW w:w="1752" w:type="pct"/>
                  <w:tcBorders>
                    <w:tl2br w:val="nil"/>
                    <w:tr2bl w:val="nil"/>
                  </w:tcBorders>
                  <w:vAlign w:val="center"/>
                </w:tcPr>
                <w:p w14:paraId="04C4C7EF">
                  <w:pPr>
                    <w:pStyle w:val="62"/>
                    <w:rPr>
                      <w:rFonts w:hint="default" w:ascii="Times New Roman" w:hAnsi="Times New Roman" w:eastAsia="宋体" w:cs="Times New Roman"/>
                      <w:bCs/>
                      <w:color w:val="auto"/>
                    </w:rPr>
                  </w:pPr>
                  <w:r>
                    <w:rPr>
                      <w:rFonts w:hint="default" w:ascii="Times New Roman" w:hAnsi="Times New Roman" w:eastAsia="宋体" w:cs="Times New Roman"/>
                      <w:bCs/>
                      <w:color w:val="auto"/>
                    </w:rPr>
                    <w:t>标准名称</w:t>
                  </w:r>
                </w:p>
              </w:tc>
            </w:tr>
            <w:tr w14:paraId="1341F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tcBorders>
                    <w:tl2br w:val="nil"/>
                    <w:tr2bl w:val="nil"/>
                  </w:tcBorders>
                  <w:vAlign w:val="center"/>
                </w:tcPr>
                <w:p w14:paraId="2DC18851">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DA001</w:t>
                  </w:r>
                </w:p>
              </w:tc>
              <w:tc>
                <w:tcPr>
                  <w:tcW w:w="683" w:type="pct"/>
                  <w:vMerge w:val="restart"/>
                  <w:tcBorders>
                    <w:tl2br w:val="nil"/>
                    <w:tr2bl w:val="nil"/>
                  </w:tcBorders>
                  <w:vAlign w:val="center"/>
                </w:tcPr>
                <w:p w14:paraId="2E0EEAE5">
                  <w:pPr>
                    <w:pStyle w:val="62"/>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颗粒物</w:t>
                  </w:r>
                </w:p>
              </w:tc>
              <w:tc>
                <w:tcPr>
                  <w:tcW w:w="1005" w:type="pct"/>
                  <w:tcBorders>
                    <w:tl2br w:val="nil"/>
                    <w:tr2bl w:val="nil"/>
                  </w:tcBorders>
                  <w:vAlign w:val="center"/>
                </w:tcPr>
                <w:p w14:paraId="133D9F3F">
                  <w:pPr>
                    <w:pStyle w:val="62"/>
                    <w:rPr>
                      <w:rFonts w:hint="default" w:ascii="Times New Roman" w:hAnsi="Times New Roman" w:eastAsia="宋体" w:cs="Times New Roman"/>
                      <w:b w:val="0"/>
                      <w:bCs/>
                      <w:color w:val="auto"/>
                      <w:lang w:val="en-US"/>
                    </w:rPr>
                  </w:pPr>
                  <w:r>
                    <w:rPr>
                      <w:rFonts w:hint="default" w:ascii="Times New Roman" w:hAnsi="Times New Roman" w:eastAsia="宋体" w:cs="Times New Roman"/>
                      <w:b w:val="0"/>
                      <w:bCs/>
                      <w:color w:val="auto"/>
                      <w:lang w:val="en-US" w:eastAsia="zh-CN"/>
                    </w:rPr>
                    <w:t>120</w:t>
                  </w:r>
                </w:p>
              </w:tc>
              <w:tc>
                <w:tcPr>
                  <w:tcW w:w="1039" w:type="pct"/>
                  <w:tcBorders>
                    <w:tl2br w:val="nil"/>
                    <w:tr2bl w:val="nil"/>
                  </w:tcBorders>
                  <w:vAlign w:val="center"/>
                </w:tcPr>
                <w:p w14:paraId="3F81E2BC">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3.5</w:t>
                  </w:r>
                </w:p>
              </w:tc>
              <w:tc>
                <w:tcPr>
                  <w:tcW w:w="1752" w:type="pct"/>
                  <w:tcBorders>
                    <w:tl2br w:val="nil"/>
                    <w:tr2bl w:val="nil"/>
                  </w:tcBorders>
                  <w:vAlign w:val="center"/>
                </w:tcPr>
                <w:p w14:paraId="2ED3ED43">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eastAsia="zh-CN"/>
                    </w:rPr>
                    <w:t>《</w:t>
                  </w:r>
                  <w:r>
                    <w:rPr>
                      <w:rFonts w:hint="default" w:ascii="Times New Roman" w:hAnsi="Times New Roman" w:eastAsia="宋体" w:cs="Times New Roman"/>
                      <w:b w:val="0"/>
                      <w:bCs/>
                      <w:color w:val="auto"/>
                      <w:lang w:val="en-US" w:eastAsia="zh-CN"/>
                    </w:rPr>
                    <w:t>大气污染物综合排放标准</w:t>
                  </w:r>
                  <w:r>
                    <w:rPr>
                      <w:rFonts w:hint="default" w:ascii="Times New Roman" w:hAnsi="Times New Roman" w:eastAsia="宋体" w:cs="Times New Roman"/>
                      <w:b w:val="0"/>
                      <w:bCs/>
                      <w:color w:val="auto"/>
                      <w:lang w:eastAsia="zh-CN"/>
                    </w:rPr>
                    <w:t>》（</w:t>
                  </w:r>
                  <w:r>
                    <w:rPr>
                      <w:rFonts w:hint="default" w:ascii="Times New Roman" w:hAnsi="Times New Roman" w:eastAsia="宋体" w:cs="Times New Roman"/>
                      <w:b w:val="0"/>
                      <w:bCs/>
                      <w:color w:val="auto"/>
                      <w:lang w:val="en-US" w:eastAsia="zh-CN"/>
                    </w:rPr>
                    <w:t>GB16297-1996</w:t>
                  </w:r>
                  <w:r>
                    <w:rPr>
                      <w:rFonts w:hint="default" w:ascii="Times New Roman" w:hAnsi="Times New Roman" w:eastAsia="宋体" w:cs="Times New Roman"/>
                      <w:b w:val="0"/>
                      <w:bCs/>
                      <w:color w:val="auto"/>
                      <w:lang w:eastAsia="zh-CN"/>
                    </w:rPr>
                    <w:t>）</w:t>
                  </w:r>
                </w:p>
              </w:tc>
            </w:tr>
            <w:tr w14:paraId="134B7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tcBorders>
                    <w:tl2br w:val="nil"/>
                    <w:tr2bl w:val="nil"/>
                  </w:tcBorders>
                  <w:vAlign w:val="center"/>
                </w:tcPr>
                <w:p w14:paraId="33C80F55">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DA002</w:t>
                  </w:r>
                </w:p>
              </w:tc>
              <w:tc>
                <w:tcPr>
                  <w:tcW w:w="683" w:type="pct"/>
                  <w:vMerge w:val="continue"/>
                  <w:tcBorders>
                    <w:tl2br w:val="nil"/>
                    <w:tr2bl w:val="nil"/>
                  </w:tcBorders>
                  <w:vAlign w:val="center"/>
                </w:tcPr>
                <w:p w14:paraId="6F93E647">
                  <w:pPr>
                    <w:pStyle w:val="62"/>
                    <w:rPr>
                      <w:rFonts w:hint="default" w:ascii="Times New Roman" w:hAnsi="Times New Roman" w:eastAsia="宋体" w:cs="Times New Roman"/>
                      <w:b w:val="0"/>
                      <w:bCs/>
                      <w:color w:val="auto"/>
                    </w:rPr>
                  </w:pPr>
                </w:p>
              </w:tc>
              <w:tc>
                <w:tcPr>
                  <w:tcW w:w="1005" w:type="pct"/>
                  <w:tcBorders>
                    <w:tl2br w:val="nil"/>
                    <w:tr2bl w:val="nil"/>
                  </w:tcBorders>
                  <w:vAlign w:val="center"/>
                </w:tcPr>
                <w:p w14:paraId="6A4EB79A">
                  <w:pPr>
                    <w:pStyle w:val="62"/>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10</w:t>
                  </w:r>
                </w:p>
              </w:tc>
              <w:tc>
                <w:tcPr>
                  <w:tcW w:w="1039" w:type="pct"/>
                  <w:tcBorders>
                    <w:tl2br w:val="nil"/>
                    <w:tr2bl w:val="nil"/>
                  </w:tcBorders>
                  <w:vAlign w:val="center"/>
                </w:tcPr>
                <w:p w14:paraId="5B10EB18">
                  <w:pPr>
                    <w:pStyle w:val="62"/>
                    <w:ind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w:t>
                  </w:r>
                </w:p>
              </w:tc>
              <w:tc>
                <w:tcPr>
                  <w:tcW w:w="1752" w:type="pct"/>
                  <w:tcBorders>
                    <w:tl2br w:val="nil"/>
                    <w:tr2bl w:val="nil"/>
                  </w:tcBorders>
                  <w:vAlign w:val="center"/>
                </w:tcPr>
                <w:p w14:paraId="039E7B0E">
                  <w:pPr>
                    <w:pStyle w:val="62"/>
                    <w:ind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《水泥工业大气污染物排放标准》（DB34/3576-2020）</w:t>
                  </w:r>
                </w:p>
              </w:tc>
            </w:tr>
            <w:tr w14:paraId="776D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tcBorders>
                    <w:tl2br w:val="nil"/>
                    <w:tr2bl w:val="nil"/>
                  </w:tcBorders>
                  <w:vAlign w:val="center"/>
                </w:tcPr>
                <w:p w14:paraId="7C0E5CCC">
                  <w:pPr>
                    <w:pStyle w:val="62"/>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DA003</w:t>
                  </w:r>
                </w:p>
              </w:tc>
              <w:tc>
                <w:tcPr>
                  <w:tcW w:w="683" w:type="pct"/>
                  <w:vMerge w:val="continue"/>
                  <w:tcBorders>
                    <w:tl2br w:val="nil"/>
                    <w:tr2bl w:val="nil"/>
                  </w:tcBorders>
                  <w:vAlign w:val="center"/>
                </w:tcPr>
                <w:p w14:paraId="16FEFA7B">
                  <w:pPr>
                    <w:pStyle w:val="62"/>
                    <w:rPr>
                      <w:rFonts w:hint="default" w:ascii="Times New Roman" w:hAnsi="Times New Roman" w:eastAsia="宋体" w:cs="Times New Roman"/>
                      <w:b w:val="0"/>
                      <w:bCs/>
                      <w:color w:val="auto"/>
                    </w:rPr>
                  </w:pPr>
                </w:p>
              </w:tc>
              <w:tc>
                <w:tcPr>
                  <w:tcW w:w="1005" w:type="pct"/>
                  <w:tcBorders>
                    <w:tl2br w:val="nil"/>
                    <w:tr2bl w:val="nil"/>
                  </w:tcBorders>
                  <w:vAlign w:val="center"/>
                </w:tcPr>
                <w:p w14:paraId="40AE887E">
                  <w:pPr>
                    <w:pStyle w:val="62"/>
                    <w:ind w:left="0" w:leftChars="0" w:firstLine="0" w:firstLineChars="0"/>
                    <w:rPr>
                      <w:rFonts w:hint="default" w:ascii="Times New Roman" w:hAnsi="Times New Roman" w:eastAsia="宋体" w:cs="Times New Roman"/>
                      <w:b w:val="0"/>
                      <w:bCs/>
                      <w:color w:val="auto"/>
                      <w:lang w:val="en-US"/>
                    </w:rPr>
                  </w:pPr>
                  <w:r>
                    <w:rPr>
                      <w:rFonts w:hint="default" w:ascii="Times New Roman" w:hAnsi="Times New Roman" w:eastAsia="宋体" w:cs="Times New Roman"/>
                      <w:b w:val="0"/>
                      <w:bCs/>
                      <w:color w:val="auto"/>
                      <w:lang w:val="en-US" w:eastAsia="zh-CN"/>
                    </w:rPr>
                    <w:t>120</w:t>
                  </w:r>
                </w:p>
              </w:tc>
              <w:tc>
                <w:tcPr>
                  <w:tcW w:w="1039" w:type="pct"/>
                  <w:tcBorders>
                    <w:tl2br w:val="nil"/>
                    <w:tr2bl w:val="nil"/>
                  </w:tcBorders>
                  <w:vAlign w:val="center"/>
                </w:tcPr>
                <w:p w14:paraId="02B723FE">
                  <w:pPr>
                    <w:pStyle w:val="62"/>
                    <w:ind w:left="0" w:leftChars="0"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3.5</w:t>
                  </w:r>
                </w:p>
              </w:tc>
              <w:tc>
                <w:tcPr>
                  <w:tcW w:w="1752" w:type="pct"/>
                  <w:tcBorders>
                    <w:tl2br w:val="nil"/>
                    <w:tr2bl w:val="nil"/>
                  </w:tcBorders>
                  <w:vAlign w:val="center"/>
                </w:tcPr>
                <w:p w14:paraId="46EC6F0F">
                  <w:pPr>
                    <w:pStyle w:val="62"/>
                    <w:ind w:left="0" w:leftChars="0" w:firstLine="0" w:firstLineChars="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eastAsia="zh-CN"/>
                    </w:rPr>
                    <w:t>《</w:t>
                  </w:r>
                  <w:r>
                    <w:rPr>
                      <w:rFonts w:hint="default" w:ascii="Times New Roman" w:hAnsi="Times New Roman" w:eastAsia="宋体" w:cs="Times New Roman"/>
                      <w:b w:val="0"/>
                      <w:bCs/>
                      <w:color w:val="auto"/>
                      <w:lang w:val="en-US" w:eastAsia="zh-CN"/>
                    </w:rPr>
                    <w:t>大气污染物综合排放标准</w:t>
                  </w:r>
                  <w:r>
                    <w:rPr>
                      <w:rFonts w:hint="default" w:ascii="Times New Roman" w:hAnsi="Times New Roman" w:eastAsia="宋体" w:cs="Times New Roman"/>
                      <w:b w:val="0"/>
                      <w:bCs/>
                      <w:color w:val="auto"/>
                      <w:lang w:eastAsia="zh-CN"/>
                    </w:rPr>
                    <w:t>》（</w:t>
                  </w:r>
                  <w:r>
                    <w:rPr>
                      <w:rFonts w:hint="default" w:ascii="Times New Roman" w:hAnsi="Times New Roman" w:eastAsia="宋体" w:cs="Times New Roman"/>
                      <w:b w:val="0"/>
                      <w:bCs/>
                      <w:color w:val="auto"/>
                      <w:lang w:val="en-US" w:eastAsia="zh-CN"/>
                    </w:rPr>
                    <w:t>GB16297-1996</w:t>
                  </w:r>
                  <w:r>
                    <w:rPr>
                      <w:rFonts w:hint="default" w:ascii="Times New Roman" w:hAnsi="Times New Roman" w:eastAsia="宋体" w:cs="Times New Roman"/>
                      <w:b w:val="0"/>
                      <w:bCs/>
                      <w:color w:val="auto"/>
                      <w:lang w:eastAsia="zh-CN"/>
                    </w:rPr>
                    <w:t>）</w:t>
                  </w:r>
                </w:p>
              </w:tc>
            </w:tr>
            <w:tr w14:paraId="3829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vMerge w:val="restart"/>
                  <w:tcBorders>
                    <w:tl2br w:val="nil"/>
                    <w:tr2bl w:val="nil"/>
                  </w:tcBorders>
                  <w:vAlign w:val="center"/>
                </w:tcPr>
                <w:p w14:paraId="07B05764">
                  <w:pPr>
                    <w:widowControl/>
                    <w:adjustRightInd w:val="0"/>
                    <w:snapToGrid w:val="0"/>
                    <w:spacing w:line="240" w:lineRule="auto"/>
                    <w:ind w:firstLine="0" w:firstLineChars="0"/>
                    <w:jc w:val="center"/>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color w:val="auto"/>
                      <w:sz w:val="21"/>
                      <w:szCs w:val="21"/>
                      <w:lang w:val="en-US" w:eastAsia="zh-CN"/>
                    </w:rPr>
                    <w:t>DA004</w:t>
                  </w:r>
                </w:p>
              </w:tc>
              <w:tc>
                <w:tcPr>
                  <w:tcW w:w="683" w:type="pct"/>
                  <w:tcBorders>
                    <w:tl2br w:val="nil"/>
                    <w:tr2bl w:val="nil"/>
                  </w:tcBorders>
                  <w:vAlign w:val="center"/>
                </w:tcPr>
                <w:p w14:paraId="55BD3A44">
                  <w:pPr>
                    <w:widowControl/>
                    <w:adjustRightInd w:val="0"/>
                    <w:snapToGrid w:val="0"/>
                    <w:spacing w:line="240" w:lineRule="auto"/>
                    <w:ind w:firstLine="0" w:firstLineChars="0"/>
                    <w:jc w:val="center"/>
                    <w:rPr>
                      <w:rFonts w:hint="default" w:ascii="Times New Roman" w:hAnsi="Times New Roman" w:eastAsia="宋体" w:cs="Times New Roman"/>
                      <w:b w:val="0"/>
                      <w:bCs/>
                      <w:color w:val="auto"/>
                    </w:rPr>
                  </w:pPr>
                  <w:r>
                    <w:rPr>
                      <w:rFonts w:hint="default" w:ascii="Times New Roman" w:hAnsi="Times New Roman" w:eastAsia="宋体" w:cs="Times New Roman"/>
                      <w:color w:val="auto"/>
                      <w:sz w:val="21"/>
                      <w:szCs w:val="21"/>
                    </w:rPr>
                    <w:t>硫化氢</w:t>
                  </w:r>
                </w:p>
              </w:tc>
              <w:tc>
                <w:tcPr>
                  <w:tcW w:w="1005" w:type="pct"/>
                  <w:tcBorders>
                    <w:tl2br w:val="nil"/>
                    <w:tr2bl w:val="nil"/>
                  </w:tcBorders>
                  <w:vAlign w:val="center"/>
                </w:tcPr>
                <w:p w14:paraId="67749ED3">
                  <w:pPr>
                    <w:pStyle w:val="62"/>
                    <w:ind w:left="0" w:leftChars="0"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w:t>
                  </w:r>
                </w:p>
              </w:tc>
              <w:tc>
                <w:tcPr>
                  <w:tcW w:w="1039" w:type="pct"/>
                  <w:tcBorders>
                    <w:tl2br w:val="nil"/>
                    <w:tr2bl w:val="nil"/>
                  </w:tcBorders>
                  <w:vAlign w:val="center"/>
                </w:tcPr>
                <w:p w14:paraId="3895E0A2">
                  <w:pPr>
                    <w:widowControl/>
                    <w:adjustRightInd w:val="0"/>
                    <w:snapToGrid w:val="0"/>
                    <w:spacing w:line="240" w:lineRule="auto"/>
                    <w:ind w:firstLine="0" w:firstLineChars="0"/>
                    <w:jc w:val="center"/>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color w:val="auto"/>
                      <w:sz w:val="21"/>
                      <w:szCs w:val="21"/>
                      <w:lang w:val="en-US" w:eastAsia="zh-CN"/>
                    </w:rPr>
                    <w:t>0.33</w:t>
                  </w:r>
                </w:p>
              </w:tc>
              <w:tc>
                <w:tcPr>
                  <w:tcW w:w="1752" w:type="pct"/>
                  <w:vMerge w:val="restart"/>
                  <w:tcBorders>
                    <w:tl2br w:val="nil"/>
                    <w:tr2bl w:val="nil"/>
                  </w:tcBorders>
                  <w:vAlign w:val="center"/>
                </w:tcPr>
                <w:p w14:paraId="24A5F284">
                  <w:pPr>
                    <w:pStyle w:val="62"/>
                    <w:ind w:left="0" w:leftChars="0" w:firstLine="0" w:firstLineChars="0"/>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lang w:val="en-US" w:eastAsia="zh-CN"/>
                    </w:rPr>
                    <w:t>《恶臭污染物排放标准》（GB14554-1993）</w:t>
                  </w:r>
                </w:p>
              </w:tc>
            </w:tr>
            <w:tr w14:paraId="45BA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vMerge w:val="continue"/>
                  <w:tcBorders>
                    <w:tl2br w:val="nil"/>
                    <w:tr2bl w:val="nil"/>
                  </w:tcBorders>
                  <w:vAlign w:val="center"/>
                </w:tcPr>
                <w:p w14:paraId="116FE3C4">
                  <w:pPr>
                    <w:spacing w:line="240" w:lineRule="auto"/>
                    <w:ind w:firstLine="0" w:firstLineChars="0"/>
                    <w:jc w:val="center"/>
                    <w:rPr>
                      <w:rFonts w:hint="default" w:ascii="Times New Roman" w:hAnsi="Times New Roman" w:eastAsia="宋体" w:cs="Times New Roman"/>
                      <w:b w:val="0"/>
                      <w:bCs/>
                      <w:color w:val="auto"/>
                      <w:lang w:val="en-US" w:eastAsia="zh-CN"/>
                    </w:rPr>
                  </w:pPr>
                </w:p>
              </w:tc>
              <w:tc>
                <w:tcPr>
                  <w:tcW w:w="683" w:type="pct"/>
                  <w:tcBorders>
                    <w:tl2br w:val="nil"/>
                    <w:tr2bl w:val="nil"/>
                  </w:tcBorders>
                  <w:vAlign w:val="center"/>
                </w:tcPr>
                <w:p w14:paraId="46AACB12">
                  <w:pPr>
                    <w:spacing w:line="240" w:lineRule="auto"/>
                    <w:ind w:firstLine="0" w:firstLineChars="0"/>
                    <w:jc w:val="center"/>
                    <w:rPr>
                      <w:rFonts w:hint="default" w:ascii="Times New Roman" w:hAnsi="Times New Roman" w:eastAsia="宋体" w:cs="Times New Roman"/>
                      <w:b w:val="0"/>
                      <w:bCs/>
                      <w:color w:val="auto"/>
                    </w:rPr>
                  </w:pPr>
                  <w:r>
                    <w:rPr>
                      <w:rFonts w:hint="default" w:ascii="Times New Roman" w:hAnsi="Times New Roman" w:eastAsia="宋体" w:cs="Times New Roman"/>
                      <w:color w:val="auto"/>
                      <w:sz w:val="21"/>
                      <w:szCs w:val="21"/>
                    </w:rPr>
                    <w:t>氨</w:t>
                  </w:r>
                </w:p>
              </w:tc>
              <w:tc>
                <w:tcPr>
                  <w:tcW w:w="1005" w:type="pct"/>
                  <w:tcBorders>
                    <w:tl2br w:val="nil"/>
                    <w:tr2bl w:val="nil"/>
                  </w:tcBorders>
                  <w:vAlign w:val="center"/>
                </w:tcPr>
                <w:p w14:paraId="6FB41856">
                  <w:pPr>
                    <w:pStyle w:val="62"/>
                    <w:ind w:left="0" w:leftChars="0"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w:t>
                  </w:r>
                </w:p>
              </w:tc>
              <w:tc>
                <w:tcPr>
                  <w:tcW w:w="1039" w:type="pct"/>
                  <w:tcBorders>
                    <w:tl2br w:val="nil"/>
                    <w:tr2bl w:val="nil"/>
                  </w:tcBorders>
                  <w:vAlign w:val="center"/>
                </w:tcPr>
                <w:p w14:paraId="016DA9B8">
                  <w:pPr>
                    <w:spacing w:line="240" w:lineRule="auto"/>
                    <w:ind w:firstLine="0" w:firstLineChars="0"/>
                    <w:jc w:val="center"/>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color w:val="auto"/>
                      <w:sz w:val="21"/>
                      <w:szCs w:val="21"/>
                      <w:lang w:val="en-US" w:eastAsia="zh-CN"/>
                    </w:rPr>
                    <w:t>4.9</w:t>
                  </w:r>
                </w:p>
              </w:tc>
              <w:tc>
                <w:tcPr>
                  <w:tcW w:w="1752" w:type="pct"/>
                  <w:vMerge w:val="continue"/>
                  <w:tcBorders>
                    <w:tl2br w:val="nil"/>
                    <w:tr2bl w:val="nil"/>
                  </w:tcBorders>
                  <w:vAlign w:val="center"/>
                </w:tcPr>
                <w:p w14:paraId="18F787D3">
                  <w:pPr>
                    <w:pStyle w:val="62"/>
                    <w:ind w:left="0" w:leftChars="0" w:firstLine="0" w:firstLineChars="0"/>
                    <w:rPr>
                      <w:rFonts w:hint="default" w:ascii="Times New Roman" w:hAnsi="Times New Roman" w:eastAsia="宋体" w:cs="Times New Roman"/>
                      <w:b w:val="0"/>
                      <w:bCs/>
                      <w:color w:val="auto"/>
                      <w:lang w:eastAsia="zh-CN"/>
                    </w:rPr>
                  </w:pPr>
                </w:p>
              </w:tc>
            </w:tr>
            <w:tr w14:paraId="0880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pct"/>
                  <w:vMerge w:val="continue"/>
                  <w:tcBorders>
                    <w:tl2br w:val="nil"/>
                    <w:tr2bl w:val="nil"/>
                  </w:tcBorders>
                  <w:vAlign w:val="center"/>
                </w:tcPr>
                <w:p w14:paraId="563C90B2">
                  <w:pPr>
                    <w:spacing w:line="240" w:lineRule="auto"/>
                    <w:ind w:firstLine="0" w:firstLineChars="0"/>
                    <w:jc w:val="center"/>
                    <w:rPr>
                      <w:rFonts w:hint="default" w:ascii="Times New Roman" w:hAnsi="Times New Roman" w:eastAsia="宋体" w:cs="Times New Roman"/>
                      <w:b w:val="0"/>
                      <w:bCs/>
                      <w:color w:val="auto"/>
                      <w:lang w:val="en-US" w:eastAsia="zh-CN"/>
                    </w:rPr>
                  </w:pPr>
                </w:p>
              </w:tc>
              <w:tc>
                <w:tcPr>
                  <w:tcW w:w="683" w:type="pct"/>
                  <w:tcBorders>
                    <w:tl2br w:val="nil"/>
                    <w:tr2bl w:val="nil"/>
                  </w:tcBorders>
                  <w:vAlign w:val="center"/>
                </w:tcPr>
                <w:p w14:paraId="0A72A4E3">
                  <w:pPr>
                    <w:spacing w:line="240" w:lineRule="auto"/>
                    <w:ind w:firstLine="0" w:firstLineChars="0"/>
                    <w:jc w:val="center"/>
                    <w:rPr>
                      <w:rFonts w:hint="default" w:ascii="Times New Roman" w:hAnsi="Times New Roman" w:eastAsia="宋体" w:cs="Times New Roman"/>
                      <w:b w:val="0"/>
                      <w:bCs/>
                      <w:color w:val="auto"/>
                    </w:rPr>
                  </w:pPr>
                  <w:r>
                    <w:rPr>
                      <w:rFonts w:hint="default" w:ascii="Times New Roman" w:hAnsi="Times New Roman" w:eastAsia="宋体" w:cs="Times New Roman"/>
                      <w:color w:val="auto"/>
                      <w:sz w:val="21"/>
                      <w:szCs w:val="21"/>
                    </w:rPr>
                    <w:t>臭气浓度</w:t>
                  </w:r>
                </w:p>
              </w:tc>
              <w:tc>
                <w:tcPr>
                  <w:tcW w:w="1005" w:type="pct"/>
                  <w:tcBorders>
                    <w:tl2br w:val="nil"/>
                    <w:tr2bl w:val="nil"/>
                  </w:tcBorders>
                  <w:vAlign w:val="center"/>
                </w:tcPr>
                <w:p w14:paraId="1BD71402">
                  <w:pPr>
                    <w:pStyle w:val="62"/>
                    <w:ind w:left="0" w:leftChars="0" w:firstLine="0" w:firstLineChars="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w:t>
                  </w:r>
                </w:p>
              </w:tc>
              <w:tc>
                <w:tcPr>
                  <w:tcW w:w="1039" w:type="pct"/>
                  <w:tcBorders>
                    <w:tl2br w:val="nil"/>
                    <w:tr2bl w:val="nil"/>
                  </w:tcBorders>
                  <w:vAlign w:val="center"/>
                </w:tcPr>
                <w:p w14:paraId="6BD65430">
                  <w:pPr>
                    <w:spacing w:line="240" w:lineRule="auto"/>
                    <w:ind w:firstLine="0" w:firstLineChars="0"/>
                    <w:jc w:val="center"/>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color w:val="auto"/>
                      <w:sz w:val="21"/>
                      <w:szCs w:val="21"/>
                      <w:lang w:val="en-US" w:eastAsia="zh-CN"/>
                    </w:rPr>
                    <w:t>2000（无量纲）</w:t>
                  </w:r>
                </w:p>
              </w:tc>
              <w:tc>
                <w:tcPr>
                  <w:tcW w:w="1752" w:type="pct"/>
                  <w:vMerge w:val="continue"/>
                  <w:tcBorders>
                    <w:tl2br w:val="nil"/>
                    <w:tr2bl w:val="nil"/>
                  </w:tcBorders>
                  <w:vAlign w:val="center"/>
                </w:tcPr>
                <w:p w14:paraId="23133B6A">
                  <w:pPr>
                    <w:pStyle w:val="62"/>
                    <w:ind w:left="0" w:leftChars="0" w:firstLine="0" w:firstLineChars="0"/>
                    <w:rPr>
                      <w:rFonts w:hint="default" w:ascii="Times New Roman" w:hAnsi="Times New Roman" w:eastAsia="宋体" w:cs="Times New Roman"/>
                      <w:b w:val="0"/>
                      <w:bCs/>
                      <w:color w:val="auto"/>
                      <w:lang w:eastAsia="zh-CN"/>
                    </w:rPr>
                  </w:pPr>
                </w:p>
              </w:tc>
            </w:tr>
          </w:tbl>
          <w:p w14:paraId="2BA4479D">
            <w:pPr>
              <w:pStyle w:val="59"/>
              <w:spacing w:line="240" w:lineRule="auto"/>
              <w:ind w:firstLine="482"/>
              <w:rPr>
                <w:rFonts w:hint="default" w:ascii="Times New Roman" w:hAnsi="Times New Roman" w:eastAsia="宋体" w:cs="Times New Roman"/>
                <w:snapToGrid w:val="0"/>
                <w:color w:val="auto"/>
                <w:kern w:val="0"/>
                <w:sz w:val="21"/>
                <w:szCs w:val="22"/>
                <w:vertAlign w:val="superscript"/>
              </w:rPr>
            </w:pPr>
            <w:r>
              <w:rPr>
                <w:rFonts w:hint="default" w:ascii="Times New Roman" w:hAnsi="Times New Roman" w:eastAsia="宋体" w:cs="Times New Roman"/>
                <w:snapToGrid w:val="0"/>
                <w:color w:val="auto"/>
                <w:kern w:val="0"/>
                <w:sz w:val="21"/>
                <w:szCs w:val="22"/>
              </w:rPr>
              <w:t>表3-</w:t>
            </w:r>
            <w:r>
              <w:rPr>
                <w:rFonts w:hint="default" w:ascii="Times New Roman" w:hAnsi="Times New Roman" w:eastAsia="宋体" w:cs="Times New Roman"/>
                <w:snapToGrid w:val="0"/>
                <w:color w:val="auto"/>
                <w:kern w:val="0"/>
                <w:sz w:val="21"/>
                <w:szCs w:val="22"/>
                <w:lang w:val="en-US" w:eastAsia="zh-CN"/>
              </w:rPr>
              <w:t>9</w:t>
            </w:r>
            <w:r>
              <w:rPr>
                <w:rFonts w:hint="default" w:ascii="Times New Roman" w:hAnsi="Times New Roman" w:eastAsia="宋体" w:cs="Times New Roman"/>
                <w:snapToGrid w:val="0"/>
                <w:color w:val="auto"/>
                <w:kern w:val="0"/>
                <w:sz w:val="21"/>
                <w:szCs w:val="22"/>
              </w:rPr>
              <w:t xml:space="preserve">  项目废气无组织排放限值 </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214"/>
              <w:gridCol w:w="1676"/>
              <w:gridCol w:w="2338"/>
              <w:gridCol w:w="2198"/>
            </w:tblGrid>
            <w:tr w14:paraId="2BA6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tcBorders>
                    <w:tl2br w:val="nil"/>
                    <w:tr2bl w:val="nil"/>
                  </w:tcBorders>
                  <w:vAlign w:val="center"/>
                </w:tcPr>
                <w:p w14:paraId="585C1F96">
                  <w:pPr>
                    <w:pStyle w:val="62"/>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监测点位</w:t>
                  </w:r>
                </w:p>
              </w:tc>
              <w:tc>
                <w:tcPr>
                  <w:tcW w:w="731" w:type="pct"/>
                  <w:tcBorders>
                    <w:tl2br w:val="nil"/>
                    <w:tr2bl w:val="nil"/>
                  </w:tcBorders>
                  <w:vAlign w:val="center"/>
                </w:tcPr>
                <w:p w14:paraId="61349741">
                  <w:pPr>
                    <w:pStyle w:val="62"/>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污染物名称</w:t>
                  </w:r>
                </w:p>
              </w:tc>
              <w:tc>
                <w:tcPr>
                  <w:tcW w:w="1009" w:type="pct"/>
                  <w:tcBorders>
                    <w:tl2br w:val="nil"/>
                    <w:tr2bl w:val="nil"/>
                  </w:tcBorders>
                  <w:vAlign w:val="center"/>
                </w:tcPr>
                <w:p w14:paraId="399B89AE">
                  <w:pPr>
                    <w:pStyle w:val="62"/>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排放浓度</w:t>
                  </w:r>
                  <w:r>
                    <w:rPr>
                      <w:rFonts w:hint="default" w:ascii="Times New Roman" w:hAnsi="Times New Roman" w:eastAsia="宋体" w:cs="Times New Roman"/>
                      <w:bCs/>
                      <w:snapToGrid w:val="0"/>
                      <w:color w:val="auto"/>
                      <w:sz w:val="21"/>
                      <w:szCs w:val="21"/>
                    </w:rPr>
                    <w:t>mg/m</w:t>
                  </w:r>
                  <w:r>
                    <w:rPr>
                      <w:rFonts w:hint="default" w:ascii="Times New Roman" w:hAnsi="Times New Roman" w:eastAsia="宋体" w:cs="Times New Roman"/>
                      <w:bCs/>
                      <w:snapToGrid w:val="0"/>
                      <w:color w:val="auto"/>
                      <w:sz w:val="21"/>
                      <w:szCs w:val="21"/>
                      <w:vertAlign w:val="superscript"/>
                    </w:rPr>
                    <w:t>3</w:t>
                  </w:r>
                </w:p>
              </w:tc>
              <w:tc>
                <w:tcPr>
                  <w:tcW w:w="1408" w:type="pct"/>
                  <w:tcBorders>
                    <w:tl2br w:val="nil"/>
                    <w:tr2bl w:val="nil"/>
                  </w:tcBorders>
                  <w:vAlign w:val="center"/>
                </w:tcPr>
                <w:p w14:paraId="1EFDB5B9">
                  <w:pPr>
                    <w:pStyle w:val="62"/>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限值含义</w:t>
                  </w:r>
                </w:p>
              </w:tc>
              <w:tc>
                <w:tcPr>
                  <w:tcW w:w="1323" w:type="pct"/>
                  <w:tcBorders>
                    <w:tl2br w:val="nil"/>
                    <w:tr2bl w:val="nil"/>
                  </w:tcBorders>
                  <w:vAlign w:val="center"/>
                </w:tcPr>
                <w:p w14:paraId="06314810">
                  <w:pPr>
                    <w:pStyle w:val="62"/>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标准名称</w:t>
                  </w:r>
                </w:p>
              </w:tc>
            </w:tr>
            <w:tr w14:paraId="1D1FB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vMerge w:val="restart"/>
                  <w:tcBorders>
                    <w:tl2br w:val="nil"/>
                    <w:tr2bl w:val="nil"/>
                  </w:tcBorders>
                  <w:vAlign w:val="center"/>
                </w:tcPr>
                <w:p w14:paraId="228E37CB">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厂界</w:t>
                  </w:r>
                </w:p>
              </w:tc>
              <w:tc>
                <w:tcPr>
                  <w:tcW w:w="731" w:type="pct"/>
                  <w:tcBorders>
                    <w:tl2br w:val="nil"/>
                    <w:tr2bl w:val="nil"/>
                  </w:tcBorders>
                  <w:vAlign w:val="center"/>
                </w:tcPr>
                <w:p w14:paraId="44FF1F64">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颗粒物</w:t>
                  </w:r>
                </w:p>
              </w:tc>
              <w:tc>
                <w:tcPr>
                  <w:tcW w:w="1009" w:type="pct"/>
                  <w:tcBorders>
                    <w:tl2br w:val="nil"/>
                    <w:tr2bl w:val="nil"/>
                  </w:tcBorders>
                  <w:vAlign w:val="center"/>
                </w:tcPr>
                <w:p w14:paraId="0A642575">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0.5</w:t>
                  </w:r>
                </w:p>
              </w:tc>
              <w:tc>
                <w:tcPr>
                  <w:tcW w:w="1408" w:type="pct"/>
                  <w:tcBorders>
                    <w:tl2br w:val="nil"/>
                    <w:tr2bl w:val="nil"/>
                  </w:tcBorders>
                  <w:vAlign w:val="center"/>
                </w:tcPr>
                <w:p w14:paraId="3EFDC315">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监控点与参照点总悬浮颗粒物（TSP）1小时浓度值的差值</w:t>
                  </w:r>
                </w:p>
              </w:tc>
              <w:tc>
                <w:tcPr>
                  <w:tcW w:w="1323" w:type="pct"/>
                  <w:tcBorders>
                    <w:tl2br w:val="nil"/>
                    <w:tr2bl w:val="nil"/>
                  </w:tcBorders>
                  <w:vAlign w:val="center"/>
                </w:tcPr>
                <w:p w14:paraId="2831E4B5">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《水泥工业大气污染物排放标准》（DB34/3576-2020）</w:t>
                  </w:r>
                </w:p>
              </w:tc>
            </w:tr>
            <w:tr w14:paraId="1CEB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27" w:type="pct"/>
                  <w:vMerge w:val="continue"/>
                  <w:tcBorders>
                    <w:tl2br w:val="nil"/>
                    <w:tr2bl w:val="nil"/>
                  </w:tcBorders>
                  <w:vAlign w:val="center"/>
                </w:tcPr>
                <w:p w14:paraId="26FB7330">
                  <w:pPr>
                    <w:pStyle w:val="62"/>
                    <w:rPr>
                      <w:rFonts w:hint="default" w:ascii="Times New Roman" w:hAnsi="Times New Roman" w:eastAsia="宋体" w:cs="Times New Roman"/>
                      <w:b w:val="0"/>
                      <w:bCs/>
                      <w:color w:val="auto"/>
                      <w:sz w:val="21"/>
                      <w:szCs w:val="21"/>
                    </w:rPr>
                  </w:pPr>
                </w:p>
              </w:tc>
              <w:tc>
                <w:tcPr>
                  <w:tcW w:w="731" w:type="pct"/>
                  <w:tcBorders>
                    <w:tl2br w:val="nil"/>
                    <w:tr2bl w:val="nil"/>
                  </w:tcBorders>
                  <w:vAlign w:val="center"/>
                </w:tcPr>
                <w:p w14:paraId="09F99A8D">
                  <w:pPr>
                    <w:widowControl/>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color w:val="auto"/>
                      <w:sz w:val="21"/>
                      <w:szCs w:val="21"/>
                    </w:rPr>
                    <w:t>硫化氢</w:t>
                  </w:r>
                </w:p>
              </w:tc>
              <w:tc>
                <w:tcPr>
                  <w:tcW w:w="1009" w:type="pct"/>
                  <w:tcBorders>
                    <w:tl2br w:val="nil"/>
                    <w:tr2bl w:val="nil"/>
                  </w:tcBorders>
                  <w:vAlign w:val="center"/>
                </w:tcPr>
                <w:p w14:paraId="291BF351">
                  <w:pPr>
                    <w:widowControl/>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color w:val="auto"/>
                      <w:sz w:val="21"/>
                      <w:szCs w:val="21"/>
                    </w:rPr>
                    <w:t>0.06</w:t>
                  </w:r>
                </w:p>
              </w:tc>
              <w:tc>
                <w:tcPr>
                  <w:tcW w:w="1408" w:type="pct"/>
                  <w:tcBorders>
                    <w:tl2br w:val="nil"/>
                    <w:tr2bl w:val="nil"/>
                  </w:tcBorders>
                  <w:vAlign w:val="center"/>
                </w:tcPr>
                <w:p w14:paraId="21A3D2C2">
                  <w:pPr>
                    <w:pStyle w:val="62"/>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1323" w:type="pct"/>
                  <w:vMerge w:val="restart"/>
                  <w:tcBorders>
                    <w:tl2br w:val="nil"/>
                    <w:tr2bl w:val="nil"/>
                  </w:tcBorders>
                  <w:vAlign w:val="center"/>
                </w:tcPr>
                <w:p w14:paraId="45604615">
                  <w:pPr>
                    <w:pStyle w:val="62"/>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《恶臭污染物排放标准》（GB14554-1993）</w:t>
                  </w:r>
                </w:p>
              </w:tc>
            </w:tr>
            <w:tr w14:paraId="0D183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vMerge w:val="continue"/>
                  <w:tcBorders>
                    <w:tl2br w:val="nil"/>
                    <w:tr2bl w:val="nil"/>
                  </w:tcBorders>
                  <w:vAlign w:val="center"/>
                </w:tcPr>
                <w:p w14:paraId="649D84DE">
                  <w:pPr>
                    <w:pStyle w:val="62"/>
                    <w:rPr>
                      <w:rFonts w:hint="default" w:ascii="Times New Roman" w:hAnsi="Times New Roman" w:eastAsia="宋体" w:cs="Times New Roman"/>
                      <w:b w:val="0"/>
                      <w:bCs/>
                      <w:color w:val="auto"/>
                      <w:sz w:val="21"/>
                      <w:szCs w:val="21"/>
                    </w:rPr>
                  </w:pPr>
                </w:p>
              </w:tc>
              <w:tc>
                <w:tcPr>
                  <w:tcW w:w="731" w:type="pct"/>
                  <w:tcBorders>
                    <w:tl2br w:val="nil"/>
                    <w:tr2bl w:val="nil"/>
                  </w:tcBorders>
                  <w:vAlign w:val="center"/>
                </w:tcPr>
                <w:p w14:paraId="0322E1B1">
                  <w:pPr>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color w:val="auto"/>
                      <w:sz w:val="21"/>
                      <w:szCs w:val="21"/>
                    </w:rPr>
                    <w:t>氨</w:t>
                  </w:r>
                </w:p>
              </w:tc>
              <w:tc>
                <w:tcPr>
                  <w:tcW w:w="1009" w:type="pct"/>
                  <w:tcBorders>
                    <w:tl2br w:val="nil"/>
                    <w:tr2bl w:val="nil"/>
                  </w:tcBorders>
                  <w:vAlign w:val="center"/>
                </w:tcPr>
                <w:p w14:paraId="2A3CBEA9">
                  <w:pPr>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color w:val="auto"/>
                      <w:sz w:val="21"/>
                      <w:szCs w:val="21"/>
                    </w:rPr>
                    <w:t>1.5</w:t>
                  </w:r>
                </w:p>
              </w:tc>
              <w:tc>
                <w:tcPr>
                  <w:tcW w:w="1408" w:type="pct"/>
                  <w:tcBorders>
                    <w:tl2br w:val="nil"/>
                    <w:tr2bl w:val="nil"/>
                  </w:tcBorders>
                  <w:vAlign w:val="center"/>
                </w:tcPr>
                <w:p w14:paraId="62A503EA">
                  <w:pPr>
                    <w:pStyle w:val="62"/>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1323" w:type="pct"/>
                  <w:vMerge w:val="continue"/>
                  <w:tcBorders>
                    <w:tl2br w:val="nil"/>
                    <w:tr2bl w:val="nil"/>
                  </w:tcBorders>
                  <w:vAlign w:val="center"/>
                </w:tcPr>
                <w:p w14:paraId="7AA5CA25">
                  <w:pPr>
                    <w:pStyle w:val="62"/>
                    <w:rPr>
                      <w:rFonts w:hint="default" w:ascii="Times New Roman" w:hAnsi="Times New Roman" w:eastAsia="宋体" w:cs="Times New Roman"/>
                      <w:b w:val="0"/>
                      <w:bCs/>
                      <w:color w:val="auto"/>
                      <w:sz w:val="21"/>
                      <w:szCs w:val="21"/>
                    </w:rPr>
                  </w:pPr>
                </w:p>
              </w:tc>
            </w:tr>
            <w:tr w14:paraId="7551F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vMerge w:val="continue"/>
                  <w:tcBorders>
                    <w:tl2br w:val="nil"/>
                    <w:tr2bl w:val="nil"/>
                  </w:tcBorders>
                  <w:vAlign w:val="center"/>
                </w:tcPr>
                <w:p w14:paraId="28DEDACE">
                  <w:pPr>
                    <w:pStyle w:val="62"/>
                    <w:rPr>
                      <w:rFonts w:hint="default" w:ascii="Times New Roman" w:hAnsi="Times New Roman" w:eastAsia="宋体" w:cs="Times New Roman"/>
                      <w:b w:val="0"/>
                      <w:bCs/>
                      <w:color w:val="auto"/>
                      <w:sz w:val="21"/>
                      <w:szCs w:val="21"/>
                    </w:rPr>
                  </w:pPr>
                </w:p>
              </w:tc>
              <w:tc>
                <w:tcPr>
                  <w:tcW w:w="731" w:type="pct"/>
                  <w:tcBorders>
                    <w:tl2br w:val="nil"/>
                    <w:tr2bl w:val="nil"/>
                  </w:tcBorders>
                  <w:vAlign w:val="center"/>
                </w:tcPr>
                <w:p w14:paraId="7C60A3C0">
                  <w:pPr>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color w:val="auto"/>
                      <w:sz w:val="21"/>
                      <w:szCs w:val="21"/>
                    </w:rPr>
                    <w:t>臭气浓度</w:t>
                  </w:r>
                </w:p>
              </w:tc>
              <w:tc>
                <w:tcPr>
                  <w:tcW w:w="1009" w:type="pct"/>
                  <w:tcBorders>
                    <w:tl2br w:val="nil"/>
                    <w:tr2bl w:val="nil"/>
                  </w:tcBorders>
                  <w:vAlign w:val="center"/>
                </w:tcPr>
                <w:p w14:paraId="39992060">
                  <w:pPr>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color w:val="auto"/>
                      <w:sz w:val="21"/>
                      <w:szCs w:val="21"/>
                    </w:rPr>
                    <w:t>20（无量纲</w:t>
                  </w:r>
                  <w:r>
                    <w:rPr>
                      <w:rFonts w:hint="default" w:ascii="Times New Roman" w:hAnsi="Times New Roman" w:eastAsia="宋体" w:cs="Times New Roman"/>
                      <w:color w:val="auto"/>
                      <w:sz w:val="21"/>
                      <w:szCs w:val="21"/>
                      <w:lang w:eastAsia="zh-CN"/>
                    </w:rPr>
                    <w:t>）</w:t>
                  </w:r>
                </w:p>
              </w:tc>
              <w:tc>
                <w:tcPr>
                  <w:tcW w:w="1408" w:type="pct"/>
                  <w:tcBorders>
                    <w:tl2br w:val="nil"/>
                    <w:tr2bl w:val="nil"/>
                  </w:tcBorders>
                  <w:vAlign w:val="center"/>
                </w:tcPr>
                <w:p w14:paraId="3CD50530">
                  <w:pPr>
                    <w:pStyle w:val="62"/>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w:t>
                  </w:r>
                </w:p>
              </w:tc>
              <w:tc>
                <w:tcPr>
                  <w:tcW w:w="1323" w:type="pct"/>
                  <w:vMerge w:val="continue"/>
                  <w:tcBorders>
                    <w:tl2br w:val="nil"/>
                    <w:tr2bl w:val="nil"/>
                  </w:tcBorders>
                  <w:vAlign w:val="center"/>
                </w:tcPr>
                <w:p w14:paraId="10626097">
                  <w:pPr>
                    <w:pStyle w:val="62"/>
                    <w:rPr>
                      <w:rFonts w:hint="default" w:ascii="Times New Roman" w:hAnsi="Times New Roman" w:eastAsia="宋体" w:cs="Times New Roman"/>
                      <w:b w:val="0"/>
                      <w:bCs/>
                      <w:color w:val="auto"/>
                      <w:sz w:val="21"/>
                      <w:szCs w:val="21"/>
                    </w:rPr>
                  </w:pPr>
                </w:p>
              </w:tc>
            </w:tr>
          </w:tbl>
          <w:p w14:paraId="4832AFB4">
            <w:pPr>
              <w:adjustRightInd w:val="0"/>
              <w:snapToGrid w:val="0"/>
              <w:ind w:firstLine="482"/>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rPr>
              <w:t>3.噪声排放标准</w:t>
            </w:r>
          </w:p>
          <w:p w14:paraId="5B8B71D8">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项目施工期厂界噪声排放执行《建筑施工噪声排放标准》（GB 12523-2025）中表1限值要求。具体标准值见表3-</w:t>
            </w:r>
            <w:r>
              <w:rPr>
                <w:rFonts w:hint="default" w:ascii="Times New Roman" w:hAnsi="Times New Roman" w:eastAsia="宋体" w:cs="Times New Roman"/>
                <w:color w:val="auto"/>
                <w:lang w:val="en-US" w:eastAsia="zh-CN"/>
              </w:rPr>
              <w:t>10</w:t>
            </w:r>
            <w:r>
              <w:rPr>
                <w:rFonts w:hint="default" w:ascii="Times New Roman" w:hAnsi="Times New Roman" w:eastAsia="宋体" w:cs="Times New Roman"/>
                <w:color w:val="auto"/>
              </w:rPr>
              <w:t>。</w:t>
            </w:r>
          </w:p>
          <w:p w14:paraId="0F9B4310">
            <w:pPr>
              <w:spacing w:line="240" w:lineRule="auto"/>
              <w:ind w:firstLine="482"/>
              <w:jc w:val="center"/>
              <w:rPr>
                <w:rFonts w:hint="default" w:ascii="Times New Roman" w:hAnsi="Times New Roman" w:eastAsia="宋体" w:cs="Times New Roman"/>
                <w:b/>
                <w:color w:val="auto"/>
                <w:sz w:val="21"/>
                <w:szCs w:val="18"/>
              </w:rPr>
            </w:pPr>
            <w:r>
              <w:rPr>
                <w:rFonts w:hint="default" w:ascii="Times New Roman" w:hAnsi="Times New Roman" w:eastAsia="宋体" w:cs="Times New Roman"/>
                <w:b/>
                <w:snapToGrid w:val="0"/>
                <w:color w:val="auto"/>
                <w:kern w:val="0"/>
                <w:sz w:val="21"/>
                <w:szCs w:val="21"/>
              </w:rPr>
              <w:t>表3-</w:t>
            </w:r>
            <w:r>
              <w:rPr>
                <w:rFonts w:hint="default" w:ascii="Times New Roman" w:hAnsi="Times New Roman" w:eastAsia="宋体" w:cs="Times New Roman"/>
                <w:b/>
                <w:snapToGrid w:val="0"/>
                <w:color w:val="auto"/>
                <w:kern w:val="0"/>
                <w:sz w:val="21"/>
                <w:szCs w:val="21"/>
                <w:lang w:val="en-US" w:eastAsia="zh-CN"/>
              </w:rPr>
              <w:t>10</w:t>
            </w:r>
            <w:r>
              <w:rPr>
                <w:rFonts w:hint="default" w:ascii="Times New Roman" w:hAnsi="Times New Roman" w:eastAsia="宋体" w:cs="Times New Roman"/>
                <w:b/>
                <w:snapToGrid w:val="0"/>
                <w:color w:val="auto"/>
                <w:kern w:val="0"/>
                <w:sz w:val="21"/>
                <w:szCs w:val="21"/>
              </w:rPr>
              <w:t xml:space="preserve"> 施工厂界噪声排放标准</w:t>
            </w:r>
          </w:p>
          <w:tbl>
            <w:tblPr>
              <w:tblStyle w:val="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2"/>
              <w:gridCol w:w="1786"/>
              <w:gridCol w:w="1901"/>
            </w:tblGrid>
            <w:tr w14:paraId="6386E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 w:hRule="atLeast"/>
                <w:jc w:val="center"/>
              </w:trPr>
              <w:tc>
                <w:tcPr>
                  <w:tcW w:w="2778" w:type="pct"/>
                  <w:vMerge w:val="restart"/>
                  <w:tcBorders>
                    <w:tl2br w:val="nil"/>
                    <w:tr2bl w:val="nil"/>
                  </w:tcBorders>
                  <w:vAlign w:val="center"/>
                </w:tcPr>
                <w:p w14:paraId="52687D40">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标准</w:t>
                  </w:r>
                </w:p>
              </w:tc>
              <w:tc>
                <w:tcPr>
                  <w:tcW w:w="2221" w:type="pct"/>
                  <w:gridSpan w:val="2"/>
                  <w:tcBorders>
                    <w:tl2br w:val="nil"/>
                    <w:tr2bl w:val="nil"/>
                  </w:tcBorders>
                  <w:vAlign w:val="center"/>
                </w:tcPr>
                <w:p w14:paraId="0D99E22F">
                  <w:pPr>
                    <w:pStyle w:val="100"/>
                    <w:adjustRightInd/>
                    <w:spacing w:before="0" w:line="240" w:lineRule="auto"/>
                    <w:textAlignment w:val="auto"/>
                    <w:rPr>
                      <w:rFonts w:hint="default" w:ascii="Times New Roman" w:hAnsi="Times New Roman" w:eastAsia="宋体" w:cs="Times New Roman"/>
                      <w:b/>
                      <w:color w:val="auto"/>
                      <w:kern w:val="2"/>
                      <w:sz w:val="21"/>
                      <w:szCs w:val="21"/>
                    </w:rPr>
                  </w:pPr>
                  <w:r>
                    <w:rPr>
                      <w:rFonts w:hint="default" w:ascii="Times New Roman" w:hAnsi="Times New Roman" w:eastAsia="宋体" w:cs="Times New Roman"/>
                      <w:b/>
                      <w:color w:val="auto"/>
                      <w:kern w:val="2"/>
                      <w:sz w:val="21"/>
                      <w:szCs w:val="21"/>
                    </w:rPr>
                    <w:t>标准值</w:t>
                  </w:r>
                  <w:r>
                    <w:rPr>
                      <w:rFonts w:hint="default" w:ascii="Times New Roman" w:hAnsi="Times New Roman" w:eastAsia="宋体" w:cs="Times New Roman"/>
                      <w:b/>
                      <w:color w:val="auto"/>
                      <w:sz w:val="21"/>
                      <w:szCs w:val="21"/>
                    </w:rPr>
                    <w:t>dB（A）</w:t>
                  </w:r>
                </w:p>
              </w:tc>
            </w:tr>
            <w:tr w14:paraId="0EB9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1" w:hRule="atLeast"/>
                <w:jc w:val="center"/>
              </w:trPr>
              <w:tc>
                <w:tcPr>
                  <w:tcW w:w="2778" w:type="pct"/>
                  <w:vMerge w:val="continue"/>
                  <w:tcBorders>
                    <w:tl2br w:val="nil"/>
                    <w:tr2bl w:val="nil"/>
                  </w:tcBorders>
                  <w:vAlign w:val="center"/>
                </w:tcPr>
                <w:p w14:paraId="49817020">
                  <w:pPr>
                    <w:spacing w:line="240" w:lineRule="auto"/>
                    <w:ind w:firstLine="0" w:firstLineChars="0"/>
                    <w:jc w:val="center"/>
                    <w:rPr>
                      <w:rFonts w:hint="default" w:ascii="Times New Roman" w:hAnsi="Times New Roman" w:eastAsia="宋体" w:cs="Times New Roman"/>
                      <w:b/>
                      <w:color w:val="auto"/>
                      <w:sz w:val="21"/>
                      <w:szCs w:val="21"/>
                    </w:rPr>
                  </w:pPr>
                </w:p>
              </w:tc>
              <w:tc>
                <w:tcPr>
                  <w:tcW w:w="1076" w:type="pct"/>
                  <w:tcBorders>
                    <w:tl2br w:val="nil"/>
                    <w:tr2bl w:val="nil"/>
                  </w:tcBorders>
                  <w:vAlign w:val="center"/>
                </w:tcPr>
                <w:p w14:paraId="05B74BF4">
                  <w:pPr>
                    <w:pStyle w:val="100"/>
                    <w:adjustRightInd/>
                    <w:spacing w:before="0" w:line="240" w:lineRule="auto"/>
                    <w:textAlignment w:val="auto"/>
                    <w:rPr>
                      <w:rFonts w:hint="default" w:ascii="Times New Roman" w:hAnsi="Times New Roman" w:eastAsia="宋体" w:cs="Times New Roman"/>
                      <w:b/>
                      <w:color w:val="auto"/>
                      <w:kern w:val="2"/>
                      <w:sz w:val="21"/>
                      <w:szCs w:val="21"/>
                    </w:rPr>
                  </w:pPr>
                  <w:r>
                    <w:rPr>
                      <w:rFonts w:hint="default" w:ascii="Times New Roman" w:hAnsi="Times New Roman" w:eastAsia="宋体" w:cs="Times New Roman"/>
                      <w:b/>
                      <w:color w:val="auto"/>
                      <w:kern w:val="2"/>
                      <w:sz w:val="21"/>
                      <w:szCs w:val="21"/>
                    </w:rPr>
                    <w:t>昼间</w:t>
                  </w:r>
                </w:p>
              </w:tc>
              <w:tc>
                <w:tcPr>
                  <w:tcW w:w="1145" w:type="pct"/>
                  <w:tcBorders>
                    <w:tl2br w:val="nil"/>
                    <w:tr2bl w:val="nil"/>
                  </w:tcBorders>
                  <w:vAlign w:val="center"/>
                </w:tcPr>
                <w:p w14:paraId="63E97853">
                  <w:pPr>
                    <w:pStyle w:val="100"/>
                    <w:adjustRightInd/>
                    <w:spacing w:before="0" w:line="240" w:lineRule="auto"/>
                    <w:textAlignment w:val="auto"/>
                    <w:rPr>
                      <w:rFonts w:hint="default" w:ascii="Times New Roman" w:hAnsi="Times New Roman" w:eastAsia="宋体" w:cs="Times New Roman"/>
                      <w:b/>
                      <w:color w:val="auto"/>
                      <w:kern w:val="2"/>
                      <w:sz w:val="21"/>
                      <w:szCs w:val="21"/>
                    </w:rPr>
                  </w:pPr>
                  <w:r>
                    <w:rPr>
                      <w:rFonts w:hint="default" w:ascii="Times New Roman" w:hAnsi="Times New Roman" w:eastAsia="宋体" w:cs="Times New Roman"/>
                      <w:b/>
                      <w:color w:val="auto"/>
                      <w:kern w:val="2"/>
                      <w:sz w:val="21"/>
                      <w:szCs w:val="21"/>
                    </w:rPr>
                    <w:t>夜间</w:t>
                  </w:r>
                </w:p>
              </w:tc>
            </w:tr>
            <w:tr w14:paraId="5BB2B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2778" w:type="pct"/>
                  <w:tcBorders>
                    <w:tl2br w:val="nil"/>
                    <w:tr2bl w:val="nil"/>
                  </w:tcBorders>
                  <w:vAlign w:val="center"/>
                </w:tcPr>
                <w:p w14:paraId="0FC0152D">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《建筑施工场界环境噪声排放标准》（GB12523－2011）</w:t>
                  </w:r>
                </w:p>
              </w:tc>
              <w:tc>
                <w:tcPr>
                  <w:tcW w:w="1076" w:type="pct"/>
                  <w:tcBorders>
                    <w:tl2br w:val="nil"/>
                    <w:tr2bl w:val="nil"/>
                  </w:tcBorders>
                  <w:vAlign w:val="center"/>
                </w:tcPr>
                <w:p w14:paraId="56F91DFD">
                  <w:pPr>
                    <w:pStyle w:val="100"/>
                    <w:adjustRightInd/>
                    <w:spacing w:before="0" w:line="240" w:lineRule="auto"/>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70</w:t>
                  </w:r>
                </w:p>
              </w:tc>
              <w:tc>
                <w:tcPr>
                  <w:tcW w:w="1145" w:type="pct"/>
                  <w:tcBorders>
                    <w:tl2br w:val="nil"/>
                    <w:tr2bl w:val="nil"/>
                  </w:tcBorders>
                  <w:vAlign w:val="center"/>
                </w:tcPr>
                <w:p w14:paraId="2E00470E">
                  <w:pPr>
                    <w:pStyle w:val="100"/>
                    <w:adjustRightInd/>
                    <w:spacing w:before="0" w:line="240" w:lineRule="auto"/>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55</w:t>
                  </w:r>
                </w:p>
              </w:tc>
            </w:tr>
          </w:tbl>
          <w:p w14:paraId="73131FEE">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运营期</w:t>
            </w:r>
            <w:r>
              <w:rPr>
                <w:rFonts w:hint="default" w:ascii="Times New Roman" w:hAnsi="Times New Roman" w:eastAsia="宋体" w:cs="Times New Roman"/>
                <w:snapToGrid w:val="0"/>
                <w:color w:val="auto"/>
                <w:kern w:val="0"/>
              </w:rPr>
              <w:t>厂界噪声执行《工业企业厂界环境噪声排放标准》（GB12348-2008）中的2类标准</w:t>
            </w:r>
            <w:r>
              <w:rPr>
                <w:rFonts w:hint="default" w:ascii="Times New Roman" w:hAnsi="Times New Roman" w:eastAsia="宋体" w:cs="Times New Roman"/>
                <w:color w:val="auto"/>
              </w:rPr>
              <w:t>详见表3-</w:t>
            </w:r>
            <w:r>
              <w:rPr>
                <w:rFonts w:hint="default" w:ascii="Times New Roman" w:hAnsi="Times New Roman" w:eastAsia="宋体" w:cs="Times New Roman"/>
                <w:color w:val="auto"/>
                <w:lang w:val="en-US" w:eastAsia="zh-CN"/>
              </w:rPr>
              <w:t>11</w:t>
            </w:r>
            <w:r>
              <w:rPr>
                <w:rFonts w:hint="default" w:ascii="Times New Roman" w:hAnsi="Times New Roman" w:eastAsia="宋体" w:cs="Times New Roman"/>
                <w:color w:val="auto"/>
              </w:rPr>
              <w:t>。</w:t>
            </w:r>
          </w:p>
          <w:p w14:paraId="3FBCEBF1">
            <w:pPr>
              <w:spacing w:line="240" w:lineRule="auto"/>
              <w:ind w:firstLine="482"/>
              <w:jc w:val="center"/>
              <w:rPr>
                <w:rFonts w:hint="default" w:ascii="Times New Roman" w:hAnsi="Times New Roman" w:eastAsia="宋体" w:cs="Times New Roman"/>
                <w:b/>
                <w:color w:val="auto"/>
                <w:sz w:val="21"/>
                <w:szCs w:val="18"/>
              </w:rPr>
            </w:pPr>
            <w:r>
              <w:rPr>
                <w:rFonts w:hint="default" w:ascii="Times New Roman" w:hAnsi="Times New Roman" w:eastAsia="宋体" w:cs="Times New Roman"/>
                <w:b/>
                <w:snapToGrid w:val="0"/>
                <w:color w:val="auto"/>
                <w:kern w:val="0"/>
                <w:sz w:val="21"/>
                <w:szCs w:val="21"/>
              </w:rPr>
              <w:t>表3-</w:t>
            </w:r>
            <w:r>
              <w:rPr>
                <w:rFonts w:hint="default" w:ascii="Times New Roman" w:hAnsi="Times New Roman" w:eastAsia="宋体" w:cs="Times New Roman"/>
                <w:b/>
                <w:snapToGrid w:val="0"/>
                <w:color w:val="auto"/>
                <w:kern w:val="0"/>
                <w:sz w:val="21"/>
                <w:szCs w:val="21"/>
                <w:lang w:val="en-US" w:eastAsia="zh-CN"/>
              </w:rPr>
              <w:t>11</w:t>
            </w:r>
            <w:r>
              <w:rPr>
                <w:rFonts w:hint="default" w:ascii="Times New Roman" w:hAnsi="Times New Roman" w:eastAsia="宋体" w:cs="Times New Roman"/>
                <w:b/>
                <w:color w:val="auto"/>
                <w:sz w:val="21"/>
                <w:szCs w:val="21"/>
              </w:rPr>
              <w:t>《工业企业厂界环境噪声排放标准》（GB12348-2008）</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6"/>
              <w:gridCol w:w="1808"/>
              <w:gridCol w:w="1398"/>
              <w:gridCol w:w="1486"/>
            </w:tblGrid>
            <w:tr w14:paraId="0EFE6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 w:hRule="atLeast"/>
                <w:jc w:val="center"/>
              </w:trPr>
              <w:tc>
                <w:tcPr>
                  <w:tcW w:w="2173" w:type="pct"/>
                  <w:vMerge w:val="restart"/>
                  <w:tcBorders>
                    <w:tl2br w:val="nil"/>
                    <w:tr2bl w:val="nil"/>
                  </w:tcBorders>
                  <w:vAlign w:val="center"/>
                </w:tcPr>
                <w:p w14:paraId="4DB44767">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标准</w:t>
                  </w:r>
                </w:p>
              </w:tc>
              <w:tc>
                <w:tcPr>
                  <w:tcW w:w="1089" w:type="pct"/>
                  <w:vMerge w:val="restart"/>
                  <w:tcBorders>
                    <w:tl2br w:val="nil"/>
                    <w:tr2bl w:val="nil"/>
                  </w:tcBorders>
                  <w:vAlign w:val="center"/>
                </w:tcPr>
                <w:p w14:paraId="182425DE">
                  <w:pPr>
                    <w:pStyle w:val="100"/>
                    <w:adjustRightInd/>
                    <w:spacing w:before="0" w:line="240" w:lineRule="auto"/>
                    <w:textAlignment w:val="auto"/>
                    <w:rPr>
                      <w:rFonts w:hint="default" w:ascii="Times New Roman" w:hAnsi="Times New Roman" w:eastAsia="宋体" w:cs="Times New Roman"/>
                      <w:b/>
                      <w:color w:val="auto"/>
                      <w:kern w:val="2"/>
                      <w:sz w:val="21"/>
                      <w:szCs w:val="21"/>
                    </w:rPr>
                  </w:pPr>
                  <w:r>
                    <w:rPr>
                      <w:rFonts w:hint="default" w:ascii="Times New Roman" w:hAnsi="Times New Roman" w:eastAsia="宋体" w:cs="Times New Roman"/>
                      <w:b/>
                      <w:color w:val="auto"/>
                      <w:kern w:val="2"/>
                      <w:sz w:val="21"/>
                      <w:szCs w:val="21"/>
                    </w:rPr>
                    <w:t>适用区类</w:t>
                  </w:r>
                </w:p>
              </w:tc>
              <w:tc>
                <w:tcPr>
                  <w:tcW w:w="1737" w:type="pct"/>
                  <w:gridSpan w:val="2"/>
                  <w:tcBorders>
                    <w:tl2br w:val="nil"/>
                    <w:tr2bl w:val="nil"/>
                  </w:tcBorders>
                  <w:vAlign w:val="center"/>
                </w:tcPr>
                <w:p w14:paraId="3DCD7B42">
                  <w:pPr>
                    <w:pStyle w:val="100"/>
                    <w:adjustRightInd/>
                    <w:spacing w:before="0" w:line="240" w:lineRule="auto"/>
                    <w:textAlignment w:val="auto"/>
                    <w:rPr>
                      <w:rFonts w:hint="default" w:ascii="Times New Roman" w:hAnsi="Times New Roman" w:eastAsia="宋体" w:cs="Times New Roman"/>
                      <w:b/>
                      <w:color w:val="auto"/>
                      <w:kern w:val="2"/>
                      <w:sz w:val="21"/>
                      <w:szCs w:val="21"/>
                    </w:rPr>
                  </w:pPr>
                  <w:r>
                    <w:rPr>
                      <w:rFonts w:hint="default" w:ascii="Times New Roman" w:hAnsi="Times New Roman" w:eastAsia="宋体" w:cs="Times New Roman"/>
                      <w:b/>
                      <w:color w:val="auto"/>
                      <w:kern w:val="2"/>
                      <w:sz w:val="21"/>
                      <w:szCs w:val="21"/>
                    </w:rPr>
                    <w:t>标准值</w:t>
                  </w:r>
                  <w:r>
                    <w:rPr>
                      <w:rFonts w:hint="default" w:ascii="Times New Roman" w:hAnsi="Times New Roman" w:eastAsia="宋体" w:cs="Times New Roman"/>
                      <w:b/>
                      <w:color w:val="auto"/>
                      <w:sz w:val="21"/>
                      <w:szCs w:val="21"/>
                    </w:rPr>
                    <w:t>dB（A）</w:t>
                  </w:r>
                </w:p>
              </w:tc>
            </w:tr>
            <w:tr w14:paraId="1189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1" w:hRule="atLeast"/>
                <w:jc w:val="center"/>
              </w:trPr>
              <w:tc>
                <w:tcPr>
                  <w:tcW w:w="2173" w:type="pct"/>
                  <w:vMerge w:val="continue"/>
                  <w:tcBorders>
                    <w:tl2br w:val="nil"/>
                    <w:tr2bl w:val="nil"/>
                  </w:tcBorders>
                  <w:vAlign w:val="center"/>
                </w:tcPr>
                <w:p w14:paraId="5028D08A">
                  <w:pPr>
                    <w:spacing w:line="240" w:lineRule="auto"/>
                    <w:ind w:firstLine="0" w:firstLineChars="0"/>
                    <w:jc w:val="center"/>
                    <w:rPr>
                      <w:rFonts w:hint="default" w:ascii="Times New Roman" w:hAnsi="Times New Roman" w:eastAsia="宋体" w:cs="Times New Roman"/>
                      <w:b/>
                      <w:color w:val="auto"/>
                      <w:sz w:val="21"/>
                      <w:szCs w:val="21"/>
                    </w:rPr>
                  </w:pPr>
                </w:p>
              </w:tc>
              <w:tc>
                <w:tcPr>
                  <w:tcW w:w="1089" w:type="pct"/>
                  <w:vMerge w:val="continue"/>
                  <w:tcBorders>
                    <w:tl2br w:val="nil"/>
                    <w:tr2bl w:val="nil"/>
                  </w:tcBorders>
                  <w:vAlign w:val="center"/>
                </w:tcPr>
                <w:p w14:paraId="48D51A4B">
                  <w:pPr>
                    <w:spacing w:line="240" w:lineRule="auto"/>
                    <w:ind w:firstLine="0" w:firstLineChars="0"/>
                    <w:jc w:val="center"/>
                    <w:rPr>
                      <w:rFonts w:hint="default" w:ascii="Times New Roman" w:hAnsi="Times New Roman" w:eastAsia="宋体" w:cs="Times New Roman"/>
                      <w:b/>
                      <w:color w:val="auto"/>
                      <w:sz w:val="21"/>
                      <w:szCs w:val="21"/>
                    </w:rPr>
                  </w:pPr>
                </w:p>
              </w:tc>
              <w:tc>
                <w:tcPr>
                  <w:tcW w:w="842" w:type="pct"/>
                  <w:tcBorders>
                    <w:tl2br w:val="nil"/>
                    <w:tr2bl w:val="nil"/>
                  </w:tcBorders>
                  <w:vAlign w:val="center"/>
                </w:tcPr>
                <w:p w14:paraId="325E991F">
                  <w:pPr>
                    <w:pStyle w:val="100"/>
                    <w:adjustRightInd/>
                    <w:spacing w:before="0" w:line="240" w:lineRule="auto"/>
                    <w:textAlignment w:val="auto"/>
                    <w:rPr>
                      <w:rFonts w:hint="default" w:ascii="Times New Roman" w:hAnsi="Times New Roman" w:eastAsia="宋体" w:cs="Times New Roman"/>
                      <w:b/>
                      <w:color w:val="auto"/>
                      <w:kern w:val="2"/>
                      <w:sz w:val="21"/>
                      <w:szCs w:val="21"/>
                    </w:rPr>
                  </w:pPr>
                  <w:r>
                    <w:rPr>
                      <w:rFonts w:hint="default" w:ascii="Times New Roman" w:hAnsi="Times New Roman" w:eastAsia="宋体" w:cs="Times New Roman"/>
                      <w:b/>
                      <w:color w:val="auto"/>
                      <w:kern w:val="2"/>
                      <w:sz w:val="21"/>
                      <w:szCs w:val="21"/>
                    </w:rPr>
                    <w:t>昼间</w:t>
                  </w:r>
                </w:p>
              </w:tc>
              <w:tc>
                <w:tcPr>
                  <w:tcW w:w="895" w:type="pct"/>
                  <w:tcBorders>
                    <w:tl2br w:val="nil"/>
                    <w:tr2bl w:val="nil"/>
                  </w:tcBorders>
                  <w:vAlign w:val="center"/>
                </w:tcPr>
                <w:p w14:paraId="722506FC">
                  <w:pPr>
                    <w:pStyle w:val="100"/>
                    <w:adjustRightInd/>
                    <w:spacing w:before="0" w:line="240" w:lineRule="auto"/>
                    <w:textAlignment w:val="auto"/>
                    <w:rPr>
                      <w:rFonts w:hint="default" w:ascii="Times New Roman" w:hAnsi="Times New Roman" w:eastAsia="宋体" w:cs="Times New Roman"/>
                      <w:b/>
                      <w:color w:val="auto"/>
                      <w:kern w:val="2"/>
                      <w:sz w:val="21"/>
                      <w:szCs w:val="21"/>
                    </w:rPr>
                  </w:pPr>
                  <w:r>
                    <w:rPr>
                      <w:rFonts w:hint="default" w:ascii="Times New Roman" w:hAnsi="Times New Roman" w:eastAsia="宋体" w:cs="Times New Roman"/>
                      <w:b/>
                      <w:color w:val="auto"/>
                      <w:kern w:val="2"/>
                      <w:sz w:val="21"/>
                      <w:szCs w:val="21"/>
                    </w:rPr>
                    <w:t>夜间</w:t>
                  </w:r>
                </w:p>
              </w:tc>
            </w:tr>
            <w:tr w14:paraId="5B47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2173" w:type="pct"/>
                  <w:tcBorders>
                    <w:tl2br w:val="nil"/>
                    <w:tr2bl w:val="nil"/>
                  </w:tcBorders>
                  <w:vAlign w:val="center"/>
                </w:tcPr>
                <w:p w14:paraId="740C247E">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《工业企业厂界环境噪声排放标准》（GB12348-2008）</w:t>
                  </w:r>
                </w:p>
              </w:tc>
              <w:tc>
                <w:tcPr>
                  <w:tcW w:w="1089" w:type="pct"/>
                  <w:tcBorders>
                    <w:tl2br w:val="nil"/>
                    <w:tr2bl w:val="nil"/>
                  </w:tcBorders>
                  <w:vAlign w:val="center"/>
                </w:tcPr>
                <w:p w14:paraId="10E0FC7F">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2类</w:t>
                  </w:r>
                </w:p>
              </w:tc>
              <w:tc>
                <w:tcPr>
                  <w:tcW w:w="842" w:type="pct"/>
                  <w:tcBorders>
                    <w:tl2br w:val="nil"/>
                    <w:tr2bl w:val="nil"/>
                  </w:tcBorders>
                  <w:vAlign w:val="center"/>
                </w:tcPr>
                <w:p w14:paraId="22435E65">
                  <w:pPr>
                    <w:pStyle w:val="100"/>
                    <w:adjustRightInd/>
                    <w:spacing w:before="0" w:line="240" w:lineRule="auto"/>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60</w:t>
                  </w:r>
                </w:p>
              </w:tc>
              <w:tc>
                <w:tcPr>
                  <w:tcW w:w="895" w:type="pct"/>
                  <w:tcBorders>
                    <w:tl2br w:val="nil"/>
                    <w:tr2bl w:val="nil"/>
                  </w:tcBorders>
                  <w:vAlign w:val="center"/>
                </w:tcPr>
                <w:p w14:paraId="0D88FC65">
                  <w:pPr>
                    <w:pStyle w:val="100"/>
                    <w:adjustRightInd/>
                    <w:spacing w:before="0" w:line="240" w:lineRule="auto"/>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50</w:t>
                  </w:r>
                </w:p>
              </w:tc>
            </w:tr>
          </w:tbl>
          <w:p w14:paraId="5E76874E">
            <w:pPr>
              <w:adjustRightInd w:val="0"/>
              <w:snapToGrid w:val="0"/>
              <w:ind w:firstLine="482"/>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rPr>
              <w:t>4.固废控制标准</w:t>
            </w:r>
          </w:p>
          <w:p w14:paraId="7798B6B4">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固废按照《中华人民共和国固体废物污染环境防治法》中有关规定执行。项目产生的一般固体废物执行《一般工业固体废物贮存和填埋污染控制标准》（GB18599-2020），采用库房、包装工具（罐、桶、包装袋等）贮存一般工业固体废物过程的污染控制，不适用《一般工业固体废物贮存和填埋污染控制标准》(GB 18599-2020)，其贮存过程应满足相应防渗漏、防雨淋、防扬尘等环境保护要求。项目危险废物执行《危险废物贮存污染控制标准》（GB18597-2023）和《危险废物识别标志设置技术规范》（HJ1276-2022）要求。</w:t>
            </w:r>
          </w:p>
        </w:tc>
      </w:tr>
      <w:tr w14:paraId="19BC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vAlign w:val="center"/>
          </w:tcPr>
          <w:p w14:paraId="27C9C589">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总量</w:t>
            </w:r>
          </w:p>
          <w:p w14:paraId="02ABD8EA">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控制</w:t>
            </w:r>
          </w:p>
          <w:p w14:paraId="15AD3435">
            <w:pPr>
              <w:adjustRightInd w:val="0"/>
              <w:snapToGrid w:val="0"/>
              <w:spacing w:line="240" w:lineRule="auto"/>
              <w:ind w:firstLine="0" w:firstLineChars="0"/>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color w:val="auto"/>
                <w:kern w:val="0"/>
                <w:szCs w:val="21"/>
              </w:rPr>
              <w:t>指标</w:t>
            </w:r>
          </w:p>
        </w:tc>
        <w:tc>
          <w:tcPr>
            <w:tcW w:w="8527" w:type="dxa"/>
            <w:vAlign w:val="center"/>
          </w:tcPr>
          <w:p w14:paraId="161A9BDC">
            <w:pPr>
              <w:keepNext w:val="0"/>
              <w:keepLines w:val="0"/>
              <w:pageBreakBefore w:val="0"/>
              <w:widowControl/>
              <w:suppressLineNumbers w:val="0"/>
              <w:kinsoku w:val="0"/>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根据《国务院关于印发&lt;“十四五”节能减排综合性工作方案&gt;的通知》（国发[2021]33 号）、《关于印发大气污染防治行动计划的通知》（国发〔2013〕37 号）、《安徽省环保厅关于进一步加强建设项目新增大气主要污染物总量指标管理工作的通知》（皖环发〔2017〕19 号）等，目前国家重点控制的总量因子为：废气中排放的NO</w:t>
            </w:r>
            <w:r>
              <w:rPr>
                <w:rFonts w:hint="default" w:ascii="Times New Roman" w:hAnsi="Times New Roman" w:eastAsia="宋体" w:cs="Times New Roman"/>
                <w:color w:val="auto"/>
                <w:kern w:val="0"/>
                <w:sz w:val="15"/>
                <w:szCs w:val="15"/>
                <w:lang w:val="en-US" w:eastAsia="zh-CN" w:bidi="ar"/>
              </w:rPr>
              <w:t>X</w:t>
            </w:r>
            <w:r>
              <w:rPr>
                <w:rFonts w:hint="default" w:ascii="Times New Roman" w:hAnsi="Times New Roman" w:eastAsia="宋体" w:cs="Times New Roman"/>
                <w:color w:val="auto"/>
                <w:kern w:val="0"/>
                <w:sz w:val="24"/>
                <w:szCs w:val="24"/>
                <w:lang w:val="en-US" w:eastAsia="zh-CN" w:bidi="ar"/>
              </w:rPr>
              <w:t>、VOCs、SO</w:t>
            </w:r>
            <w:r>
              <w:rPr>
                <w:rFonts w:hint="default" w:ascii="Times New Roman" w:hAnsi="Times New Roman" w:eastAsia="宋体" w:cs="Times New Roman"/>
                <w:color w:val="auto"/>
                <w:kern w:val="0"/>
                <w:sz w:val="15"/>
                <w:szCs w:val="15"/>
                <w:lang w:val="en-US" w:eastAsia="zh-CN" w:bidi="ar"/>
              </w:rPr>
              <w:t>2</w:t>
            </w:r>
            <w:r>
              <w:rPr>
                <w:rFonts w:hint="default" w:ascii="Times New Roman" w:hAnsi="Times New Roman" w:eastAsia="宋体" w:cs="Times New Roman"/>
                <w:color w:val="auto"/>
                <w:kern w:val="0"/>
                <w:sz w:val="24"/>
                <w:szCs w:val="24"/>
                <w:lang w:val="en-US" w:eastAsia="zh-CN" w:bidi="ar"/>
              </w:rPr>
              <w:t>、颗粒物，废水中排放的 COD</w:t>
            </w:r>
            <w:r>
              <w:rPr>
                <w:rFonts w:hint="default" w:ascii="Times New Roman" w:hAnsi="Times New Roman" w:eastAsia="宋体" w:cs="Times New Roman"/>
                <w:color w:val="auto"/>
                <w:kern w:val="0"/>
                <w:sz w:val="15"/>
                <w:szCs w:val="15"/>
                <w:lang w:val="en-US" w:eastAsia="zh-CN" w:bidi="ar"/>
              </w:rPr>
              <w:t>Cr</w:t>
            </w:r>
            <w:r>
              <w:rPr>
                <w:rFonts w:hint="default" w:ascii="Times New Roman" w:hAnsi="Times New Roman" w:eastAsia="宋体" w:cs="Times New Roman"/>
                <w:color w:val="auto"/>
                <w:kern w:val="0"/>
                <w:sz w:val="24"/>
                <w:szCs w:val="24"/>
                <w:lang w:val="en-US" w:eastAsia="zh-CN" w:bidi="ar"/>
              </w:rPr>
              <w:t>、NH</w:t>
            </w:r>
            <w:r>
              <w:rPr>
                <w:rFonts w:hint="default" w:ascii="Times New Roman" w:hAnsi="Times New Roman" w:eastAsia="宋体" w:cs="Times New Roman"/>
                <w:color w:val="auto"/>
                <w:kern w:val="0"/>
                <w:sz w:val="15"/>
                <w:szCs w:val="15"/>
                <w:lang w:val="en-US" w:eastAsia="zh-CN" w:bidi="ar"/>
              </w:rPr>
              <w:t>3</w:t>
            </w:r>
            <w:r>
              <w:rPr>
                <w:rFonts w:hint="default" w:ascii="Times New Roman" w:hAnsi="Times New Roman" w:eastAsia="宋体" w:cs="Times New Roman"/>
                <w:color w:val="auto"/>
                <w:kern w:val="0"/>
                <w:sz w:val="24"/>
                <w:szCs w:val="24"/>
                <w:lang w:val="en-US" w:eastAsia="zh-CN" w:bidi="ar"/>
              </w:rPr>
              <w:t>-N。主要污染物实行排放总量控制计划管理。</w:t>
            </w:r>
          </w:p>
          <w:p w14:paraId="65708D21">
            <w:pPr>
              <w:keepNext w:val="0"/>
              <w:keepLines w:val="0"/>
              <w:pageBreakBefore w:val="0"/>
              <w:widowControl/>
              <w:suppressLineNumbers w:val="0"/>
              <w:kinsoku w:val="0"/>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生活污水经化粪池处理后 ，排入收集池存放，采用槽罐车定期送 至</w:t>
            </w:r>
            <w:r>
              <w:rPr>
                <w:rFonts w:hint="eastAsia" w:ascii="Times New Roman" w:hAnsi="Times New Roman" w:eastAsia="宋体" w:cs="Times New Roman"/>
                <w:color w:val="auto"/>
                <w:kern w:val="0"/>
                <w:sz w:val="24"/>
                <w:szCs w:val="24"/>
                <w:lang w:val="en-US" w:eastAsia="zh-CN" w:bidi="ar"/>
              </w:rPr>
              <w:t>东至县国祯污水处理厂</w:t>
            </w:r>
            <w:r>
              <w:rPr>
                <w:rFonts w:hint="default" w:ascii="Times New Roman" w:hAnsi="Times New Roman" w:eastAsia="宋体" w:cs="Times New Roman"/>
                <w:color w:val="auto"/>
                <w:kern w:val="0"/>
                <w:sz w:val="24"/>
                <w:szCs w:val="24"/>
                <w:lang w:val="en-US" w:eastAsia="zh-CN" w:bidi="ar"/>
              </w:rPr>
              <w:t>处置；排入外环境 COD</w:t>
            </w:r>
            <w:r>
              <w:rPr>
                <w:rFonts w:hint="default" w:ascii="Times New Roman" w:hAnsi="Times New Roman" w:eastAsia="宋体" w:cs="Times New Roman"/>
                <w:color w:val="auto"/>
                <w:kern w:val="0"/>
                <w:sz w:val="15"/>
                <w:szCs w:val="15"/>
                <w:lang w:val="en-US" w:eastAsia="zh-CN" w:bidi="ar"/>
              </w:rPr>
              <w:t>Cr</w:t>
            </w:r>
            <w:r>
              <w:rPr>
                <w:rFonts w:hint="default" w:ascii="Times New Roman" w:hAnsi="Times New Roman" w:eastAsia="宋体" w:cs="Times New Roman"/>
                <w:color w:val="auto"/>
                <w:kern w:val="0"/>
                <w:sz w:val="24"/>
                <w:szCs w:val="24"/>
                <w:lang w:val="en-US" w:eastAsia="zh-CN" w:bidi="ar"/>
              </w:rPr>
              <w:t>、NH</w:t>
            </w:r>
            <w:r>
              <w:rPr>
                <w:rFonts w:hint="default" w:ascii="Times New Roman" w:hAnsi="Times New Roman" w:eastAsia="宋体" w:cs="Times New Roman"/>
                <w:color w:val="auto"/>
                <w:kern w:val="0"/>
                <w:sz w:val="15"/>
                <w:szCs w:val="15"/>
                <w:lang w:val="en-US" w:eastAsia="zh-CN" w:bidi="ar"/>
              </w:rPr>
              <w:t>3</w:t>
            </w:r>
            <w:r>
              <w:rPr>
                <w:rFonts w:hint="default" w:ascii="Times New Roman" w:hAnsi="Times New Roman" w:eastAsia="宋体" w:cs="Times New Roman"/>
                <w:color w:val="auto"/>
                <w:kern w:val="0"/>
                <w:sz w:val="24"/>
                <w:szCs w:val="24"/>
                <w:lang w:val="en-US" w:eastAsia="zh-CN" w:bidi="ar"/>
              </w:rPr>
              <w:t>-N 浓度为东至国祯污水处理厂出水标准，COD</w:t>
            </w:r>
            <w:r>
              <w:rPr>
                <w:rFonts w:hint="default" w:ascii="Times New Roman" w:hAnsi="Times New Roman" w:eastAsia="宋体" w:cs="Times New Roman"/>
                <w:color w:val="auto"/>
                <w:kern w:val="0"/>
                <w:sz w:val="15"/>
                <w:szCs w:val="15"/>
                <w:lang w:val="en-US" w:eastAsia="zh-CN" w:bidi="ar"/>
              </w:rPr>
              <w:t>Cr</w:t>
            </w:r>
            <w:r>
              <w:rPr>
                <w:rFonts w:hint="default" w:ascii="Times New Roman" w:hAnsi="Times New Roman" w:eastAsia="宋体" w:cs="Times New Roman"/>
                <w:color w:val="auto"/>
                <w:kern w:val="0"/>
                <w:sz w:val="24"/>
                <w:szCs w:val="24"/>
                <w:lang w:val="en-US" w:eastAsia="zh-CN" w:bidi="ar"/>
              </w:rPr>
              <w:t>：50mg/L，NH</w:t>
            </w:r>
            <w:r>
              <w:rPr>
                <w:rFonts w:hint="default" w:ascii="Times New Roman" w:hAnsi="Times New Roman" w:eastAsia="宋体" w:cs="Times New Roman"/>
                <w:color w:val="auto"/>
                <w:kern w:val="0"/>
                <w:sz w:val="15"/>
                <w:szCs w:val="15"/>
                <w:lang w:val="en-US" w:eastAsia="zh-CN" w:bidi="ar"/>
              </w:rPr>
              <w:t>3</w:t>
            </w:r>
            <w:r>
              <w:rPr>
                <w:rFonts w:hint="default" w:ascii="Times New Roman" w:hAnsi="Times New Roman" w:eastAsia="宋体" w:cs="Times New Roman"/>
                <w:color w:val="auto"/>
                <w:kern w:val="0"/>
                <w:sz w:val="24"/>
                <w:szCs w:val="24"/>
                <w:lang w:val="en-US" w:eastAsia="zh-CN" w:bidi="ar"/>
              </w:rPr>
              <w:t>-N：5mg/L，外排废水量 640t/a，则 COD 排入外环境的量 0.032t/a，NH</w:t>
            </w:r>
            <w:r>
              <w:rPr>
                <w:rFonts w:hint="default" w:ascii="Times New Roman" w:hAnsi="Times New Roman" w:eastAsia="宋体" w:cs="Times New Roman"/>
                <w:color w:val="auto"/>
                <w:kern w:val="0"/>
                <w:sz w:val="15"/>
                <w:szCs w:val="15"/>
                <w:lang w:val="en-US" w:eastAsia="zh-CN" w:bidi="ar"/>
              </w:rPr>
              <w:t>3</w:t>
            </w:r>
            <w:r>
              <w:rPr>
                <w:rFonts w:hint="default" w:ascii="Times New Roman" w:hAnsi="Times New Roman" w:eastAsia="宋体" w:cs="Times New Roman"/>
                <w:color w:val="auto"/>
                <w:kern w:val="0"/>
                <w:sz w:val="24"/>
                <w:szCs w:val="24"/>
                <w:lang w:val="en-US" w:eastAsia="zh-CN" w:bidi="ar"/>
              </w:rPr>
              <w:t>-N 排入外环境的量为 0.0032t/a，本项目不需另行申请 COD</w:t>
            </w:r>
            <w:r>
              <w:rPr>
                <w:rFonts w:hint="default" w:ascii="Times New Roman" w:hAnsi="Times New Roman" w:eastAsia="宋体" w:cs="Times New Roman"/>
                <w:color w:val="auto"/>
                <w:kern w:val="0"/>
                <w:sz w:val="15"/>
                <w:szCs w:val="15"/>
                <w:lang w:val="en-US" w:eastAsia="zh-CN" w:bidi="ar"/>
              </w:rPr>
              <w:t>cr</w:t>
            </w:r>
            <w:r>
              <w:rPr>
                <w:rFonts w:hint="default" w:ascii="Times New Roman" w:hAnsi="Times New Roman" w:eastAsia="宋体" w:cs="Times New Roman"/>
                <w:color w:val="auto"/>
                <w:kern w:val="0"/>
                <w:sz w:val="24"/>
                <w:szCs w:val="24"/>
                <w:lang w:val="en-US" w:eastAsia="zh-CN" w:bidi="ar"/>
              </w:rPr>
              <w:t>、NH</w:t>
            </w:r>
            <w:r>
              <w:rPr>
                <w:rFonts w:hint="default" w:ascii="Times New Roman" w:hAnsi="Times New Roman" w:eastAsia="宋体" w:cs="Times New Roman"/>
                <w:color w:val="auto"/>
                <w:kern w:val="0"/>
                <w:sz w:val="15"/>
                <w:szCs w:val="15"/>
                <w:lang w:val="en-US" w:eastAsia="zh-CN" w:bidi="ar"/>
              </w:rPr>
              <w:t>3</w:t>
            </w:r>
            <w:r>
              <w:rPr>
                <w:rFonts w:hint="default" w:ascii="Times New Roman" w:hAnsi="Times New Roman" w:eastAsia="宋体" w:cs="Times New Roman"/>
                <w:color w:val="auto"/>
                <w:kern w:val="0"/>
                <w:sz w:val="24"/>
                <w:szCs w:val="24"/>
                <w:lang w:val="en-US" w:eastAsia="zh-CN" w:bidi="ar"/>
              </w:rPr>
              <w:t>-N 的总量指标。</w:t>
            </w:r>
          </w:p>
          <w:p w14:paraId="7275CB77">
            <w:pPr>
              <w:keepNext w:val="0"/>
              <w:keepLines w:val="0"/>
              <w:pageBreakBefore w:val="0"/>
              <w:widowControl/>
              <w:suppressLineNumbers w:val="0"/>
              <w:kinsoku w:val="0"/>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厂区车辆进口处设置车辆清洗装置及配套</w:t>
            </w:r>
            <w:r>
              <w:rPr>
                <w:rFonts w:hint="eastAsia" w:ascii="Times New Roman" w:hAnsi="Times New Roman" w:eastAsia="宋体" w:cs="Times New Roman"/>
                <w:color w:val="auto"/>
                <w:kern w:val="0"/>
                <w:sz w:val="24"/>
                <w:szCs w:val="24"/>
                <w:lang w:val="en-US" w:eastAsia="zh-CN" w:bidi="ar"/>
              </w:rPr>
              <w:t>2</w:t>
            </w:r>
            <w:r>
              <w:rPr>
                <w:rFonts w:hint="default" w:ascii="Times New Roman" w:hAnsi="Times New Roman" w:eastAsia="宋体" w:cs="Times New Roman"/>
                <w:color w:val="auto"/>
                <w:kern w:val="0"/>
                <w:sz w:val="24"/>
                <w:szCs w:val="24"/>
                <w:lang w:val="en-US" w:eastAsia="zh-CN" w:bidi="ar"/>
              </w:rPr>
              <w:t>0m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洗车废水沉淀池，进出车辆冲洗废水经沉淀池处理后，回用于厂区洒水抑尘，不外排。</w:t>
            </w:r>
          </w:p>
          <w:p w14:paraId="14074D26">
            <w:pPr>
              <w:keepNext w:val="0"/>
              <w:keepLines w:val="0"/>
              <w:pageBreakBefore w:val="0"/>
              <w:widowControl/>
              <w:suppressLineNumbers w:val="0"/>
              <w:kinsoku w:val="0"/>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根据工程分析，项目排放的污染因子中，纳入总量控制要求的主要污染物是颗粒物，具体数值详见表 3-12。</w:t>
            </w:r>
          </w:p>
          <w:p w14:paraId="6EC31C20">
            <w:pPr>
              <w:keepNext w:val="0"/>
              <w:keepLines w:val="0"/>
              <w:pageBreakBefore w:val="0"/>
              <w:widowControl/>
              <w:suppressLineNumbers w:val="0"/>
              <w:kinsoku w:val="0"/>
              <w:wordWrap/>
              <w:overflowPunct/>
              <w:topLinePunct w:val="0"/>
              <w:autoSpaceDE/>
              <w:autoSpaceDN/>
              <w:bidi w:val="0"/>
              <w:adjustRightInd/>
              <w:snapToGrid/>
              <w:spacing w:line="360" w:lineRule="auto"/>
              <w:ind w:left="0" w:leftChars="0" w:firstLine="422" w:firstLineChars="20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kern w:val="0"/>
                <w:sz w:val="21"/>
                <w:szCs w:val="21"/>
                <w:lang w:val="en-US" w:eastAsia="zh-CN" w:bidi="ar"/>
              </w:rPr>
              <w:t>表 3-12 总量控制建议值 (单位：t/a)</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305"/>
              <w:gridCol w:w="1912"/>
              <w:gridCol w:w="1584"/>
              <w:gridCol w:w="2528"/>
            </w:tblGrid>
            <w:tr w14:paraId="3708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0" w:type="pct"/>
                  <w:gridSpan w:val="2"/>
                  <w:vAlign w:val="center"/>
                </w:tcPr>
                <w:p w14:paraId="2E3656DC">
                  <w:pPr>
                    <w:keepNext w:val="0"/>
                    <w:keepLines w:val="0"/>
                    <w:pageBreakBefore w:val="0"/>
                    <w:widowControl/>
                    <w:suppressLineNumbers w:val="0"/>
                    <w:kinsoku w:val="0"/>
                    <w:wordWrap/>
                    <w:overflowPunct/>
                    <w:topLinePunct w:val="0"/>
                    <w:autoSpaceDE/>
                    <w:autoSpaceDN/>
                    <w:bidi w:val="0"/>
                    <w:adjustRightInd/>
                    <w:snapToGrid/>
                    <w:spacing w:line="360" w:lineRule="auto"/>
                    <w:ind w:left="0" w:leftChars="0"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污染物名称</w:t>
                  </w:r>
                </w:p>
              </w:tc>
              <w:tc>
                <w:tcPr>
                  <w:tcW w:w="1152" w:type="pct"/>
                  <w:vAlign w:val="center"/>
                </w:tcPr>
                <w:p w14:paraId="4DE99354">
                  <w:pPr>
                    <w:keepNext w:val="0"/>
                    <w:keepLines w:val="0"/>
                    <w:pageBreakBefore w:val="0"/>
                    <w:widowControl/>
                    <w:suppressLineNumbers w:val="0"/>
                    <w:kinsoku w:val="0"/>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本项目排放量</w:t>
                  </w:r>
                </w:p>
              </w:tc>
              <w:tc>
                <w:tcPr>
                  <w:tcW w:w="954" w:type="pct"/>
                  <w:vAlign w:val="center"/>
                </w:tcPr>
                <w:p w14:paraId="5CB7BFDE">
                  <w:pPr>
                    <w:keepNext w:val="0"/>
                    <w:keepLines w:val="0"/>
                    <w:pageBreakBefore w:val="0"/>
                    <w:widowControl/>
                    <w:suppressLineNumbers w:val="0"/>
                    <w:kinsoku w:val="0"/>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以新代老量</w:t>
                  </w:r>
                </w:p>
              </w:tc>
              <w:tc>
                <w:tcPr>
                  <w:tcW w:w="1523" w:type="pct"/>
                  <w:vAlign w:val="center"/>
                </w:tcPr>
                <w:p w14:paraId="063E3928">
                  <w:pPr>
                    <w:keepNext w:val="0"/>
                    <w:keepLines w:val="0"/>
                    <w:pageBreakBefore w:val="0"/>
                    <w:widowControl/>
                    <w:suppressLineNumbers w:val="0"/>
                    <w:kinsoku w:val="0"/>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项目总量控制建议值</w:t>
                  </w:r>
                </w:p>
              </w:tc>
            </w:tr>
            <w:tr w14:paraId="4D6E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4" w:type="pct"/>
                  <w:vAlign w:val="center"/>
                </w:tcPr>
                <w:p w14:paraId="62B1F682">
                  <w:pPr>
                    <w:keepNext w:val="0"/>
                    <w:keepLines w:val="0"/>
                    <w:pageBreakBefore w:val="0"/>
                    <w:widowControl/>
                    <w:suppressLineNumbers w:val="0"/>
                    <w:kinsoku w:val="0"/>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废气</w:t>
                  </w:r>
                </w:p>
              </w:tc>
              <w:tc>
                <w:tcPr>
                  <w:tcW w:w="785" w:type="pct"/>
                  <w:vAlign w:val="center"/>
                </w:tcPr>
                <w:p w14:paraId="3146F001">
                  <w:pPr>
                    <w:keepNext w:val="0"/>
                    <w:keepLines w:val="0"/>
                    <w:pageBreakBefore w:val="0"/>
                    <w:widowControl/>
                    <w:suppressLineNumbers w:val="0"/>
                    <w:kinsoku w:val="0"/>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颗粒物</w:t>
                  </w:r>
                </w:p>
              </w:tc>
              <w:tc>
                <w:tcPr>
                  <w:tcW w:w="1152" w:type="pct"/>
                  <w:vAlign w:val="center"/>
                </w:tcPr>
                <w:p w14:paraId="3DF110AA">
                  <w:pPr>
                    <w:keepNext w:val="0"/>
                    <w:keepLines w:val="0"/>
                    <w:pageBreakBefore w:val="0"/>
                    <w:widowControl/>
                    <w:suppressLineNumbers w:val="0"/>
                    <w:kinsoku w:val="0"/>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3.26</w:t>
                  </w:r>
                </w:p>
              </w:tc>
              <w:tc>
                <w:tcPr>
                  <w:tcW w:w="954" w:type="pct"/>
                  <w:vAlign w:val="center"/>
                </w:tcPr>
                <w:p w14:paraId="0DD97FDD">
                  <w:pPr>
                    <w:keepNext w:val="0"/>
                    <w:keepLines w:val="0"/>
                    <w:pageBreakBefore w:val="0"/>
                    <w:widowControl/>
                    <w:suppressLineNumbers w:val="0"/>
                    <w:kinsoku w:val="0"/>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w:t>
                  </w:r>
                </w:p>
              </w:tc>
              <w:tc>
                <w:tcPr>
                  <w:tcW w:w="1523" w:type="pct"/>
                  <w:vAlign w:val="center"/>
                </w:tcPr>
                <w:p w14:paraId="541AD6F3">
                  <w:pPr>
                    <w:keepNext w:val="0"/>
                    <w:keepLines w:val="0"/>
                    <w:pageBreakBefore w:val="0"/>
                    <w:widowControl/>
                    <w:suppressLineNumbers w:val="0"/>
                    <w:kinsoku w:val="0"/>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3.26</w:t>
                  </w:r>
                </w:p>
              </w:tc>
            </w:tr>
          </w:tbl>
          <w:p w14:paraId="74CEBC5D">
            <w:pPr>
              <w:keepNext w:val="0"/>
              <w:keepLines w:val="0"/>
              <w:pageBreakBefore w:val="0"/>
              <w:widowControl/>
              <w:suppressLineNumbers w:val="0"/>
              <w:kinsoku w:val="0"/>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auto"/>
                <w:lang w:val="zh-CN"/>
              </w:rPr>
            </w:pPr>
            <w:r>
              <w:rPr>
                <w:rFonts w:hint="default" w:ascii="Times New Roman" w:hAnsi="Times New Roman" w:eastAsia="宋体" w:cs="Times New Roman"/>
                <w:color w:val="auto"/>
                <w:kern w:val="0"/>
                <w:sz w:val="24"/>
                <w:szCs w:val="24"/>
                <w:lang w:val="en-US" w:eastAsia="zh-CN" w:bidi="ar"/>
              </w:rPr>
              <w:t>由上表可知，项目的总量控制指标为颗粒物，故本次需申请总量颗粒物为3.26t/a。总量控制指标必须由建设单位向生态环境主管部门申请，经审批同意后方能实施该项目。</w:t>
            </w:r>
          </w:p>
        </w:tc>
      </w:tr>
    </w:tbl>
    <w:p w14:paraId="5D2FEFF0">
      <w:pPr>
        <w:pStyle w:val="2"/>
        <w:spacing w:before="0" w:after="0" w:line="240" w:lineRule="auto"/>
        <w:rPr>
          <w:snapToGrid w:val="0"/>
          <w:color w:val="auto"/>
        </w:rPr>
      </w:pPr>
      <w:r>
        <w:rPr>
          <w:snapToGrid w:val="0"/>
          <w:color w:val="auto"/>
          <w:sz w:val="36"/>
          <w:szCs w:val="36"/>
        </w:rPr>
        <w:br w:type="page"/>
      </w:r>
      <w:bookmarkStart w:id="71" w:name="_Toc19717"/>
      <w:bookmarkStart w:id="72" w:name="_Toc28059"/>
      <w:r>
        <w:rPr>
          <w:snapToGrid w:val="0"/>
          <w:color w:val="auto"/>
        </w:rPr>
        <w:t>四、主要环境影响和保护措施</w:t>
      </w:r>
      <w:bookmarkEnd w:id="71"/>
      <w:bookmarkEnd w:id="72"/>
    </w:p>
    <w:tbl>
      <w:tblPr>
        <w:tblStyle w:val="34"/>
        <w:tblW w:w="508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89"/>
        <w:gridCol w:w="8877"/>
      </w:tblGrid>
      <w:tr w14:paraId="3E8D23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527" w:hRule="atLeast"/>
          <w:jc w:val="center"/>
        </w:trPr>
        <w:tc>
          <w:tcPr>
            <w:tcW w:w="261" w:type="pct"/>
            <w:tcMar>
              <w:left w:w="28" w:type="dxa"/>
              <w:right w:w="28" w:type="dxa"/>
            </w:tcMar>
            <w:vAlign w:val="center"/>
          </w:tcPr>
          <w:p w14:paraId="1314A1DB">
            <w:pPr>
              <w:adjustRightInd w:val="0"/>
              <w:snapToGrid w:val="0"/>
              <w:spacing w:line="240" w:lineRule="auto"/>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rPr>
              <w:t>施工期环境保</w:t>
            </w:r>
          </w:p>
          <w:p w14:paraId="199215F8">
            <w:pPr>
              <w:adjustRightInd w:val="0"/>
              <w:snapToGrid w:val="0"/>
              <w:spacing w:line="240" w:lineRule="auto"/>
              <w:ind w:firstLine="0" w:firstLineChars="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rPr>
              <w:t>护措施</w:t>
            </w:r>
          </w:p>
        </w:tc>
        <w:tc>
          <w:tcPr>
            <w:tcW w:w="4738" w:type="pct"/>
          </w:tcPr>
          <w:p w14:paraId="5BCB375F">
            <w:pPr>
              <w:spacing w:line="360" w:lineRule="auto"/>
              <w:rPr>
                <w:rFonts w:hint="default" w:ascii="Times New Roman" w:hAnsi="Times New Roman" w:eastAsia="宋体" w:cs="Times New Roman"/>
                <w:b/>
                <w:bCs/>
                <w:color w:val="auto"/>
                <w:sz w:val="24"/>
                <w:szCs w:val="24"/>
                <w:lang w:eastAsia="zh-CN"/>
              </w:rPr>
            </w:pPr>
            <w:r>
              <w:rPr>
                <w:rFonts w:hint="default" w:ascii="Times New Roman" w:hAnsi="Times New Roman" w:eastAsia="宋体" w:cs="Times New Roman"/>
                <w:b/>
                <w:bCs/>
                <w:color w:val="auto"/>
                <w:sz w:val="24"/>
                <w:szCs w:val="24"/>
              </w:rPr>
              <w:t>1、施工期</w:t>
            </w:r>
            <w:r>
              <w:rPr>
                <w:rFonts w:hint="default" w:ascii="Times New Roman" w:hAnsi="Times New Roman" w:eastAsia="宋体" w:cs="Times New Roman"/>
                <w:b/>
                <w:bCs/>
                <w:color w:val="auto"/>
                <w:sz w:val="24"/>
                <w:szCs w:val="24"/>
                <w:lang w:eastAsia="zh-CN"/>
              </w:rPr>
              <w:t>工艺流程及产污环节</w:t>
            </w:r>
          </w:p>
          <w:p w14:paraId="39CEBA53">
            <w:pPr>
              <w:pStyle w:val="103"/>
              <w:spacing w:line="360" w:lineRule="auto"/>
              <w:ind w:firstLine="560" w:firstLineChars="200"/>
              <w:jc w:val="both"/>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kern w:val="0"/>
                <w:sz w:val="28"/>
                <w:szCs w:val="20"/>
                <w:lang w:val="en-US" w:eastAsia="zh-CN" w:bidi="ar-SA"/>
              </w:rPr>
              <w:pict>
                <v:shape id="Object 98" o:spid="_x0000_s1026" o:spt="75" type="#_x0000_t75" style="position:absolute;left:0pt;margin-left:23.4pt;margin-top:68.75pt;height:78.45pt;width:395.3pt;z-index:251661312;mso-width-relative:page;mso-height-relative:page;" o:ole="t" filled="f" o:preferrelative="t" stroked="f" coordsize="21600,21600">
                  <v:path/>
                  <v:fill on="f" focussize="0,0"/>
                  <v:stroke on="f"/>
                  <v:imagedata r:id="rId27" o:title=""/>
                  <o:lock v:ext="edit" aspectratio="f"/>
                </v:shape>
                <o:OLEObject Type="Embed" ProgID="Visio.Drawing.11" ShapeID="Object 98" DrawAspect="Content" ObjectID="_1468075729" r:id="rId26">
                  <o:LockedField>false</o:LockedField>
                </o:OLEObject>
              </w:pict>
            </w:r>
            <w:r>
              <w:rPr>
                <w:rFonts w:hint="default" w:ascii="Times New Roman" w:hAnsi="Times New Roman" w:eastAsia="宋体" w:cs="Times New Roman"/>
                <w:bCs/>
                <w:color w:val="auto"/>
                <w:spacing w:val="4"/>
                <w:sz w:val="24"/>
                <w:lang w:val="en-US" w:eastAsia="zh-CN"/>
              </w:rPr>
              <w:t>本</w:t>
            </w:r>
            <w:r>
              <w:rPr>
                <w:rFonts w:hint="default" w:ascii="Times New Roman" w:hAnsi="Times New Roman" w:eastAsia="宋体" w:cs="Times New Roman"/>
                <w:color w:val="auto"/>
                <w:sz w:val="24"/>
                <w:szCs w:val="24"/>
                <w:u w:val="none" w:color="auto"/>
              </w:rPr>
              <w:t>施工内容主要为</w:t>
            </w:r>
            <w:r>
              <w:rPr>
                <w:rFonts w:hint="default" w:ascii="Times New Roman" w:hAnsi="Times New Roman" w:eastAsia="宋体" w:cs="Times New Roman"/>
                <w:color w:val="auto"/>
                <w:sz w:val="24"/>
                <w:szCs w:val="24"/>
                <w:u w:val="none" w:color="auto"/>
                <w:lang w:eastAsia="zh-CN"/>
              </w:rPr>
              <w:t>厂房建设</w:t>
            </w:r>
            <w:r>
              <w:rPr>
                <w:rFonts w:hint="default" w:ascii="Times New Roman" w:hAnsi="Times New Roman" w:eastAsia="宋体" w:cs="Times New Roman"/>
                <w:color w:val="auto"/>
                <w:sz w:val="24"/>
                <w:szCs w:val="24"/>
                <w:u w:val="none" w:color="auto"/>
              </w:rPr>
              <w:t>、设备安装等，</w:t>
            </w:r>
            <w:r>
              <w:rPr>
                <w:rFonts w:hint="default" w:ascii="Times New Roman" w:hAnsi="Times New Roman" w:eastAsia="宋体" w:cs="Times New Roman"/>
                <w:b w:val="0"/>
                <w:bCs/>
                <w:color w:val="auto"/>
                <w:sz w:val="24"/>
                <w:szCs w:val="24"/>
                <w:lang w:val="en-US" w:eastAsia="zh-CN"/>
              </w:rPr>
              <w:t>施工期主要工艺流程为场地平整、用地内基础施工、结构施工及设备安装，最后竣工验收投入使用。项目施工期基本工艺流程及产污环节见下图。</w:t>
            </w:r>
          </w:p>
          <w:p w14:paraId="3C3B866E">
            <w:pPr>
              <w:pStyle w:val="16"/>
              <w:rPr>
                <w:rFonts w:hint="default" w:ascii="Times New Roman" w:hAnsi="Times New Roman" w:eastAsia="宋体" w:cs="Times New Roman"/>
                <w:color w:val="auto"/>
                <w:lang w:val="en-US" w:eastAsia="zh-CN"/>
              </w:rPr>
            </w:pPr>
          </w:p>
          <w:p w14:paraId="1D61779C">
            <w:pPr>
              <w:widowControl w:val="0"/>
              <w:spacing w:line="600" w:lineRule="exact"/>
              <w:ind w:firstLine="0" w:firstLineChars="0"/>
              <w:jc w:val="center"/>
              <w:rPr>
                <w:rFonts w:hint="default" w:ascii="Times New Roman" w:hAnsi="Times New Roman" w:eastAsia="宋体" w:cs="Times New Roman"/>
                <w:color w:val="auto"/>
                <w:kern w:val="0"/>
                <w:sz w:val="28"/>
                <w:szCs w:val="20"/>
                <w:lang w:val="en-US" w:eastAsia="zh-CN" w:bidi="ar-SA"/>
              </w:rPr>
            </w:pPr>
          </w:p>
          <w:p w14:paraId="2B6B8316">
            <w:pPr>
              <w:widowControl w:val="0"/>
              <w:spacing w:line="600" w:lineRule="exact"/>
              <w:ind w:firstLine="0" w:firstLineChars="0"/>
              <w:jc w:val="center"/>
              <w:rPr>
                <w:rFonts w:hint="default" w:ascii="Times New Roman" w:hAnsi="Times New Roman" w:eastAsia="宋体" w:cs="Times New Roman"/>
                <w:color w:val="auto"/>
                <w:kern w:val="0"/>
                <w:sz w:val="28"/>
                <w:szCs w:val="20"/>
                <w:lang w:val="en-US" w:eastAsia="zh-CN" w:bidi="ar-SA"/>
              </w:rPr>
            </w:pPr>
          </w:p>
          <w:p w14:paraId="3E7E55A7">
            <w:pPr>
              <w:widowControl w:val="0"/>
              <w:spacing w:line="600" w:lineRule="exact"/>
              <w:ind w:firstLine="0" w:firstLineChars="0"/>
              <w:jc w:val="center"/>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b/>
                <w:bCs/>
                <w:color w:val="auto"/>
                <w:kern w:val="0"/>
                <w:sz w:val="24"/>
                <w:szCs w:val="24"/>
                <w:lang w:val="en-US" w:eastAsia="zh-CN" w:bidi="ar-SA"/>
              </w:rPr>
              <w:t>图2-3  施工期主要流程及产污节点图</w:t>
            </w:r>
          </w:p>
          <w:p w14:paraId="7992A5C5">
            <w:pPr>
              <w:adjustRightInd w:val="0"/>
              <w:snapToGrid w:val="0"/>
              <w:spacing w:line="360" w:lineRule="auto"/>
              <w:ind w:firstLine="482" w:firstLineChars="200"/>
              <w:rPr>
                <w:rFonts w:hint="default" w:ascii="Times New Roman" w:hAnsi="Times New Roman" w:eastAsia="宋体" w:cs="Times New Roman"/>
                <w:b/>
                <w:bCs/>
                <w:color w:val="auto"/>
                <w:sz w:val="24"/>
                <w:szCs w:val="21"/>
              </w:rPr>
            </w:pPr>
            <w:r>
              <w:rPr>
                <w:rFonts w:hint="default" w:ascii="Times New Roman" w:hAnsi="Times New Roman" w:eastAsia="宋体" w:cs="Times New Roman"/>
                <w:b/>
                <w:bCs/>
                <w:color w:val="auto"/>
                <w:sz w:val="24"/>
                <w:szCs w:val="21"/>
              </w:rPr>
              <w:t>工艺流程简述：</w:t>
            </w:r>
          </w:p>
          <w:p w14:paraId="32CFAEAC">
            <w:pPr>
              <w:adjustRightInd w:val="0"/>
              <w:snapToGrid w:val="0"/>
              <w:spacing w:line="360" w:lineRule="auto"/>
              <w:ind w:firstLine="480"/>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rPr>
              <w:t>①施工工程内容</w:t>
            </w:r>
          </w:p>
          <w:p w14:paraId="606BFA22">
            <w:pPr>
              <w:adjustRightInd w:val="0"/>
              <w:snapToGrid w:val="0"/>
              <w:spacing w:line="360" w:lineRule="auto"/>
              <w:ind w:firstLine="482"/>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lang w:val="en-US" w:eastAsia="zh-CN"/>
              </w:rPr>
              <w:t>本项目</w:t>
            </w:r>
            <w:r>
              <w:rPr>
                <w:rFonts w:hint="default" w:ascii="Times New Roman" w:hAnsi="Times New Roman" w:eastAsia="宋体" w:cs="Times New Roman"/>
                <w:color w:val="auto"/>
                <w:sz w:val="24"/>
                <w:szCs w:val="21"/>
              </w:rPr>
              <w:t>施工的主要工程内容</w:t>
            </w:r>
            <w:r>
              <w:rPr>
                <w:rFonts w:hint="default" w:ascii="Times New Roman" w:hAnsi="Times New Roman" w:eastAsia="宋体" w:cs="Times New Roman"/>
                <w:color w:val="auto"/>
                <w:sz w:val="24"/>
                <w:szCs w:val="21"/>
                <w:lang w:val="en-US" w:eastAsia="zh-CN"/>
              </w:rPr>
              <w:t>为场地平整，基础工程、主体工程、装饰工程、安装工程建设</w:t>
            </w:r>
            <w:r>
              <w:rPr>
                <w:rFonts w:hint="default" w:ascii="Times New Roman" w:hAnsi="Times New Roman" w:eastAsia="宋体" w:cs="Times New Roman"/>
                <w:color w:val="auto"/>
                <w:sz w:val="24"/>
                <w:szCs w:val="21"/>
              </w:rPr>
              <w:t>。</w:t>
            </w:r>
          </w:p>
          <w:p w14:paraId="29807560">
            <w:pPr>
              <w:adjustRightInd w:val="0"/>
              <w:snapToGrid w:val="0"/>
              <w:spacing w:line="360" w:lineRule="auto"/>
              <w:ind w:firstLine="480" w:firstLineChars="200"/>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rPr>
              <w:t>②场地平整和基础工程</w:t>
            </w:r>
          </w:p>
          <w:p w14:paraId="1A8CC602">
            <w:pPr>
              <w:adjustRightInd w:val="0"/>
              <w:snapToGrid w:val="0"/>
              <w:spacing w:line="360" w:lineRule="auto"/>
              <w:ind w:firstLine="480" w:firstLineChars="200"/>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rPr>
              <w:t>利用压路机分片压碾，并浇水湿润填土以利于密实。然后利用起重机械吊起特制的重锤来冲击基土表面，使地基受到压密。该工段主要污染物为施工机械产生的噪声、扬尘和排放的尾气。</w:t>
            </w:r>
          </w:p>
          <w:p w14:paraId="3D4F656D">
            <w:pPr>
              <w:adjustRightInd w:val="0"/>
              <w:snapToGrid w:val="0"/>
              <w:spacing w:line="360" w:lineRule="auto"/>
              <w:ind w:firstLine="480" w:firstLineChars="200"/>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rPr>
              <w:t>③主体工程</w:t>
            </w:r>
          </w:p>
          <w:p w14:paraId="49E68B55">
            <w:pPr>
              <w:adjustRightInd w:val="0"/>
              <w:snapToGrid w:val="0"/>
              <w:spacing w:line="360" w:lineRule="auto"/>
              <w:ind w:firstLine="480" w:firstLineChars="200"/>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rPr>
              <w:t>建设项目主体工程主要为钻孔灌注，现浇钢砼柱、梁，砖墙砌筑。建设项目利用钻孔设备进行钻孔后，用钢筋混凝土浇灌。浇灌时注入预先拌制均匀的混凝土，随灌随振，振捣均匀，防止混凝土不实和素浆上浮。然后根据施工图纸，进行钢筋的配料和加工，安装于架好的模板之处，及时连续灌筑混凝土，并捣实使混凝土成型。建设项目在砖墙砌筑时，首先进行水泥砂浆的调配，然后再挂线砌筑。该工段工期较长，主要污染物为搅拌机产生的噪声、尾气，搅拌砂浆时的砂浆水，碎砖和废砂等固废。</w:t>
            </w:r>
          </w:p>
          <w:p w14:paraId="537E9418">
            <w:pPr>
              <w:adjustRightInd w:val="0"/>
              <w:snapToGrid w:val="0"/>
              <w:spacing w:line="360" w:lineRule="auto"/>
              <w:ind w:firstLine="480" w:firstLineChars="200"/>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rPr>
              <w:fldChar w:fldCharType="begin"/>
            </w:r>
            <w:r>
              <w:rPr>
                <w:rFonts w:hint="default" w:ascii="Times New Roman" w:hAnsi="Times New Roman" w:eastAsia="宋体" w:cs="Times New Roman"/>
                <w:color w:val="auto"/>
                <w:sz w:val="24"/>
                <w:szCs w:val="21"/>
              </w:rPr>
              <w:instrText xml:space="preserve"> = 4 \* GB3 \* MERGEFORMAT </w:instrText>
            </w:r>
            <w:r>
              <w:rPr>
                <w:rFonts w:hint="default" w:ascii="Times New Roman" w:hAnsi="Times New Roman" w:eastAsia="宋体" w:cs="Times New Roman"/>
                <w:color w:val="auto"/>
                <w:sz w:val="24"/>
                <w:szCs w:val="21"/>
              </w:rPr>
              <w:fldChar w:fldCharType="separate"/>
            </w:r>
            <w:r>
              <w:rPr>
                <w:rFonts w:hint="default" w:ascii="Times New Roman" w:hAnsi="Times New Roman" w:eastAsia="宋体" w:cs="Times New Roman"/>
                <w:color w:val="auto"/>
                <w:sz w:val="24"/>
                <w:szCs w:val="21"/>
              </w:rPr>
              <w:t>④</w:t>
            </w:r>
            <w:r>
              <w:rPr>
                <w:rFonts w:hint="default" w:ascii="Times New Roman" w:hAnsi="Times New Roman" w:eastAsia="宋体" w:cs="Times New Roman"/>
                <w:color w:val="auto"/>
                <w:sz w:val="24"/>
                <w:szCs w:val="21"/>
              </w:rPr>
              <w:fldChar w:fldCharType="end"/>
            </w:r>
            <w:r>
              <w:rPr>
                <w:rFonts w:hint="default" w:ascii="Times New Roman" w:hAnsi="Times New Roman" w:eastAsia="宋体" w:cs="Times New Roman"/>
                <w:color w:val="auto"/>
                <w:sz w:val="24"/>
                <w:szCs w:val="21"/>
              </w:rPr>
              <w:t>装饰工程</w:t>
            </w:r>
          </w:p>
          <w:p w14:paraId="34509C12">
            <w:pPr>
              <w:adjustRightInd w:val="0"/>
              <w:snapToGrid w:val="0"/>
              <w:spacing w:line="360" w:lineRule="auto"/>
              <w:ind w:firstLine="480" w:firstLineChars="200"/>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rPr>
              <w:t>利用各种加工机械对木材、塑钢等按图进行加工，同时进行屋面制作，然后采用浅色环保型高级涂料和浅灰色仿石涂料喷刷，最后对外露的铁件进行油漆施工，有少量的有机废气挥发。</w:t>
            </w:r>
          </w:p>
          <w:p w14:paraId="152990E1">
            <w:pPr>
              <w:adjustRightInd w:val="0"/>
              <w:snapToGrid w:val="0"/>
              <w:spacing w:line="360" w:lineRule="auto"/>
              <w:ind w:firstLine="480" w:firstLineChars="200"/>
              <w:rPr>
                <w:rFonts w:hint="default" w:ascii="Times New Roman" w:hAnsi="Times New Roman" w:eastAsia="宋体" w:cs="Times New Roman"/>
                <w:color w:val="auto"/>
                <w:sz w:val="24"/>
                <w:szCs w:val="21"/>
                <w:lang w:val="en-US" w:eastAsia="zh-CN"/>
              </w:rPr>
            </w:pPr>
            <w:r>
              <w:rPr>
                <w:rFonts w:hint="default" w:ascii="Times New Roman" w:hAnsi="Times New Roman" w:eastAsia="宋体" w:cs="Times New Roman"/>
                <w:color w:val="auto"/>
                <w:sz w:val="24"/>
                <w:szCs w:val="21"/>
              </w:rPr>
              <w:fldChar w:fldCharType="begin"/>
            </w:r>
            <w:r>
              <w:rPr>
                <w:rFonts w:hint="default" w:ascii="Times New Roman" w:hAnsi="Times New Roman" w:eastAsia="宋体" w:cs="Times New Roman"/>
                <w:color w:val="auto"/>
                <w:sz w:val="24"/>
                <w:szCs w:val="21"/>
              </w:rPr>
              <w:instrText xml:space="preserve"> = 5 \* GB3 \* MERGEFORMAT </w:instrText>
            </w:r>
            <w:r>
              <w:rPr>
                <w:rFonts w:hint="default" w:ascii="Times New Roman" w:hAnsi="Times New Roman" w:eastAsia="宋体" w:cs="Times New Roman"/>
                <w:color w:val="auto"/>
                <w:sz w:val="24"/>
                <w:szCs w:val="21"/>
              </w:rPr>
              <w:fldChar w:fldCharType="separate"/>
            </w:r>
            <w:r>
              <w:rPr>
                <w:rFonts w:hint="default" w:ascii="Times New Roman" w:hAnsi="Times New Roman" w:eastAsia="宋体" w:cs="Times New Roman"/>
                <w:color w:val="auto"/>
                <w:sz w:val="24"/>
                <w:szCs w:val="21"/>
              </w:rPr>
              <w:t>⑤</w:t>
            </w:r>
            <w:r>
              <w:rPr>
                <w:rFonts w:hint="default" w:ascii="Times New Roman" w:hAnsi="Times New Roman" w:eastAsia="宋体" w:cs="Times New Roman"/>
                <w:color w:val="auto"/>
                <w:sz w:val="24"/>
                <w:szCs w:val="21"/>
              </w:rPr>
              <w:fldChar w:fldCharType="end"/>
            </w:r>
            <w:r>
              <w:rPr>
                <w:rFonts w:hint="default" w:ascii="Times New Roman" w:hAnsi="Times New Roman" w:eastAsia="宋体" w:cs="Times New Roman"/>
                <w:color w:val="auto"/>
                <w:sz w:val="24"/>
                <w:szCs w:val="21"/>
              </w:rPr>
              <w:t>安装</w:t>
            </w:r>
            <w:r>
              <w:rPr>
                <w:rFonts w:hint="default" w:ascii="Times New Roman" w:hAnsi="Times New Roman" w:eastAsia="宋体" w:cs="Times New Roman"/>
                <w:color w:val="auto"/>
                <w:sz w:val="24"/>
                <w:szCs w:val="21"/>
                <w:lang w:val="en-US" w:eastAsia="zh-CN"/>
              </w:rPr>
              <w:t>工程</w:t>
            </w:r>
          </w:p>
          <w:p w14:paraId="772E900F">
            <w:pPr>
              <w:pStyle w:val="184"/>
              <w:ind w:firstLine="482"/>
              <w:rPr>
                <w:rFonts w:hint="default" w:ascii="Times New Roman" w:hAnsi="Times New Roman" w:eastAsia="宋体" w:cs="Times New Roman"/>
                <w:color w:val="auto"/>
                <w:sz w:val="24"/>
                <w:szCs w:val="21"/>
              </w:rPr>
            </w:pPr>
            <w:r>
              <w:rPr>
                <w:rFonts w:hint="default" w:ascii="Times New Roman" w:hAnsi="Times New Roman" w:eastAsia="宋体" w:cs="Times New Roman"/>
                <w:color w:val="auto"/>
                <w:sz w:val="24"/>
                <w:szCs w:val="21"/>
              </w:rPr>
              <w:t>包括生产设备安装及道路、雨污管网铺设等施工，主要污染物是施工机械产生的噪声、尾气等。</w:t>
            </w:r>
          </w:p>
          <w:p w14:paraId="4FEC9D59">
            <w:pPr>
              <w:pStyle w:val="184"/>
              <w:ind w:firstLine="482"/>
              <w:rPr>
                <w:rFonts w:hint="default" w:ascii="Times New Roman" w:hAnsi="Times New Roman" w:eastAsia="宋体" w:cs="Times New Roman"/>
                <w:b/>
                <w:color w:val="auto"/>
                <w:szCs w:val="24"/>
              </w:rPr>
            </w:pPr>
            <w:r>
              <w:rPr>
                <w:rFonts w:hint="default" w:ascii="Times New Roman" w:hAnsi="Times New Roman" w:eastAsia="宋体" w:cs="Times New Roman"/>
                <w:b/>
                <w:color w:val="auto"/>
                <w:szCs w:val="24"/>
              </w:rPr>
              <w:t>（二）施工期环境保护措施</w:t>
            </w:r>
          </w:p>
          <w:p w14:paraId="11F9EC83">
            <w:pPr>
              <w:adjustRightInd w:val="0"/>
              <w:snapToGrid w:val="0"/>
              <w:spacing w:line="360" w:lineRule="auto"/>
              <w:ind w:firstLine="480" w:firstLineChars="200"/>
              <w:rPr>
                <w:rFonts w:hint="default" w:ascii="Times New Roman" w:hAnsi="Times New Roman" w:eastAsia="宋体" w:cs="Times New Roman"/>
                <w:b w:val="0"/>
                <w:bCs/>
                <w:color w:val="auto"/>
                <w:kern w:val="0"/>
                <w:sz w:val="24"/>
              </w:rPr>
            </w:pPr>
            <w:r>
              <w:rPr>
                <w:rFonts w:hint="default" w:ascii="Times New Roman" w:hAnsi="Times New Roman" w:eastAsia="宋体" w:cs="Times New Roman"/>
                <w:b w:val="0"/>
                <w:bCs/>
                <w:color w:val="auto"/>
                <w:kern w:val="0"/>
                <w:sz w:val="24"/>
                <w:lang w:val="en-US" w:eastAsia="zh-CN"/>
              </w:rPr>
              <w:t>施工期环境保护措施如下：</w:t>
            </w:r>
          </w:p>
          <w:p w14:paraId="5CFC04B0">
            <w:pPr>
              <w:keepNext w:val="0"/>
              <w:keepLines w:val="0"/>
              <w:pageBreakBefore w:val="0"/>
              <w:widowControl w:val="0"/>
              <w:kinsoku/>
              <w:wordWrap/>
              <w:overflowPunct/>
              <w:topLinePunct w:val="0"/>
              <w:autoSpaceDE/>
              <w:autoSpaceDN/>
              <w:bidi w:val="0"/>
              <w:adjustRightInd/>
              <w:snapToGrid w:val="0"/>
              <w:spacing w:before="157" w:beforeLines="50" w:line="360" w:lineRule="auto"/>
              <w:ind w:left="42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1、施工期大气环境保护措施</w:t>
            </w:r>
          </w:p>
          <w:p w14:paraId="7CD538B1">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本项目施工废气主要为施工扬尘和施工机械燃油废气，施工单位在施工期应</w:t>
            </w:r>
            <w:r>
              <w:rPr>
                <w:rFonts w:hint="default" w:ascii="Times New Roman" w:hAnsi="Times New Roman" w:eastAsia="宋体" w:cs="Times New Roman"/>
                <w:color w:val="auto"/>
                <w:kern w:val="2"/>
                <w:sz w:val="24"/>
                <w:szCs w:val="24"/>
                <w:lang w:val="en-US" w:eastAsia="zh-CN" w:bidi="ar-SA"/>
              </w:rPr>
              <w:t>严格执行《安徽省大气污染防治行动计划实施方案》等大气污染防治法律、法规、规章及文件精神，严格落实“六个百分百”相关要求，具体的施工期大气环境保护措施主要有以下几点</w:t>
            </w:r>
            <w:r>
              <w:rPr>
                <w:rFonts w:hint="default" w:ascii="Times New Roman" w:hAnsi="Times New Roman" w:eastAsia="宋体" w:cs="Times New Roman"/>
                <w:snapToGrid w:val="0"/>
                <w:color w:val="auto"/>
                <w:kern w:val="0"/>
                <w:sz w:val="24"/>
                <w:szCs w:val="24"/>
                <w:lang w:val="en-US" w:eastAsia="zh-CN" w:bidi="ar-SA"/>
              </w:rPr>
              <w:t>：</w:t>
            </w:r>
          </w:p>
          <w:p w14:paraId="69C63C28">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（1）施工工地周边100%围挡</w:t>
            </w:r>
          </w:p>
          <w:p w14:paraId="2D6FA707">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施</w:t>
            </w:r>
            <w:r>
              <w:rPr>
                <w:rFonts w:hint="default" w:ascii="Times New Roman" w:hAnsi="Times New Roman" w:eastAsia="宋体" w:cs="Times New Roman"/>
                <w:snapToGrid w:val="0"/>
                <w:color w:val="auto"/>
                <w:kern w:val="0"/>
                <w:sz w:val="24"/>
                <w:szCs w:val="24"/>
                <w:lang w:val="en-US" w:eastAsia="zh-CN" w:bidi="ar-SA"/>
              </w:rPr>
              <w:t>工现场应设置稳固、整齐、美观并符合安全标准要求的连续封闭式围挡；围挡底部应设置30厘米防溢座，防止泥浆外漏；房屋建筑工程施工期在30天以上的，必须设置不低于2.5米的围墙，工期在30天以内的可设置彩钢围挡。</w:t>
            </w:r>
          </w:p>
          <w:p w14:paraId="26142037">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（2）物料堆放100%覆盖</w:t>
            </w:r>
          </w:p>
          <w:p w14:paraId="1CD8ABD3">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施工现场建筑材料、构配件、施工设备等应按施工现场平面布置图确定的位置放置，对渣土、水泥等易产生扬尘的建筑材料，应严密遮盖或存放在库房内；专门设置集中堆放建筑垃</w:t>
            </w:r>
            <w:r>
              <w:rPr>
                <w:rFonts w:hint="default" w:ascii="Times New Roman" w:hAnsi="Times New Roman" w:eastAsia="宋体" w:cs="Times New Roman"/>
                <w:color w:val="auto"/>
                <w:kern w:val="2"/>
                <w:sz w:val="24"/>
                <w:szCs w:val="24"/>
                <w:lang w:val="en-US" w:eastAsia="zh-CN" w:bidi="ar-SA"/>
              </w:rPr>
              <w:t>圾、渣土的场地；不能按时完成清运的，应及时覆盖。</w:t>
            </w:r>
          </w:p>
          <w:p w14:paraId="27DF9BA3">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（3）出入车辆100%冲洗</w:t>
            </w:r>
          </w:p>
          <w:p w14:paraId="14CC8BC9">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施工期车辆清洗依托现有车辆冲洗平台，配备高压冲洗设备或设置自动冲洗台，清洗废水经现有三级沉淀池处理后回用；应配备保洁员负责车辆、进出道路的冲洗、清扫和保洁工作。</w:t>
            </w:r>
          </w:p>
          <w:p w14:paraId="27A3947A">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（4）施工现场地面100%硬化</w:t>
            </w:r>
          </w:p>
          <w:p w14:paraId="5E569676">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施工现场出入口、操作场地、材料堆场、生活区、场内道路等应采取铺设钢板、水泥混凝土、沥青混凝土或焦渣、细石或其它功能相当的材料进行硬化，并辅以洒水、喷洒抑尘剂等其他有效的防尘措施，保证不扬尘、不泥泞；场地硬化的强度、厚度、宽度应满足安全通行卫生保洁的需要。</w:t>
            </w:r>
          </w:p>
          <w:p w14:paraId="6BAF9496">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（5）渣土车辆100%密闭运输</w:t>
            </w:r>
          </w:p>
          <w:p w14:paraId="60338B2B">
            <w:pPr>
              <w:keepNext w:val="0"/>
              <w:keepLines w:val="0"/>
              <w:pageBreakBefore w:val="0"/>
              <w:widowControl w:val="0"/>
              <w:kinsoku/>
              <w:wordWrap/>
              <w:overflowPunct/>
              <w:autoSpaceDE/>
              <w:autoSpaceDN/>
              <w:bidi w:val="0"/>
              <w:spacing w:before="0" w:beforeLines="0" w:line="360" w:lineRule="auto"/>
              <w:ind w:firstLine="480" w:firstLineChars="200"/>
              <w:jc w:val="both"/>
              <w:textAlignment w:val="auto"/>
              <w:rPr>
                <w:rFonts w:hint="default" w:ascii="Times New Roman" w:hAnsi="Times New Roman" w:eastAsia="宋体" w:cs="Times New Roman"/>
                <w:snapToGrid w:val="0"/>
                <w:color w:val="auto"/>
                <w:kern w:val="0"/>
                <w:sz w:val="24"/>
                <w:szCs w:val="24"/>
                <w:lang w:val="en-US" w:eastAsia="zh-CN" w:bidi="ar-SA"/>
              </w:rPr>
            </w:pPr>
            <w:r>
              <w:rPr>
                <w:rFonts w:hint="default" w:ascii="Times New Roman" w:hAnsi="Times New Roman" w:eastAsia="宋体" w:cs="Times New Roman"/>
                <w:snapToGrid w:val="0"/>
                <w:color w:val="auto"/>
                <w:kern w:val="0"/>
                <w:sz w:val="24"/>
                <w:szCs w:val="24"/>
                <w:lang w:val="en-US" w:eastAsia="zh-CN" w:bidi="ar-SA"/>
              </w:rPr>
              <w:t>进出工地车辆应采取密闭车斗，并保证物料不遗撒外漏。若无密闭车斗，物料、垃圾、渣土的装载与车厢持平，不得超高；车斗应用苫布盖严、捆实，车厢左右侧各三竖道，车后十字交叉并收紧，保证物料、垃圾、渣土等不露出、不遗撒。</w:t>
            </w:r>
          </w:p>
          <w:p w14:paraId="3E5C05BA">
            <w:pPr>
              <w:keepNext w:val="0"/>
              <w:keepLines w:val="0"/>
              <w:pageBreakBefore w:val="0"/>
              <w:widowControl w:val="0"/>
              <w:kinsoku/>
              <w:wordWrap/>
              <w:overflowPunct/>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另外，针对施工机械燃油废气，施工单位应做好机械的维护、保养工作，避免油料在柴油机内不完全燃烧而产生大量的黑烟；对运输车辆禁止超载、不得使用劣质燃料；对车辆的尾气排放进行监督管理，严格执行汽车排污监管办法、汽车排放监测制度。</w:t>
            </w:r>
          </w:p>
          <w:p w14:paraId="2D6809C2">
            <w:pPr>
              <w:keepNext w:val="0"/>
              <w:keepLines w:val="0"/>
              <w:pageBreakBefore w:val="0"/>
              <w:widowControl w:val="0"/>
              <w:kinsoku/>
              <w:wordWrap/>
              <w:overflowPunct/>
              <w:autoSpaceDE/>
              <w:autoSpaceDN/>
              <w:bidi w:val="0"/>
              <w:spacing w:after="0" w:line="360" w:lineRule="auto"/>
              <w:ind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综上，经采用上述施工废气污染防治措施后，项目施工期废气对区域的大气环境影响较小。另外，项目施工期是偶然的、短暂的，其不利影响会随着施工期的结束而消失。</w:t>
            </w:r>
          </w:p>
          <w:p w14:paraId="11FF8D94">
            <w:pPr>
              <w:keepNext w:val="0"/>
              <w:keepLines w:val="0"/>
              <w:pageBreakBefore w:val="0"/>
              <w:widowControl w:val="0"/>
              <w:kinsoku/>
              <w:wordWrap/>
              <w:overflowPunct/>
              <w:autoSpaceDE/>
              <w:autoSpaceDN/>
              <w:bidi w:val="0"/>
              <w:snapToGrid w:val="0"/>
              <w:spacing w:line="360" w:lineRule="auto"/>
              <w:ind w:firstLine="482"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2、施工期水环境保护措施</w:t>
            </w:r>
          </w:p>
          <w:p w14:paraId="1303699F">
            <w:pPr>
              <w:keepNext w:val="0"/>
              <w:keepLines w:val="0"/>
              <w:pageBreakBefore w:val="0"/>
              <w:widowControl w:val="0"/>
              <w:kinsoku/>
              <w:wordWrap/>
              <w:overflowPunct/>
              <w:autoSpaceDE/>
              <w:autoSpaceDN/>
              <w:bidi w:val="0"/>
              <w:snapToGrid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本项目</w:t>
            </w:r>
            <w:r>
              <w:rPr>
                <w:rFonts w:hint="default" w:ascii="Times New Roman" w:hAnsi="Times New Roman" w:eastAsia="宋体" w:cs="Times New Roman"/>
                <w:color w:val="auto"/>
                <w:sz w:val="24"/>
                <w:szCs w:val="24"/>
              </w:rPr>
              <w:t>施工废水主要是施工人员的日常生活污水和建筑施工作业废水。</w:t>
            </w:r>
          </w:p>
          <w:p w14:paraId="146B3859">
            <w:pPr>
              <w:keepNext w:val="0"/>
              <w:keepLines w:val="0"/>
              <w:pageBreakBefore w:val="0"/>
              <w:widowControl w:val="0"/>
              <w:kinsoku/>
              <w:wordWrap/>
              <w:overflowPunct/>
              <w:autoSpaceDE/>
              <w:autoSpaceDN/>
              <w:bidi w:val="0"/>
              <w:snapToGrid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本项目</w:t>
            </w:r>
            <w:r>
              <w:rPr>
                <w:rFonts w:hint="default" w:ascii="Times New Roman" w:hAnsi="Times New Roman" w:eastAsia="宋体" w:cs="Times New Roman"/>
                <w:color w:val="auto"/>
                <w:sz w:val="24"/>
                <w:szCs w:val="24"/>
              </w:rPr>
              <w:t>施工人员不在施工工地食宿，人员生活污水主要污染因子为COD、BOD</w:t>
            </w:r>
            <w:r>
              <w:rPr>
                <w:rFonts w:hint="default" w:ascii="Times New Roman" w:hAnsi="Times New Roman" w:eastAsia="宋体" w:cs="Times New Roman"/>
                <w:color w:val="auto"/>
                <w:sz w:val="24"/>
                <w:szCs w:val="24"/>
                <w:vertAlign w:val="subscript"/>
              </w:rPr>
              <w:t>5</w:t>
            </w:r>
            <w:r>
              <w:rPr>
                <w:rFonts w:hint="default" w:ascii="Times New Roman" w:hAnsi="Times New Roman" w:eastAsia="宋体" w:cs="Times New Roman"/>
                <w:color w:val="auto"/>
                <w:sz w:val="24"/>
                <w:szCs w:val="24"/>
              </w:rPr>
              <w:t>、NH</w:t>
            </w:r>
            <w:r>
              <w:rPr>
                <w:rFonts w:hint="default" w:ascii="Times New Roman" w:hAnsi="Times New Roman" w:eastAsia="宋体" w:cs="Times New Roman"/>
                <w:color w:val="auto"/>
                <w:sz w:val="24"/>
                <w:szCs w:val="24"/>
                <w:vertAlign w:val="subscript"/>
              </w:rPr>
              <w:t>3</w:t>
            </w:r>
            <w:r>
              <w:rPr>
                <w:rFonts w:hint="default" w:ascii="Times New Roman" w:hAnsi="Times New Roman" w:eastAsia="宋体" w:cs="Times New Roman"/>
                <w:color w:val="auto"/>
                <w:sz w:val="24"/>
                <w:szCs w:val="24"/>
              </w:rPr>
              <w:t>-N和SS等；建筑施工废水主要污染因子为SS。施工人员生活污水量不大，</w:t>
            </w:r>
            <w:r>
              <w:rPr>
                <w:rFonts w:hint="default" w:ascii="Times New Roman" w:hAnsi="Times New Roman" w:eastAsia="宋体" w:cs="Times New Roman"/>
                <w:color w:val="auto"/>
                <w:sz w:val="24"/>
                <w:szCs w:val="24"/>
                <w:lang w:eastAsia="zh-CN"/>
              </w:rPr>
              <w:t>自建化粪池处理后排入市政污水管网</w:t>
            </w:r>
            <w:r>
              <w:rPr>
                <w:rFonts w:hint="default" w:ascii="Times New Roman" w:hAnsi="Times New Roman" w:eastAsia="宋体" w:cs="Times New Roman"/>
                <w:color w:val="auto"/>
                <w:sz w:val="24"/>
                <w:szCs w:val="24"/>
              </w:rPr>
              <w:t>。施工场地设置施工作业废水收集沉淀池，建筑施工废水经收集沉淀后回用，不外排。</w:t>
            </w:r>
          </w:p>
          <w:p w14:paraId="326300F4">
            <w:pPr>
              <w:keepNext w:val="0"/>
              <w:keepLines w:val="0"/>
              <w:pageBreakBefore w:val="0"/>
              <w:widowControl w:val="0"/>
              <w:kinsoku/>
              <w:wordWrap/>
              <w:overflowPunct/>
              <w:autoSpaceDE/>
              <w:autoSpaceDN/>
              <w:bidi w:val="0"/>
              <w:snapToGrid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综上，经采用上述施工废水污染防治措施后，项目施工废水对区域的地表水环境无影响。</w:t>
            </w:r>
          </w:p>
          <w:p w14:paraId="347BE47B">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3、施工期声环境保护措施</w:t>
            </w:r>
          </w:p>
          <w:p w14:paraId="57F457D4">
            <w:pPr>
              <w:keepNext w:val="0"/>
              <w:keepLines w:val="0"/>
              <w:pageBreakBefore w:val="0"/>
              <w:widowControl w:val="0"/>
              <w:kinsoku/>
              <w:wordWrap/>
              <w:overflowPunct/>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施工噪声主要是各类机械设备噪声及物料运输的交通噪声，其主要来源包括施工现场的各类机械设备和物料运输的交通车辆等。</w:t>
            </w:r>
          </w:p>
          <w:p w14:paraId="0666020B">
            <w:pPr>
              <w:keepNext w:val="0"/>
              <w:keepLines w:val="0"/>
              <w:pageBreakBefore w:val="0"/>
              <w:widowControl w:val="0"/>
              <w:kinsoku/>
              <w:wordWrap/>
              <w:overflowPunct/>
              <w:topLine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为了防治并减少施工噪声的影响，减少建议采取以下控制措施：</w:t>
            </w:r>
          </w:p>
          <w:p w14:paraId="168E381A">
            <w:pPr>
              <w:keepNext w:val="0"/>
              <w:keepLines w:val="0"/>
              <w:pageBreakBefore w:val="0"/>
              <w:widowControl w:val="0"/>
              <w:kinsoku/>
              <w:wordWrap/>
              <w:overflowPunct/>
              <w:autoSpaceDE/>
              <w:autoSpaceDN/>
              <w:bidi w:val="0"/>
              <w:spacing w:line="360" w:lineRule="auto"/>
              <w:ind w:firstLine="468" w:firstLineChars="195"/>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28"/>
                <w:sz w:val="24"/>
                <w:szCs w:val="24"/>
              </w:rPr>
              <w:t>（1）</w:t>
            </w:r>
            <w:r>
              <w:rPr>
                <w:rFonts w:hint="default" w:ascii="Times New Roman" w:hAnsi="Times New Roman" w:eastAsia="宋体" w:cs="Times New Roman"/>
                <w:color w:val="auto"/>
                <w:sz w:val="24"/>
                <w:szCs w:val="24"/>
              </w:rPr>
              <w:t>施工机械选型时尽量选用可替代的低噪声的设备；对动力机械设备进行定期的维修、养护，避免设备因松动部件的振动或消声器的损坏而增加其工作时的声压级；设备用完后或不用时应立即关闭。</w:t>
            </w:r>
          </w:p>
          <w:p w14:paraId="197E1115">
            <w:pPr>
              <w:keepNext w:val="0"/>
              <w:keepLines w:val="0"/>
              <w:pageBreakBefore w:val="0"/>
              <w:widowControl w:val="0"/>
              <w:kinsoku/>
              <w:wordWrap/>
              <w:overflowPunct/>
              <w:autoSpaceDE/>
              <w:autoSpaceDN/>
              <w:bidi w:val="0"/>
              <w:spacing w:line="360" w:lineRule="auto"/>
              <w:ind w:firstLine="468" w:firstLineChars="195"/>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28"/>
                <w:sz w:val="24"/>
                <w:szCs w:val="24"/>
              </w:rPr>
              <w:t>（2）</w:t>
            </w:r>
            <w:r>
              <w:rPr>
                <w:rFonts w:hint="default" w:ascii="Times New Roman" w:hAnsi="Times New Roman" w:eastAsia="宋体" w:cs="Times New Roman"/>
                <w:color w:val="auto"/>
                <w:sz w:val="24"/>
                <w:szCs w:val="24"/>
              </w:rPr>
              <w:t>项目施工过程中应尽可能将产生高噪声的作业点布置于远离周围居民的位置；避免在同一地点安排大量动力机械设备，以避免局部累积声级过高；将高噪声设备置于有隔声效果的工棚、消声屏障中使用。</w:t>
            </w:r>
          </w:p>
          <w:p w14:paraId="52D01DD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28"/>
                <w:sz w:val="24"/>
                <w:szCs w:val="24"/>
              </w:rPr>
              <w:t>（3）</w:t>
            </w:r>
            <w:r>
              <w:rPr>
                <w:rFonts w:hint="default" w:ascii="Times New Roman" w:hAnsi="Times New Roman" w:eastAsia="宋体" w:cs="Times New Roman"/>
                <w:color w:val="auto"/>
                <w:sz w:val="24"/>
                <w:szCs w:val="24"/>
              </w:rPr>
              <w:t>合理安排施工工序，尽量缩短施工周期。</w:t>
            </w:r>
            <w:r>
              <w:rPr>
                <w:rFonts w:hint="default" w:ascii="Times New Roman" w:hAnsi="Times New Roman" w:eastAsia="宋体" w:cs="Times New Roman"/>
                <w:color w:val="auto"/>
                <w:kern w:val="28"/>
                <w:sz w:val="24"/>
                <w:szCs w:val="24"/>
              </w:rPr>
              <w:t>施工现场合理布局，尽可能将施工机械布置在施工地块的中央，以避免局部声级过高。</w:t>
            </w:r>
          </w:p>
          <w:p w14:paraId="4F32C0E3">
            <w:pPr>
              <w:keepNext w:val="0"/>
              <w:keepLines w:val="0"/>
              <w:pageBreakBefore w:val="0"/>
              <w:widowControl w:val="0"/>
              <w:kinsoku/>
              <w:wordWrap/>
              <w:overflowPunct/>
              <w:topLinePunct/>
              <w:autoSpaceDE/>
              <w:autoSpaceDN/>
              <w:bidi w:val="0"/>
              <w:spacing w:line="360" w:lineRule="auto"/>
              <w:ind w:firstLine="482"/>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4</w:t>
            </w:r>
            <w:r>
              <w:rPr>
                <w:rFonts w:hint="default" w:ascii="Times New Roman" w:hAnsi="Times New Roman" w:eastAsia="宋体" w:cs="Times New Roman"/>
                <w:color w:val="auto"/>
                <w:sz w:val="24"/>
                <w:szCs w:val="24"/>
              </w:rPr>
              <w:t>）施工中采用低噪声的施工方法，并应尽量使用低噪声新技术，如改变垂直振打为螺旋、静压、喷注式打桩机新技术，如减少同时作业的高噪施工机械数量，从而尽可能减轻声源叠加影响。</w:t>
            </w:r>
          </w:p>
          <w:p w14:paraId="29859AAE">
            <w:pPr>
              <w:keepNext w:val="0"/>
              <w:keepLines w:val="0"/>
              <w:pageBreakBefore w:val="0"/>
              <w:widowControl w:val="0"/>
              <w:kinsoku/>
              <w:wordWrap/>
              <w:overflowPunct/>
              <w:topLine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）严格执行</w:t>
            </w:r>
            <w:r>
              <w:rPr>
                <w:rFonts w:hint="default" w:ascii="Times New Roman" w:hAnsi="Times New Roman" w:eastAsia="宋体" w:cs="Times New Roman"/>
                <w:color w:val="auto"/>
                <w:sz w:val="24"/>
                <w:szCs w:val="24"/>
                <w:lang w:eastAsia="zh-CN"/>
              </w:rPr>
              <w:t>《建筑施工噪声排放标准》（GB12523-2025）</w:t>
            </w:r>
            <w:r>
              <w:rPr>
                <w:rFonts w:hint="default" w:ascii="Times New Roman" w:hAnsi="Times New Roman" w:eastAsia="宋体" w:cs="Times New Roman"/>
                <w:color w:val="auto"/>
                <w:sz w:val="24"/>
                <w:szCs w:val="24"/>
              </w:rPr>
              <w:t>和有关建筑施工噪声管理的规定，避免施工扰民事件的发生。</w:t>
            </w:r>
          </w:p>
          <w:p w14:paraId="2503A78D">
            <w:pPr>
              <w:keepNext w:val="0"/>
              <w:keepLines w:val="0"/>
              <w:pageBreakBefore w:val="0"/>
              <w:widowControl w:val="0"/>
              <w:kinsoku/>
              <w:wordWrap/>
              <w:overflowPunct/>
              <w:autoSpaceDE/>
              <w:autoSpaceDN/>
              <w:bidi w:val="0"/>
              <w:spacing w:after="0" w:line="360" w:lineRule="auto"/>
              <w:ind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综上，经采用上述施工噪声防治措施后，项目施工期噪声对区域的声环境影响较小。另外，项目施工期是偶然的、短暂的，其不利影响会随着施工期的结束而消失。</w:t>
            </w:r>
          </w:p>
          <w:p w14:paraId="5FD1D3DA">
            <w:pPr>
              <w:keepNext w:val="0"/>
              <w:keepLines w:val="0"/>
              <w:pageBreakBefore w:val="0"/>
              <w:widowControl w:val="0"/>
              <w:kinsoku/>
              <w:wordWrap/>
              <w:overflowPunct/>
              <w:autoSpaceDE/>
              <w:autoSpaceDN/>
              <w:bidi w:val="0"/>
              <w:spacing w:line="360" w:lineRule="auto"/>
              <w:ind w:firstLine="482"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4、施工期固体废弃物防治措施</w:t>
            </w:r>
          </w:p>
          <w:p w14:paraId="3E16E359">
            <w:pPr>
              <w:keepNext w:val="0"/>
              <w:keepLines w:val="0"/>
              <w:pageBreakBefore w:val="0"/>
              <w:widowControl w:val="0"/>
              <w:kinsoku/>
              <w:wordWrap/>
              <w:overflow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本项目</w:t>
            </w:r>
            <w:r>
              <w:rPr>
                <w:rFonts w:hint="default" w:ascii="Times New Roman" w:hAnsi="Times New Roman" w:eastAsia="宋体" w:cs="Times New Roman"/>
                <w:color w:val="auto"/>
                <w:sz w:val="24"/>
                <w:szCs w:val="24"/>
              </w:rPr>
              <w:t>施工期的固体废物主要为施工过程中产生的施工建筑垃圾和施工人员的生活垃圾等。</w:t>
            </w:r>
          </w:p>
          <w:p w14:paraId="4CD55A83">
            <w:pPr>
              <w:keepNext w:val="0"/>
              <w:keepLines w:val="0"/>
              <w:pageBreakBefore w:val="0"/>
              <w:widowControl w:val="0"/>
              <w:kinsoku/>
              <w:wordWrap/>
              <w:overflow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项目施工过程中，施工建筑垃圾主要是废渣土、废混凝土、废</w:t>
            </w:r>
            <w:r>
              <w:rPr>
                <w:rFonts w:hint="default" w:ascii="Times New Roman" w:hAnsi="Times New Roman" w:eastAsia="宋体" w:cs="Times New Roman"/>
                <w:color w:val="auto"/>
                <w:sz w:val="24"/>
                <w:szCs w:val="24"/>
                <w:lang w:eastAsia="zh-CN"/>
              </w:rPr>
              <w:t>砂石</w:t>
            </w:r>
            <w:r>
              <w:rPr>
                <w:rFonts w:hint="default" w:ascii="Times New Roman" w:hAnsi="Times New Roman" w:eastAsia="宋体" w:cs="Times New Roman"/>
                <w:color w:val="auto"/>
                <w:sz w:val="24"/>
                <w:szCs w:val="24"/>
              </w:rPr>
              <w:t>、钢筋头、废木料等，其中废钢筋头、废木料等约占20%，全部回收利用，剩余建筑垃圾部分按照有关规定运至市政指定地点堆放，施工挖掘产生的废土方（渣土）由施工单位或承建单位和市容局渣土办联系外运；施工人员生活垃圾经统一收集后，委托当地环卫部门及时清运、集中处置。施工渣土运输过程中严格执行有关条例和规定，渣土运输车辆应在规定的时间和规定的路线进出施工场地，沿途应注意保持道路的清洁，应尽量减少装土过满、车辆颠簸等造成的渣土倾</w:t>
            </w:r>
            <w:r>
              <w:rPr>
                <w:rFonts w:hint="default" w:ascii="Times New Roman" w:hAnsi="Times New Roman" w:eastAsia="宋体" w:cs="Times New Roman"/>
                <w:color w:val="auto"/>
                <w:sz w:val="24"/>
                <w:szCs w:val="24"/>
                <w:lang w:eastAsia="zh-CN"/>
              </w:rPr>
              <w:t>洒</w:t>
            </w:r>
            <w:r>
              <w:rPr>
                <w:rFonts w:hint="default" w:ascii="Times New Roman" w:hAnsi="Times New Roman" w:eastAsia="宋体" w:cs="Times New Roman"/>
                <w:color w:val="auto"/>
                <w:sz w:val="24"/>
                <w:szCs w:val="24"/>
              </w:rPr>
              <w:t>。</w:t>
            </w:r>
          </w:p>
          <w:p w14:paraId="4FDDD884">
            <w:pPr>
              <w:keepNext w:val="0"/>
              <w:keepLines w:val="0"/>
              <w:pageBreakBefore w:val="0"/>
              <w:widowControl w:val="0"/>
              <w:kinsoku/>
              <w:wordWrap/>
              <w:overflow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综上，施工期的固体废物均得到了有效处理处置，不会对周围环境产生影响。</w:t>
            </w:r>
          </w:p>
          <w:p w14:paraId="69552A60">
            <w:pPr>
              <w:keepNext w:val="0"/>
              <w:keepLines w:val="0"/>
              <w:pageBreakBefore w:val="0"/>
              <w:widowControl w:val="0"/>
              <w:numPr>
                <w:ilvl w:val="0"/>
                <w:numId w:val="7"/>
              </w:numPr>
              <w:kinsoku/>
              <w:wordWrap/>
              <w:overflowPunct/>
              <w:autoSpaceDE/>
              <w:autoSpaceDN/>
              <w:bidi w:val="0"/>
              <w:spacing w:line="360" w:lineRule="auto"/>
              <w:ind w:firstLine="482"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施工期生态环境保护措施</w:t>
            </w:r>
          </w:p>
          <w:p w14:paraId="5E3604E8">
            <w:pPr>
              <w:keepNext w:val="0"/>
              <w:keepLines w:val="0"/>
              <w:pageBreakBefore w:val="0"/>
              <w:widowControl w:val="0"/>
              <w:numPr>
                <w:ilvl w:val="0"/>
                <w:numId w:val="0"/>
              </w:numPr>
              <w:kinsoku/>
              <w:wordWrap/>
              <w:overflowPunct/>
              <w:autoSpaceDE/>
              <w:autoSpaceDN/>
              <w:bidi w:val="0"/>
              <w:spacing w:line="360" w:lineRule="auto"/>
              <w:ind w:firstLine="48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sz w:val="24"/>
                <w:szCs w:val="24"/>
              </w:rPr>
              <w:t>为防止和尽量减少施工期产生的水土流失，施工单位应采取的</w:t>
            </w:r>
            <w:r>
              <w:rPr>
                <w:rFonts w:hint="default" w:ascii="Times New Roman" w:hAnsi="Times New Roman" w:eastAsia="宋体" w:cs="Times New Roman"/>
                <w:bCs/>
                <w:color w:val="auto"/>
                <w:sz w:val="24"/>
                <w:szCs w:val="24"/>
              </w:rPr>
              <w:t>水土保持措施有</w:t>
            </w:r>
            <w:r>
              <w:rPr>
                <w:rFonts w:hint="default" w:ascii="Times New Roman" w:hAnsi="Times New Roman" w:eastAsia="宋体" w:cs="Times New Roman"/>
                <w:bCs/>
                <w:color w:val="auto"/>
                <w:kern w:val="2"/>
                <w:sz w:val="24"/>
                <w:szCs w:val="24"/>
              </w:rPr>
              <w:t>工程措施</w:t>
            </w:r>
            <w:r>
              <w:rPr>
                <w:rFonts w:hint="default" w:ascii="Times New Roman" w:hAnsi="Times New Roman" w:eastAsia="宋体" w:cs="Times New Roman"/>
                <w:bCs/>
                <w:color w:val="auto"/>
                <w:sz w:val="24"/>
                <w:szCs w:val="24"/>
              </w:rPr>
              <w:t>、植物措施、土地整治措施、临时防护措施和管理措施等五种。项目施工期生态环境保护措施如下：</w:t>
            </w:r>
          </w:p>
          <w:p w14:paraId="130AB703">
            <w:pPr>
              <w:keepNext w:val="0"/>
              <w:keepLines w:val="0"/>
              <w:pageBreakBefore w:val="0"/>
              <w:widowControl w:val="0"/>
              <w:numPr>
                <w:ilvl w:val="0"/>
                <w:numId w:val="8"/>
              </w:numPr>
              <w:kinsoku/>
              <w:wordWrap/>
              <w:overflowPunct/>
              <w:autoSpaceDE/>
              <w:autoSpaceDN/>
              <w:bidi w:val="0"/>
              <w:spacing w:line="360" w:lineRule="auto"/>
              <w:ind w:firstLine="48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工程措施：在临时弃土场等重点水土流失防治地段，采取工程措施防治水土流失，工程措施主要包括挡土墙、排水工程、蓄水工程等。</w:t>
            </w:r>
          </w:p>
          <w:p w14:paraId="455D57C6">
            <w:pPr>
              <w:keepNext w:val="0"/>
              <w:keepLines w:val="0"/>
              <w:pageBreakBefore w:val="0"/>
              <w:widowControl w:val="0"/>
              <w:numPr>
                <w:ilvl w:val="0"/>
                <w:numId w:val="0"/>
              </w:numPr>
              <w:kinsoku/>
              <w:wordWrap/>
              <w:overflow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Cs/>
                <w:color w:val="auto"/>
                <w:sz w:val="24"/>
                <w:szCs w:val="24"/>
              </w:rPr>
              <w:t>（2）植物措施：</w:t>
            </w:r>
            <w:r>
              <w:rPr>
                <w:rFonts w:hint="default" w:ascii="Times New Roman" w:hAnsi="Times New Roman" w:eastAsia="宋体" w:cs="Times New Roman"/>
                <w:color w:val="auto"/>
                <w:sz w:val="24"/>
                <w:szCs w:val="24"/>
              </w:rPr>
              <w:t>对工程完工后被规划为绿地的弃土区、堆料区，先行土地整治，然后种植林草，保持水土。</w:t>
            </w:r>
          </w:p>
          <w:p w14:paraId="2950CE3B">
            <w:pPr>
              <w:keepNext w:val="0"/>
              <w:keepLines w:val="0"/>
              <w:pageBreakBefore w:val="0"/>
              <w:widowControl w:val="0"/>
              <w:kinsoku/>
              <w:wordWrap/>
              <w:overflow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（3）土地整治措施：对弃土场、堆料场等临时占地终止使用时，应实施土地平整和覆土等土地整治措施，恢复原土地类型，或种植林草，保持水土。</w:t>
            </w:r>
          </w:p>
          <w:p w14:paraId="6779BA72">
            <w:pPr>
              <w:keepNext w:val="0"/>
              <w:keepLines w:val="0"/>
              <w:pageBreakBefore w:val="0"/>
              <w:widowControl w:val="0"/>
              <w:kinsoku/>
              <w:wordWrap/>
              <w:overflow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临时措施：临时弃土场等需采取措施防治水土保持。特别是汛期施工时，需采取必要的裸露面覆盖、排水、挡护、沟道清淤等临时措施。考虑临时工程的短时效性，一般选择简单、有效、易行且投资少的工程措施。工程施工中的临时堆放一般采用覆盖遮蔽物、修建拦水埂等。</w:t>
            </w:r>
          </w:p>
          <w:p w14:paraId="4007A27E">
            <w:pPr>
              <w:keepNext w:val="0"/>
              <w:keepLines w:val="0"/>
              <w:pageBreakBefore w:val="0"/>
              <w:widowControl w:val="0"/>
              <w:kinsoku/>
              <w:wordWrap/>
              <w:overflowPunct/>
              <w:autoSpaceDE/>
              <w:autoSpaceDN/>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管理措施：水土保持工程的施工时序是否合理，施工期间是否设置临时防护措施，措施设置是否适宜等，对其防治效果具有较大影响。据此，管理措施应作为一项重要的水土保持措施，单独加以说明。主体工程施工中应先修建拦挡措施后，再行填筑；弃土场应</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先挡后弃</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，并考虑弃土的合理排放，减少弃土临时占地；运输土石料的车辆应实行遮盖，工程施工中应落实水土保持监督、监理和监测工作，保证水土保持措施能真正有效地落到实处。</w:t>
            </w:r>
          </w:p>
          <w:p w14:paraId="6B3E98DA">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sz w:val="24"/>
                <w:szCs w:val="24"/>
              </w:rPr>
              <w:t>综上可知，经过以上措施的建设和方案的实施，可有效控制水土流失，将项目施工期的生态环境影响降到最小。</w:t>
            </w:r>
          </w:p>
          <w:p w14:paraId="6F58C1FF">
            <w:pPr>
              <w:pStyle w:val="12"/>
              <w:rPr>
                <w:rFonts w:hint="default" w:ascii="Times New Roman" w:hAnsi="Times New Roman" w:eastAsia="宋体" w:cs="Times New Roman"/>
                <w:color w:val="auto"/>
                <w:lang w:eastAsia="zh-CN"/>
              </w:rPr>
            </w:pPr>
          </w:p>
          <w:p w14:paraId="736D947F">
            <w:pPr>
              <w:pStyle w:val="42"/>
              <w:rPr>
                <w:rFonts w:hint="default" w:ascii="Times New Roman" w:hAnsi="Times New Roman" w:eastAsia="宋体" w:cs="Times New Roman"/>
                <w:color w:val="auto"/>
              </w:rPr>
            </w:pPr>
          </w:p>
          <w:p w14:paraId="6BCF69A0">
            <w:pPr>
              <w:rPr>
                <w:rFonts w:hint="default" w:ascii="Times New Roman" w:hAnsi="Times New Roman" w:eastAsia="宋体" w:cs="Times New Roman"/>
                <w:color w:val="auto"/>
              </w:rPr>
            </w:pPr>
          </w:p>
          <w:p w14:paraId="0969E718">
            <w:pPr>
              <w:pStyle w:val="12"/>
              <w:rPr>
                <w:rFonts w:hint="default" w:ascii="Times New Roman" w:hAnsi="Times New Roman" w:eastAsia="宋体" w:cs="Times New Roman"/>
                <w:color w:val="auto"/>
              </w:rPr>
            </w:pPr>
          </w:p>
          <w:p w14:paraId="76392101">
            <w:pPr>
              <w:pStyle w:val="42"/>
              <w:rPr>
                <w:rFonts w:hint="default" w:ascii="Times New Roman" w:hAnsi="Times New Roman" w:eastAsia="宋体" w:cs="Times New Roman"/>
                <w:color w:val="auto"/>
              </w:rPr>
            </w:pPr>
          </w:p>
          <w:p w14:paraId="191EAC26">
            <w:pPr>
              <w:rPr>
                <w:rFonts w:hint="default" w:ascii="Times New Roman" w:hAnsi="Times New Roman" w:eastAsia="宋体" w:cs="Times New Roman"/>
                <w:color w:val="auto"/>
              </w:rPr>
            </w:pPr>
          </w:p>
          <w:p w14:paraId="0788FDC4">
            <w:pPr>
              <w:rPr>
                <w:rFonts w:hint="default" w:ascii="Times New Roman" w:hAnsi="Times New Roman" w:eastAsia="宋体" w:cs="Times New Roman"/>
                <w:color w:val="auto"/>
              </w:rPr>
            </w:pPr>
          </w:p>
          <w:p w14:paraId="4585FA2B">
            <w:pPr>
              <w:pStyle w:val="12"/>
              <w:rPr>
                <w:rFonts w:hint="default" w:ascii="Times New Roman" w:hAnsi="Times New Roman" w:eastAsia="宋体" w:cs="Times New Roman"/>
                <w:color w:val="auto"/>
              </w:rPr>
            </w:pPr>
          </w:p>
          <w:p w14:paraId="14BF2853">
            <w:pPr>
              <w:pStyle w:val="42"/>
              <w:rPr>
                <w:rFonts w:hint="default" w:ascii="Times New Roman" w:hAnsi="Times New Roman" w:eastAsia="宋体" w:cs="Times New Roman"/>
                <w:color w:val="auto"/>
              </w:rPr>
            </w:pPr>
          </w:p>
          <w:p w14:paraId="7DD81EF3">
            <w:pPr>
              <w:rPr>
                <w:rFonts w:hint="default" w:ascii="Times New Roman" w:hAnsi="Times New Roman" w:eastAsia="宋体" w:cs="Times New Roman"/>
                <w:color w:val="auto"/>
              </w:rPr>
            </w:pPr>
          </w:p>
        </w:tc>
      </w:tr>
    </w:tbl>
    <w:p w14:paraId="078DF7FB">
      <w:pPr>
        <w:adjustRightInd w:val="0"/>
        <w:snapToGrid w:val="0"/>
        <w:spacing w:line="240" w:lineRule="auto"/>
        <w:ind w:firstLine="0" w:firstLineChars="0"/>
        <w:jc w:val="center"/>
        <w:rPr>
          <w:bCs/>
          <w:color w:val="auto"/>
          <w:szCs w:val="21"/>
        </w:rPr>
        <w:sectPr>
          <w:pgSz w:w="11907" w:h="16840"/>
          <w:pgMar w:top="1587" w:right="1417" w:bottom="1587" w:left="1417" w:header="851" w:footer="851" w:gutter="0"/>
          <w:pgBorders>
            <w:top w:val="none" w:sz="0" w:space="0"/>
            <w:left w:val="none" w:sz="0" w:space="0"/>
            <w:bottom w:val="none" w:sz="0" w:space="0"/>
            <w:right w:val="none" w:sz="0" w:space="0"/>
          </w:pgBorders>
          <w:cols w:space="720" w:num="1"/>
          <w:docGrid w:linePitch="312" w:charSpace="0"/>
        </w:sect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12950"/>
      </w:tblGrid>
      <w:tr w14:paraId="7BEF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0" w:hRule="atLeast"/>
        </w:trPr>
        <w:tc>
          <w:tcPr>
            <w:tcW w:w="506" w:type="dxa"/>
            <w:vAlign w:val="center"/>
          </w:tcPr>
          <w:p w14:paraId="211C2548">
            <w:pPr>
              <w:widowControl/>
              <w:snapToGrid w:val="0"/>
              <w:spacing w:before="60" w:after="160" w:line="240" w:lineRule="auto"/>
              <w:ind w:left="0" w:leftChars="0" w:right="113" w:firstLine="0" w:firstLineChars="0"/>
              <w:jc w:val="both"/>
              <w:rPr>
                <w:rFonts w:ascii="Times New Roman" w:hAnsi="Times New Roman" w:eastAsia="宋体" w:cs="Times New Roman"/>
                <w:color w:val="FF0000"/>
                <w:kern w:val="0"/>
                <w:sz w:val="18"/>
                <w:szCs w:val="20"/>
                <w:lang w:val="en-US" w:eastAsia="zh-CN" w:bidi="ar-SA"/>
              </w:rPr>
            </w:pPr>
            <w:r>
              <w:rPr>
                <w:rFonts w:hint="eastAsia" w:ascii="Times New Roman" w:hAnsi="Times New Roman" w:eastAsia="宋体" w:cs="Times New Roman"/>
                <w:color w:val="auto"/>
                <w:kern w:val="0"/>
                <w:sz w:val="24"/>
                <w:szCs w:val="24"/>
                <w:lang w:val="en-US" w:eastAsia="zh-CN" w:bidi="ar-SA"/>
              </w:rPr>
              <w:t>运营期环境影响和保护措施</w:t>
            </w:r>
          </w:p>
        </w:tc>
        <w:tc>
          <w:tcPr>
            <w:tcW w:w="12950" w:type="dxa"/>
          </w:tcPr>
          <w:p w14:paraId="4111615B">
            <w:pPr>
              <w:keepNext/>
              <w:keepLines/>
              <w:spacing w:line="360" w:lineRule="auto"/>
              <w:ind w:firstLine="0" w:firstLineChars="0"/>
              <w:outlineLvl w:val="2"/>
              <w:rPr>
                <w:b/>
                <w:bCs/>
                <w:color w:val="auto"/>
                <w:sz w:val="24"/>
                <w:szCs w:val="32"/>
              </w:rPr>
            </w:pPr>
            <w:r>
              <w:rPr>
                <w:rFonts w:hint="eastAsia"/>
                <w:b/>
                <w:bCs/>
                <w:color w:val="auto"/>
                <w:sz w:val="24"/>
                <w:szCs w:val="32"/>
              </w:rPr>
              <w:t>1、废气环境影响和保护措施</w:t>
            </w:r>
          </w:p>
          <w:p w14:paraId="4FF6B490">
            <w:pPr>
              <w:widowControl/>
              <w:spacing w:line="360" w:lineRule="auto"/>
              <w:ind w:firstLine="480" w:firstLineChars="200"/>
              <w:jc w:val="left"/>
              <w:rPr>
                <w:color w:val="auto"/>
                <w:kern w:val="0"/>
                <w:sz w:val="24"/>
              </w:rPr>
            </w:pPr>
            <w:r>
              <w:rPr>
                <w:rFonts w:hint="eastAsia"/>
                <w:color w:val="auto"/>
                <w:kern w:val="0"/>
                <w:sz w:val="24"/>
              </w:rPr>
              <w:t>本项目废气污染源源强核算结果汇总于下表所示。</w:t>
            </w:r>
          </w:p>
          <w:p w14:paraId="6E2D952E">
            <w:pPr>
              <w:adjustRightInd w:val="0"/>
              <w:snapToGrid w:val="0"/>
              <w:spacing w:line="240" w:lineRule="auto"/>
              <w:ind w:firstLine="0" w:firstLineChars="0"/>
              <w:jc w:val="center"/>
              <w:rPr>
                <w:rFonts w:hint="eastAsia" w:ascii="Times New Roman" w:hAnsi="宋体" w:eastAsia="宋体" w:cs="Times New Roman"/>
                <w:b/>
                <w:color w:val="auto"/>
                <w:sz w:val="24"/>
                <w:szCs w:val="24"/>
              </w:rPr>
            </w:pPr>
            <w:r>
              <w:rPr>
                <w:rFonts w:hint="default" w:ascii="Times New Roman" w:hAnsi="Times New Roman" w:eastAsia="宋体" w:cs="Times New Roman"/>
                <w:b/>
                <w:bCs/>
                <w:color w:val="auto"/>
                <w:sz w:val="21"/>
                <w:szCs w:val="21"/>
              </w:rPr>
              <w:t xml:space="preserve">表4-1 </w:t>
            </w:r>
            <w:r>
              <w:rPr>
                <w:rFonts w:hint="eastAsia" w:ascii="Times New Roman" w:hAnsi="Times New Roman" w:eastAsia="宋体" w:cs="Times New Roman"/>
                <w:b/>
                <w:bCs/>
                <w:color w:val="auto"/>
                <w:sz w:val="21"/>
                <w:szCs w:val="21"/>
              </w:rPr>
              <w:t xml:space="preserve"> 项目废气污染物</w:t>
            </w:r>
            <w:r>
              <w:rPr>
                <w:rFonts w:hint="default" w:ascii="Times New Roman" w:hAnsi="Times New Roman" w:eastAsia="宋体" w:cs="Times New Roman"/>
                <w:b/>
                <w:bCs/>
                <w:color w:val="auto"/>
                <w:sz w:val="21"/>
                <w:szCs w:val="21"/>
              </w:rPr>
              <w:t>产生</w:t>
            </w:r>
            <w:r>
              <w:rPr>
                <w:rFonts w:hint="eastAsia" w:ascii="Times New Roman" w:hAnsi="Times New Roman" w:eastAsia="宋体" w:cs="Times New Roman"/>
                <w:b/>
                <w:bCs/>
                <w:color w:val="auto"/>
                <w:sz w:val="21"/>
                <w:szCs w:val="21"/>
              </w:rPr>
              <w:t>排放</w:t>
            </w:r>
            <w:r>
              <w:rPr>
                <w:rFonts w:hint="default" w:ascii="Times New Roman" w:hAnsi="Times New Roman" w:eastAsia="宋体" w:cs="Times New Roman"/>
                <w:b/>
                <w:bCs/>
                <w:color w:val="auto"/>
                <w:sz w:val="21"/>
                <w:szCs w:val="21"/>
              </w:rPr>
              <w:t>情况一览表</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865"/>
              <w:gridCol w:w="927"/>
              <w:gridCol w:w="914"/>
              <w:gridCol w:w="815"/>
              <w:gridCol w:w="1275"/>
              <w:gridCol w:w="1021"/>
              <w:gridCol w:w="881"/>
              <w:gridCol w:w="1563"/>
              <w:gridCol w:w="725"/>
              <w:gridCol w:w="949"/>
              <w:gridCol w:w="1028"/>
              <w:gridCol w:w="891"/>
            </w:tblGrid>
            <w:tr w14:paraId="1096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340" w:type="pct"/>
                  <w:vMerge w:val="restart"/>
                  <w:noWrap w:val="0"/>
                  <w:vAlign w:val="center"/>
                </w:tcPr>
                <w:p w14:paraId="39F2A876">
                  <w:pPr>
                    <w:spacing w:line="240" w:lineRule="auto"/>
                    <w:ind w:left="-120" w:leftChars="-50" w:right="-120" w:rightChars="-50" w:firstLine="0" w:firstLineChars="0"/>
                    <w:jc w:val="center"/>
                    <w:rPr>
                      <w:rFonts w:hint="default" w:ascii="Times New Roman" w:hAnsi="宋体" w:eastAsia="宋体" w:cs="Times New Roman"/>
                      <w:b/>
                      <w:color w:val="auto"/>
                      <w:sz w:val="21"/>
                      <w:szCs w:val="21"/>
                      <w:lang w:val="en-US" w:eastAsia="zh-CN"/>
                    </w:rPr>
                  </w:pPr>
                  <w:r>
                    <w:rPr>
                      <w:rFonts w:hint="eastAsia" w:hAnsi="宋体" w:cs="Times New Roman"/>
                      <w:b/>
                      <w:color w:val="auto"/>
                      <w:sz w:val="21"/>
                      <w:szCs w:val="21"/>
                      <w:lang w:val="en-US" w:eastAsia="zh-CN"/>
                    </w:rPr>
                    <w:t>生产单元</w:t>
                  </w:r>
                </w:p>
              </w:tc>
              <w:tc>
                <w:tcPr>
                  <w:tcW w:w="340" w:type="pct"/>
                  <w:vMerge w:val="restart"/>
                  <w:noWrap w:val="0"/>
                  <w:vAlign w:val="center"/>
                </w:tcPr>
                <w:p w14:paraId="6000861C">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产排污环节</w:t>
                  </w:r>
                </w:p>
              </w:tc>
              <w:tc>
                <w:tcPr>
                  <w:tcW w:w="364" w:type="pct"/>
                  <w:vMerge w:val="restart"/>
                  <w:noWrap w:val="0"/>
                  <w:vAlign w:val="center"/>
                </w:tcPr>
                <w:p w14:paraId="5D037B8E">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污染物</w:t>
                  </w:r>
                </w:p>
                <w:p w14:paraId="00B182F5">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种类</w:t>
                  </w:r>
                </w:p>
              </w:tc>
              <w:tc>
                <w:tcPr>
                  <w:tcW w:w="359" w:type="pct"/>
                  <w:vMerge w:val="restart"/>
                  <w:noWrap w:val="0"/>
                  <w:vAlign w:val="center"/>
                </w:tcPr>
                <w:p w14:paraId="1DCC876D">
                  <w:pPr>
                    <w:spacing w:line="240" w:lineRule="auto"/>
                    <w:ind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类别</w:t>
                  </w:r>
                </w:p>
              </w:tc>
              <w:tc>
                <w:tcPr>
                  <w:tcW w:w="320" w:type="pct"/>
                  <w:vMerge w:val="restart"/>
                  <w:noWrap w:val="0"/>
                  <w:vAlign w:val="center"/>
                </w:tcPr>
                <w:p w14:paraId="2E10FEB5">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风量</w:t>
                  </w:r>
                </w:p>
                <w:p w14:paraId="08407F5A">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m</w:t>
                  </w:r>
                  <w:r>
                    <w:rPr>
                      <w:rFonts w:hint="eastAsia" w:ascii="Times New Roman" w:hAnsi="宋体" w:eastAsia="宋体" w:cs="Times New Roman"/>
                      <w:b/>
                      <w:color w:val="auto"/>
                      <w:sz w:val="21"/>
                      <w:szCs w:val="21"/>
                      <w:vertAlign w:val="superscript"/>
                    </w:rPr>
                    <w:t>3</w:t>
                  </w:r>
                  <w:r>
                    <w:rPr>
                      <w:rFonts w:hint="eastAsia" w:ascii="Times New Roman" w:hAnsi="宋体" w:eastAsia="宋体" w:cs="Times New Roman"/>
                      <w:b/>
                      <w:color w:val="auto"/>
                      <w:sz w:val="21"/>
                      <w:szCs w:val="21"/>
                    </w:rPr>
                    <w:t>/h</w:t>
                  </w:r>
                </w:p>
              </w:tc>
              <w:tc>
                <w:tcPr>
                  <w:tcW w:w="1248" w:type="pct"/>
                  <w:gridSpan w:val="3"/>
                  <w:noWrap w:val="0"/>
                  <w:vAlign w:val="center"/>
                </w:tcPr>
                <w:p w14:paraId="7DCFB233">
                  <w:pPr>
                    <w:spacing w:line="240" w:lineRule="auto"/>
                    <w:ind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污染物产生情况</w:t>
                  </w:r>
                </w:p>
              </w:tc>
              <w:tc>
                <w:tcPr>
                  <w:tcW w:w="614" w:type="pct"/>
                  <w:vMerge w:val="restart"/>
                  <w:noWrap w:val="0"/>
                  <w:vAlign w:val="center"/>
                </w:tcPr>
                <w:p w14:paraId="099BCD0D">
                  <w:pPr>
                    <w:spacing w:line="240" w:lineRule="auto"/>
                    <w:ind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治理</w:t>
                  </w:r>
                </w:p>
                <w:p w14:paraId="07CEC289">
                  <w:pPr>
                    <w:spacing w:line="240" w:lineRule="auto"/>
                    <w:ind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措施</w:t>
                  </w:r>
                </w:p>
              </w:tc>
              <w:tc>
                <w:tcPr>
                  <w:tcW w:w="285" w:type="pct"/>
                  <w:vMerge w:val="restart"/>
                  <w:noWrap w:val="0"/>
                  <w:vAlign w:val="center"/>
                </w:tcPr>
                <w:p w14:paraId="494F980E">
                  <w:pPr>
                    <w:spacing w:line="240" w:lineRule="auto"/>
                    <w:ind w:left="-120" w:leftChars="-50" w:right="-120" w:rightChars="-50" w:firstLine="0" w:firstLineChars="0"/>
                    <w:jc w:val="center"/>
                    <w:rPr>
                      <w:rFonts w:hint="eastAsia" w:ascii="Times New Roman" w:hAnsi="宋体" w:eastAsia="宋体" w:cs="Times New Roman"/>
                      <w:b/>
                      <w:color w:val="auto"/>
                      <w:sz w:val="21"/>
                      <w:szCs w:val="21"/>
                      <w:lang w:val="en-US" w:eastAsia="zh-CN"/>
                    </w:rPr>
                  </w:pPr>
                  <w:r>
                    <w:rPr>
                      <w:rFonts w:hint="eastAsia" w:ascii="Times New Roman" w:hAnsi="宋体" w:eastAsia="宋体" w:cs="Times New Roman"/>
                      <w:b/>
                      <w:color w:val="auto"/>
                      <w:sz w:val="21"/>
                      <w:szCs w:val="21"/>
                    </w:rPr>
                    <w:t>去除率</w:t>
                  </w:r>
                  <w:r>
                    <w:rPr>
                      <w:rFonts w:hint="eastAsia" w:hAnsi="宋体" w:cs="Times New Roman"/>
                      <w:b/>
                      <w:color w:val="auto"/>
                      <w:sz w:val="21"/>
                      <w:szCs w:val="21"/>
                      <w:lang w:val="en-US" w:eastAsia="zh-CN"/>
                    </w:rPr>
                    <w:t>%</w:t>
                  </w:r>
                </w:p>
              </w:tc>
              <w:tc>
                <w:tcPr>
                  <w:tcW w:w="1127" w:type="pct"/>
                  <w:gridSpan w:val="3"/>
                  <w:noWrap w:val="0"/>
                  <w:vAlign w:val="center"/>
                </w:tcPr>
                <w:p w14:paraId="66C4EBCD">
                  <w:pPr>
                    <w:spacing w:line="240" w:lineRule="auto"/>
                    <w:ind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污染物排放情况</w:t>
                  </w:r>
                </w:p>
              </w:tc>
            </w:tr>
            <w:tr w14:paraId="7480B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340" w:type="pct"/>
                  <w:vMerge w:val="continue"/>
                  <w:noWrap w:val="0"/>
                  <w:vAlign w:val="center"/>
                </w:tcPr>
                <w:p w14:paraId="3D0ECFA0">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p>
              </w:tc>
              <w:tc>
                <w:tcPr>
                  <w:tcW w:w="340" w:type="pct"/>
                  <w:vMerge w:val="continue"/>
                  <w:noWrap w:val="0"/>
                  <w:vAlign w:val="center"/>
                </w:tcPr>
                <w:p w14:paraId="3C4831CD">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p>
              </w:tc>
              <w:tc>
                <w:tcPr>
                  <w:tcW w:w="364" w:type="pct"/>
                  <w:vMerge w:val="continue"/>
                  <w:noWrap w:val="0"/>
                  <w:vAlign w:val="center"/>
                </w:tcPr>
                <w:p w14:paraId="24830427">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p>
              </w:tc>
              <w:tc>
                <w:tcPr>
                  <w:tcW w:w="359" w:type="pct"/>
                  <w:vMerge w:val="continue"/>
                  <w:noWrap w:val="0"/>
                  <w:vAlign w:val="center"/>
                </w:tcPr>
                <w:p w14:paraId="4B6D47C1">
                  <w:pPr>
                    <w:spacing w:line="240" w:lineRule="auto"/>
                    <w:ind w:firstLine="0" w:firstLineChars="0"/>
                    <w:jc w:val="center"/>
                    <w:rPr>
                      <w:rFonts w:hint="eastAsia" w:ascii="Times New Roman" w:hAnsi="宋体" w:eastAsia="宋体" w:cs="Times New Roman"/>
                      <w:b/>
                      <w:color w:val="auto"/>
                      <w:sz w:val="21"/>
                      <w:szCs w:val="21"/>
                    </w:rPr>
                  </w:pPr>
                </w:p>
              </w:tc>
              <w:tc>
                <w:tcPr>
                  <w:tcW w:w="320" w:type="pct"/>
                  <w:vMerge w:val="continue"/>
                  <w:noWrap w:val="0"/>
                  <w:vAlign w:val="center"/>
                </w:tcPr>
                <w:p w14:paraId="15180F60">
                  <w:pPr>
                    <w:spacing w:line="240" w:lineRule="auto"/>
                    <w:ind w:firstLine="0" w:firstLineChars="0"/>
                    <w:jc w:val="center"/>
                    <w:rPr>
                      <w:rFonts w:hint="eastAsia" w:ascii="Times New Roman" w:hAnsi="宋体" w:eastAsia="宋体" w:cs="Times New Roman"/>
                      <w:b/>
                      <w:color w:val="auto"/>
                      <w:sz w:val="21"/>
                      <w:szCs w:val="21"/>
                    </w:rPr>
                  </w:pPr>
                </w:p>
              </w:tc>
              <w:tc>
                <w:tcPr>
                  <w:tcW w:w="501" w:type="pct"/>
                  <w:noWrap w:val="0"/>
                  <w:vAlign w:val="center"/>
                </w:tcPr>
                <w:p w14:paraId="1FD67E39">
                  <w:pPr>
                    <w:spacing w:line="240" w:lineRule="auto"/>
                    <w:ind w:left="-72" w:leftChars="-30" w:right="-72" w:rightChars="-3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产生</w:t>
                  </w:r>
                </w:p>
                <w:p w14:paraId="721C63AB">
                  <w:pPr>
                    <w:spacing w:line="240" w:lineRule="auto"/>
                    <w:ind w:left="-72" w:leftChars="-30" w:right="-72" w:rightChars="-3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浓度mg/m</w:t>
                  </w:r>
                  <w:r>
                    <w:rPr>
                      <w:rFonts w:hint="eastAsia" w:ascii="Times New Roman" w:hAnsi="宋体" w:eastAsia="宋体" w:cs="Times New Roman"/>
                      <w:b/>
                      <w:color w:val="auto"/>
                      <w:sz w:val="21"/>
                      <w:szCs w:val="21"/>
                      <w:vertAlign w:val="superscript"/>
                    </w:rPr>
                    <w:t>3</w:t>
                  </w:r>
                </w:p>
              </w:tc>
              <w:tc>
                <w:tcPr>
                  <w:tcW w:w="401" w:type="pct"/>
                  <w:noWrap w:val="0"/>
                  <w:vAlign w:val="center"/>
                </w:tcPr>
                <w:p w14:paraId="1A82168F">
                  <w:pPr>
                    <w:spacing w:line="240" w:lineRule="auto"/>
                    <w:ind w:left="-72" w:leftChars="-30" w:right="-72" w:rightChars="-3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产生</w:t>
                  </w:r>
                </w:p>
                <w:p w14:paraId="35E0968B">
                  <w:pPr>
                    <w:spacing w:line="240" w:lineRule="auto"/>
                    <w:ind w:left="-72" w:leftChars="-30" w:right="-72" w:rightChars="-30" w:firstLine="0" w:firstLineChars="0"/>
                    <w:jc w:val="center"/>
                    <w:rPr>
                      <w:rFonts w:ascii="Times New Roman" w:hAnsi="宋体" w:eastAsia="宋体" w:cs="Times New Roman"/>
                      <w:b/>
                      <w:color w:val="auto"/>
                      <w:sz w:val="21"/>
                      <w:szCs w:val="21"/>
                    </w:rPr>
                  </w:pPr>
                  <w:r>
                    <w:rPr>
                      <w:rFonts w:hint="eastAsia" w:ascii="Times New Roman" w:hAnsi="宋体" w:eastAsia="宋体" w:cs="Times New Roman"/>
                      <w:b/>
                      <w:color w:val="auto"/>
                      <w:sz w:val="21"/>
                      <w:szCs w:val="21"/>
                    </w:rPr>
                    <w:t>速率kg/h</w:t>
                  </w:r>
                </w:p>
              </w:tc>
              <w:tc>
                <w:tcPr>
                  <w:tcW w:w="346" w:type="pct"/>
                  <w:noWrap w:val="0"/>
                  <w:vAlign w:val="center"/>
                </w:tcPr>
                <w:p w14:paraId="4825E32A">
                  <w:pPr>
                    <w:spacing w:line="240" w:lineRule="auto"/>
                    <w:ind w:left="-72" w:leftChars="-30" w:right="-72" w:rightChars="-30" w:firstLine="0" w:firstLineChars="0"/>
                    <w:jc w:val="center"/>
                    <w:rPr>
                      <w:rFonts w:hint="eastAsia" w:ascii="Times New Roman" w:hAnsi="宋体" w:eastAsia="宋体" w:cs="Times New Roman"/>
                      <w:b/>
                      <w:color w:val="auto"/>
                      <w:sz w:val="21"/>
                      <w:szCs w:val="21"/>
                      <w:lang w:eastAsia="zh-CN"/>
                    </w:rPr>
                  </w:pPr>
                  <w:r>
                    <w:rPr>
                      <w:rFonts w:ascii="Times New Roman" w:hAnsi="宋体" w:eastAsia="宋体" w:cs="Times New Roman"/>
                      <w:b/>
                      <w:color w:val="auto"/>
                      <w:sz w:val="21"/>
                      <w:szCs w:val="21"/>
                    </w:rPr>
                    <w:t>产生量t/a</w:t>
                  </w:r>
                </w:p>
              </w:tc>
              <w:tc>
                <w:tcPr>
                  <w:tcW w:w="614" w:type="pct"/>
                  <w:vMerge w:val="continue"/>
                  <w:noWrap w:val="0"/>
                  <w:vAlign w:val="center"/>
                </w:tcPr>
                <w:p w14:paraId="68D7563D">
                  <w:pPr>
                    <w:spacing w:line="240" w:lineRule="auto"/>
                    <w:ind w:left="-72" w:leftChars="-30" w:right="-72" w:rightChars="-30" w:firstLine="0" w:firstLineChars="0"/>
                    <w:jc w:val="center"/>
                    <w:rPr>
                      <w:rFonts w:hint="eastAsia" w:ascii="Times New Roman" w:hAnsi="宋体" w:eastAsia="宋体" w:cs="Times New Roman"/>
                      <w:b/>
                      <w:color w:val="auto"/>
                      <w:sz w:val="21"/>
                      <w:szCs w:val="21"/>
                    </w:rPr>
                  </w:pPr>
                </w:p>
              </w:tc>
              <w:tc>
                <w:tcPr>
                  <w:tcW w:w="285" w:type="pct"/>
                  <w:vMerge w:val="continue"/>
                  <w:noWrap w:val="0"/>
                  <w:vAlign w:val="center"/>
                </w:tcPr>
                <w:p w14:paraId="7D647B06">
                  <w:pPr>
                    <w:spacing w:line="240" w:lineRule="auto"/>
                    <w:ind w:left="-120" w:leftChars="-50" w:right="-120" w:rightChars="-50" w:firstLine="0" w:firstLineChars="0"/>
                    <w:jc w:val="center"/>
                    <w:rPr>
                      <w:rFonts w:hint="eastAsia" w:ascii="Times New Roman" w:hAnsi="宋体" w:eastAsia="宋体" w:cs="Times New Roman"/>
                      <w:b/>
                      <w:color w:val="auto"/>
                      <w:sz w:val="21"/>
                      <w:szCs w:val="21"/>
                    </w:rPr>
                  </w:pPr>
                </w:p>
              </w:tc>
              <w:tc>
                <w:tcPr>
                  <w:tcW w:w="373" w:type="pct"/>
                  <w:noWrap w:val="0"/>
                  <w:vAlign w:val="center"/>
                </w:tcPr>
                <w:p w14:paraId="5659A437">
                  <w:pPr>
                    <w:spacing w:line="240" w:lineRule="auto"/>
                    <w:ind w:left="-72" w:leftChars="-30" w:right="-72" w:rightChars="-3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排放浓度mg/m</w:t>
                  </w:r>
                  <w:r>
                    <w:rPr>
                      <w:rFonts w:hint="eastAsia" w:ascii="Times New Roman" w:hAnsi="宋体" w:eastAsia="宋体" w:cs="Times New Roman"/>
                      <w:b/>
                      <w:color w:val="auto"/>
                      <w:sz w:val="21"/>
                      <w:szCs w:val="21"/>
                      <w:vertAlign w:val="superscript"/>
                    </w:rPr>
                    <w:t>3</w:t>
                  </w:r>
                </w:p>
              </w:tc>
              <w:tc>
                <w:tcPr>
                  <w:tcW w:w="404" w:type="pct"/>
                  <w:noWrap w:val="0"/>
                  <w:vAlign w:val="center"/>
                </w:tcPr>
                <w:p w14:paraId="761ABF13">
                  <w:pPr>
                    <w:spacing w:line="240" w:lineRule="auto"/>
                    <w:ind w:left="-72" w:leftChars="-30" w:right="-72" w:rightChars="-30" w:firstLine="0" w:firstLineChars="0"/>
                    <w:jc w:val="center"/>
                    <w:rPr>
                      <w:rFonts w:ascii="Times New Roman" w:hAnsi="宋体" w:eastAsia="宋体" w:cs="Times New Roman"/>
                      <w:b/>
                      <w:color w:val="auto"/>
                      <w:sz w:val="21"/>
                      <w:szCs w:val="21"/>
                    </w:rPr>
                  </w:pPr>
                  <w:r>
                    <w:rPr>
                      <w:rFonts w:hint="eastAsia" w:ascii="Times New Roman" w:hAnsi="宋体" w:eastAsia="宋体" w:cs="Times New Roman"/>
                      <w:b/>
                      <w:color w:val="auto"/>
                      <w:sz w:val="21"/>
                      <w:szCs w:val="21"/>
                    </w:rPr>
                    <w:t>排放速率kg/h</w:t>
                  </w:r>
                </w:p>
              </w:tc>
              <w:tc>
                <w:tcPr>
                  <w:tcW w:w="350" w:type="pct"/>
                  <w:noWrap w:val="0"/>
                  <w:vAlign w:val="center"/>
                </w:tcPr>
                <w:p w14:paraId="0ED9F432">
                  <w:pPr>
                    <w:spacing w:line="240" w:lineRule="auto"/>
                    <w:ind w:left="-72" w:leftChars="-30" w:right="-72" w:rightChars="-30" w:firstLine="0" w:firstLineChars="0"/>
                    <w:jc w:val="center"/>
                    <w:rPr>
                      <w:rFonts w:hint="eastAsia" w:ascii="Times New Roman" w:hAnsi="宋体" w:eastAsia="宋体" w:cs="Times New Roman"/>
                      <w:b/>
                      <w:color w:val="auto"/>
                      <w:sz w:val="21"/>
                      <w:szCs w:val="21"/>
                    </w:rPr>
                  </w:pPr>
                  <w:r>
                    <w:rPr>
                      <w:rFonts w:hint="eastAsia" w:ascii="Times New Roman" w:hAnsi="宋体" w:eastAsia="宋体" w:cs="Times New Roman"/>
                      <w:b/>
                      <w:color w:val="auto"/>
                      <w:sz w:val="21"/>
                      <w:szCs w:val="21"/>
                    </w:rPr>
                    <w:t>排放</w:t>
                  </w:r>
                  <w:r>
                    <w:rPr>
                      <w:rFonts w:ascii="Times New Roman" w:hAnsi="宋体" w:eastAsia="宋体" w:cs="Times New Roman"/>
                      <w:b/>
                      <w:color w:val="auto"/>
                      <w:sz w:val="21"/>
                      <w:szCs w:val="21"/>
                    </w:rPr>
                    <w:t>量</w:t>
                  </w:r>
                </w:p>
                <w:p w14:paraId="2BAFFB07">
                  <w:pPr>
                    <w:spacing w:line="240" w:lineRule="auto"/>
                    <w:ind w:left="-72" w:leftChars="-30" w:right="-72" w:rightChars="-30" w:firstLine="0" w:firstLineChars="0"/>
                    <w:jc w:val="center"/>
                    <w:rPr>
                      <w:rFonts w:hint="eastAsia" w:ascii="Times New Roman" w:hAnsi="宋体" w:eastAsia="宋体" w:cs="Times New Roman"/>
                      <w:b/>
                      <w:color w:val="auto"/>
                      <w:sz w:val="21"/>
                      <w:szCs w:val="21"/>
                    </w:rPr>
                  </w:pPr>
                  <w:r>
                    <w:rPr>
                      <w:rFonts w:ascii="Times New Roman" w:hAnsi="宋体" w:eastAsia="宋体" w:cs="Times New Roman"/>
                      <w:b/>
                      <w:color w:val="auto"/>
                      <w:sz w:val="21"/>
                      <w:szCs w:val="21"/>
                    </w:rPr>
                    <w:t>t/a</w:t>
                  </w:r>
                </w:p>
              </w:tc>
            </w:tr>
            <w:tr w14:paraId="0750D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340" w:type="pct"/>
                  <w:vMerge w:val="restart"/>
                  <w:noWrap w:val="0"/>
                  <w:vAlign w:val="center"/>
                </w:tcPr>
                <w:p w14:paraId="33E086D7">
                  <w:pPr>
                    <w:spacing w:line="240" w:lineRule="auto"/>
                    <w:ind w:left="-120" w:leftChars="-50" w:right="-120" w:rightChars="-50" w:firstLine="0" w:firstLineChars="0"/>
                    <w:jc w:val="center"/>
                    <w:rPr>
                      <w:rFonts w:hint="default"/>
                      <w:color w:val="auto"/>
                      <w:sz w:val="21"/>
                      <w:lang w:val="en-US" w:eastAsia="zh-CN"/>
                    </w:rPr>
                  </w:pPr>
                  <w:r>
                    <w:rPr>
                      <w:rFonts w:hint="eastAsia"/>
                      <w:color w:val="auto"/>
                      <w:sz w:val="21"/>
                      <w:lang w:val="en-US" w:eastAsia="zh-CN"/>
                    </w:rPr>
                    <w:t>骨料生产线</w:t>
                  </w:r>
                </w:p>
              </w:tc>
              <w:tc>
                <w:tcPr>
                  <w:tcW w:w="340" w:type="pct"/>
                  <w:vMerge w:val="restart"/>
                  <w:noWrap w:val="0"/>
                  <w:vAlign w:val="center"/>
                </w:tcPr>
                <w:p w14:paraId="61E35D76">
                  <w:pPr>
                    <w:spacing w:line="240" w:lineRule="auto"/>
                    <w:ind w:left="-120" w:leftChars="-50" w:right="-120" w:rightChars="-50" w:firstLine="0" w:firstLineChars="0"/>
                    <w:jc w:val="center"/>
                    <w:rPr>
                      <w:rFonts w:hint="default" w:ascii="Times New Roman" w:hAnsi="宋体" w:eastAsia="宋体" w:cs="Times New Roman"/>
                      <w:color w:val="auto"/>
                      <w:sz w:val="21"/>
                      <w:szCs w:val="21"/>
                      <w:lang w:val="en-US" w:eastAsia="zh-CN"/>
                    </w:rPr>
                  </w:pPr>
                  <w:r>
                    <w:rPr>
                      <w:rFonts w:hint="eastAsia"/>
                      <w:color w:val="auto"/>
                      <w:sz w:val="21"/>
                      <w:lang w:val="en-US" w:eastAsia="zh-CN"/>
                    </w:rPr>
                    <w:t>给料、破碎筛分</w:t>
                  </w:r>
                </w:p>
              </w:tc>
              <w:tc>
                <w:tcPr>
                  <w:tcW w:w="364" w:type="pct"/>
                  <w:vMerge w:val="restart"/>
                  <w:noWrap w:val="0"/>
                  <w:vAlign w:val="center"/>
                </w:tcPr>
                <w:p w14:paraId="14A906B4">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粉尘</w:t>
                  </w:r>
                </w:p>
              </w:tc>
              <w:tc>
                <w:tcPr>
                  <w:tcW w:w="359" w:type="pct"/>
                  <w:noWrap w:val="0"/>
                  <w:vAlign w:val="center"/>
                </w:tcPr>
                <w:p w14:paraId="6292FB45">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有组织</w:t>
                  </w:r>
                </w:p>
              </w:tc>
              <w:tc>
                <w:tcPr>
                  <w:tcW w:w="320" w:type="pct"/>
                  <w:noWrap w:val="0"/>
                  <w:vAlign w:val="center"/>
                </w:tcPr>
                <w:p w14:paraId="7839503F">
                  <w:pPr>
                    <w:spacing w:line="240" w:lineRule="auto"/>
                    <w:ind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25000</w:t>
                  </w:r>
                </w:p>
              </w:tc>
              <w:tc>
                <w:tcPr>
                  <w:tcW w:w="501" w:type="pct"/>
                  <w:noWrap w:val="0"/>
                  <w:vAlign w:val="center"/>
                </w:tcPr>
                <w:p w14:paraId="03E5AE63">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8067.66</w:t>
                  </w:r>
                </w:p>
              </w:tc>
              <w:tc>
                <w:tcPr>
                  <w:tcW w:w="401" w:type="pct"/>
                  <w:noWrap w:val="0"/>
                  <w:vAlign w:val="center"/>
                </w:tcPr>
                <w:p w14:paraId="7481E072">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201.69</w:t>
                  </w:r>
                </w:p>
              </w:tc>
              <w:tc>
                <w:tcPr>
                  <w:tcW w:w="346" w:type="pct"/>
                  <w:noWrap w:val="0"/>
                  <w:vAlign w:val="center"/>
                </w:tcPr>
                <w:p w14:paraId="4299E689">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516.33</w:t>
                  </w:r>
                </w:p>
              </w:tc>
              <w:tc>
                <w:tcPr>
                  <w:tcW w:w="614" w:type="pct"/>
                  <w:noWrap w:val="0"/>
                  <w:vAlign w:val="center"/>
                </w:tcPr>
                <w:p w14:paraId="413676F0">
                  <w:pPr>
                    <w:spacing w:line="240" w:lineRule="auto"/>
                    <w:ind w:left="-120" w:leftChars="-50" w:right="-120" w:rightChars="-5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集气罩+布袋除尘器+15m排气筒（DA001）</w:t>
                  </w:r>
                </w:p>
              </w:tc>
              <w:tc>
                <w:tcPr>
                  <w:tcW w:w="285" w:type="pct"/>
                  <w:noWrap w:val="0"/>
                  <w:vAlign w:val="center"/>
                </w:tcPr>
                <w:p w14:paraId="36E81728">
                  <w:pPr>
                    <w:spacing w:line="240" w:lineRule="auto"/>
                    <w:ind w:left="-120" w:leftChars="-50" w:right="-120" w:rightChars="-50"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99.5</w:t>
                  </w:r>
                </w:p>
              </w:tc>
              <w:tc>
                <w:tcPr>
                  <w:tcW w:w="373" w:type="pct"/>
                  <w:noWrap w:val="0"/>
                  <w:vAlign w:val="center"/>
                </w:tcPr>
                <w:p w14:paraId="196ADD42">
                  <w:pPr>
                    <w:keepNext w:val="0"/>
                    <w:keepLines w:val="0"/>
                    <w:widowControl/>
                    <w:suppressLineNumbers w:val="0"/>
                    <w:spacing w:line="240" w:lineRule="auto"/>
                    <w:ind w:firstLine="0" w:firstLineChars="0"/>
                    <w:jc w:val="center"/>
                    <w:textAlignment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36.30</w:t>
                  </w:r>
                </w:p>
              </w:tc>
              <w:tc>
                <w:tcPr>
                  <w:tcW w:w="404" w:type="pct"/>
                  <w:noWrap w:val="0"/>
                  <w:vAlign w:val="center"/>
                </w:tcPr>
                <w:p w14:paraId="5C8B4B23">
                  <w:pPr>
                    <w:keepNext w:val="0"/>
                    <w:keepLines w:val="0"/>
                    <w:widowControl/>
                    <w:suppressLineNumbers w:val="0"/>
                    <w:spacing w:line="240" w:lineRule="auto"/>
                    <w:ind w:firstLine="0" w:firstLineChars="0"/>
                    <w:jc w:val="center"/>
                    <w:textAlignment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0.91</w:t>
                  </w:r>
                </w:p>
              </w:tc>
              <w:tc>
                <w:tcPr>
                  <w:tcW w:w="350" w:type="pct"/>
                  <w:noWrap w:val="0"/>
                  <w:vAlign w:val="center"/>
                </w:tcPr>
                <w:p w14:paraId="569D0702">
                  <w:pPr>
                    <w:keepNext w:val="0"/>
                    <w:keepLines w:val="0"/>
                    <w:widowControl/>
                    <w:suppressLineNumbers w:val="0"/>
                    <w:spacing w:line="240" w:lineRule="auto"/>
                    <w:ind w:firstLine="0" w:firstLineChars="0"/>
                    <w:jc w:val="center"/>
                    <w:textAlignment w:val="center"/>
                    <w:rPr>
                      <w:rFonts w:hint="default" w:ascii="Times New Roman" w:hAnsi="宋体" w:eastAsia="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2.32</w:t>
                  </w:r>
                </w:p>
              </w:tc>
            </w:tr>
            <w:tr w14:paraId="730A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340" w:type="pct"/>
                  <w:vMerge w:val="continue"/>
                  <w:noWrap w:val="0"/>
                  <w:vAlign w:val="center"/>
                </w:tcPr>
                <w:p w14:paraId="6014B8D7">
                  <w:pPr>
                    <w:spacing w:line="240" w:lineRule="auto"/>
                    <w:ind w:firstLine="0" w:firstLineChars="0"/>
                    <w:jc w:val="center"/>
                    <w:rPr>
                      <w:rFonts w:hint="eastAsia" w:ascii="Times New Roman" w:hAnsi="宋体" w:eastAsia="宋体" w:cs="Times New Roman"/>
                      <w:color w:val="auto"/>
                      <w:sz w:val="21"/>
                      <w:szCs w:val="21"/>
                      <w:lang w:val="en-US" w:eastAsia="zh-CN"/>
                    </w:rPr>
                  </w:pPr>
                </w:p>
              </w:tc>
              <w:tc>
                <w:tcPr>
                  <w:tcW w:w="340" w:type="pct"/>
                  <w:vMerge w:val="continue"/>
                  <w:noWrap w:val="0"/>
                  <w:vAlign w:val="center"/>
                </w:tcPr>
                <w:p w14:paraId="266CEF3C">
                  <w:pPr>
                    <w:spacing w:line="240" w:lineRule="auto"/>
                    <w:ind w:firstLine="0" w:firstLineChars="0"/>
                    <w:jc w:val="center"/>
                    <w:rPr>
                      <w:rFonts w:hint="eastAsia" w:ascii="Times New Roman" w:hAnsi="宋体" w:eastAsia="宋体" w:cs="Times New Roman"/>
                      <w:color w:val="auto"/>
                      <w:sz w:val="21"/>
                      <w:szCs w:val="21"/>
                      <w:lang w:val="en-US" w:eastAsia="zh-CN"/>
                    </w:rPr>
                  </w:pPr>
                </w:p>
              </w:tc>
              <w:tc>
                <w:tcPr>
                  <w:tcW w:w="364" w:type="pct"/>
                  <w:vMerge w:val="continue"/>
                  <w:noWrap w:val="0"/>
                  <w:vAlign w:val="center"/>
                </w:tcPr>
                <w:p w14:paraId="0F0CDE8C">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p>
              </w:tc>
              <w:tc>
                <w:tcPr>
                  <w:tcW w:w="359" w:type="pct"/>
                  <w:noWrap w:val="0"/>
                  <w:vAlign w:val="center"/>
                </w:tcPr>
                <w:p w14:paraId="45F11195">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无组织</w:t>
                  </w:r>
                </w:p>
              </w:tc>
              <w:tc>
                <w:tcPr>
                  <w:tcW w:w="320" w:type="pct"/>
                  <w:noWrap w:val="0"/>
                  <w:vAlign w:val="center"/>
                </w:tcPr>
                <w:p w14:paraId="226C9F69">
                  <w:pPr>
                    <w:spacing w:line="240" w:lineRule="auto"/>
                    <w:ind w:firstLine="0" w:firstLineChars="0"/>
                    <w:jc w:val="center"/>
                    <w:rPr>
                      <w:rFonts w:hint="eastAsia"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w:t>
                  </w:r>
                </w:p>
              </w:tc>
              <w:tc>
                <w:tcPr>
                  <w:tcW w:w="501" w:type="pct"/>
                  <w:noWrap w:val="0"/>
                  <w:vAlign w:val="center"/>
                </w:tcPr>
                <w:p w14:paraId="6D43F39E">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401" w:type="pct"/>
                  <w:noWrap w:val="0"/>
                  <w:vAlign w:val="center"/>
                </w:tcPr>
                <w:p w14:paraId="43D3FBA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24.07</w:t>
                  </w:r>
                </w:p>
              </w:tc>
              <w:tc>
                <w:tcPr>
                  <w:tcW w:w="346" w:type="pct"/>
                  <w:noWrap w:val="0"/>
                  <w:vAlign w:val="center"/>
                </w:tcPr>
                <w:p w14:paraId="07728883">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51.63</w:t>
                  </w:r>
                </w:p>
              </w:tc>
              <w:tc>
                <w:tcPr>
                  <w:tcW w:w="614" w:type="pct"/>
                  <w:noWrap w:val="0"/>
                  <w:vAlign w:val="center"/>
                </w:tcPr>
                <w:p w14:paraId="03521346">
                  <w:pPr>
                    <w:widowControl w:val="0"/>
                    <w:adjustRightInd w:val="0"/>
                    <w:snapToGrid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喷淋抑尘</w:t>
                  </w:r>
                </w:p>
              </w:tc>
              <w:tc>
                <w:tcPr>
                  <w:tcW w:w="285" w:type="pct"/>
                  <w:noWrap w:val="0"/>
                  <w:vAlign w:val="center"/>
                </w:tcPr>
                <w:p w14:paraId="45C4CAB7">
                  <w:pPr>
                    <w:spacing w:line="240" w:lineRule="auto"/>
                    <w:ind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95</w:t>
                  </w:r>
                </w:p>
              </w:tc>
              <w:tc>
                <w:tcPr>
                  <w:tcW w:w="373" w:type="pct"/>
                  <w:noWrap w:val="0"/>
                  <w:vAlign w:val="center"/>
                </w:tcPr>
                <w:p w14:paraId="53CB9D01">
                  <w:pPr>
                    <w:spacing w:line="240" w:lineRule="auto"/>
                    <w:ind w:firstLine="0" w:firstLineChars="0"/>
                    <w:jc w:val="center"/>
                    <w:rPr>
                      <w:rFonts w:ascii="Times New Roman" w:hAnsi="宋体" w:eastAsia="宋体"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404" w:type="pct"/>
                  <w:noWrap w:val="0"/>
                  <w:vAlign w:val="center"/>
                </w:tcPr>
                <w:p w14:paraId="0EBCB86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1.01</w:t>
                  </w:r>
                </w:p>
              </w:tc>
              <w:tc>
                <w:tcPr>
                  <w:tcW w:w="350" w:type="pct"/>
                  <w:noWrap w:val="0"/>
                  <w:vAlign w:val="center"/>
                </w:tcPr>
                <w:p w14:paraId="027D8021">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2.58</w:t>
                  </w:r>
                </w:p>
              </w:tc>
            </w:tr>
            <w:tr w14:paraId="4AB7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340" w:type="pct"/>
                  <w:vMerge w:val="restart"/>
                  <w:noWrap w:val="0"/>
                  <w:vAlign w:val="center"/>
                </w:tcPr>
                <w:p w14:paraId="795BC9A7">
                  <w:pPr>
                    <w:spacing w:line="240" w:lineRule="auto"/>
                    <w:ind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水稳生产线</w:t>
                  </w:r>
                </w:p>
              </w:tc>
              <w:tc>
                <w:tcPr>
                  <w:tcW w:w="340" w:type="pct"/>
                  <w:vMerge w:val="restart"/>
                  <w:noWrap w:val="0"/>
                  <w:vAlign w:val="center"/>
                </w:tcPr>
                <w:p w14:paraId="16617EC7">
                  <w:pPr>
                    <w:spacing w:line="240" w:lineRule="auto"/>
                    <w:ind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计量投料、搅拌</w:t>
                  </w:r>
                </w:p>
              </w:tc>
              <w:tc>
                <w:tcPr>
                  <w:tcW w:w="364" w:type="pct"/>
                  <w:vMerge w:val="restart"/>
                  <w:noWrap w:val="0"/>
                  <w:vAlign w:val="center"/>
                </w:tcPr>
                <w:p w14:paraId="4CDA6635">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粉尘</w:t>
                  </w:r>
                </w:p>
              </w:tc>
              <w:tc>
                <w:tcPr>
                  <w:tcW w:w="359" w:type="pct"/>
                  <w:noWrap w:val="0"/>
                  <w:vAlign w:val="center"/>
                </w:tcPr>
                <w:p w14:paraId="63600E2C">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有组织</w:t>
                  </w:r>
                </w:p>
              </w:tc>
              <w:tc>
                <w:tcPr>
                  <w:tcW w:w="320" w:type="pct"/>
                  <w:noWrap w:val="0"/>
                  <w:vAlign w:val="center"/>
                </w:tcPr>
                <w:p w14:paraId="7C0D15F2">
                  <w:pPr>
                    <w:spacing w:line="240" w:lineRule="auto"/>
                    <w:ind w:firstLine="0" w:firstLineChars="0"/>
                    <w:jc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30000</w:t>
                  </w:r>
                </w:p>
              </w:tc>
              <w:tc>
                <w:tcPr>
                  <w:tcW w:w="501" w:type="pct"/>
                  <w:noWrap w:val="0"/>
                  <w:vAlign w:val="center"/>
                </w:tcPr>
                <w:p w14:paraId="6E201A37">
                  <w:pPr>
                    <w:keepNext w:val="0"/>
                    <w:keepLines w:val="0"/>
                    <w:widowControl/>
                    <w:suppressLineNumbers w:val="0"/>
                    <w:spacing w:line="240" w:lineRule="auto"/>
                    <w:ind w:firstLine="0" w:firstLineChars="0"/>
                    <w:jc w:val="center"/>
                    <w:textAlignment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976.56</w:t>
                  </w:r>
                </w:p>
              </w:tc>
              <w:tc>
                <w:tcPr>
                  <w:tcW w:w="401" w:type="pct"/>
                  <w:noWrap w:val="0"/>
                  <w:vAlign w:val="center"/>
                </w:tcPr>
                <w:p w14:paraId="69D81F1B">
                  <w:pPr>
                    <w:keepNext w:val="0"/>
                    <w:keepLines w:val="0"/>
                    <w:widowControl/>
                    <w:suppressLineNumbers w:val="0"/>
                    <w:spacing w:line="240" w:lineRule="auto"/>
                    <w:ind w:firstLine="0" w:firstLineChars="0"/>
                    <w:jc w:val="center"/>
                    <w:textAlignment w:val="center"/>
                    <w:rPr>
                      <w:rFonts w:hint="default" w:cs="Times New Roman"/>
                      <w:color w:val="auto"/>
                      <w:sz w:val="21"/>
                      <w:szCs w:val="21"/>
                      <w:lang w:val="en-US" w:eastAsia="zh-CN"/>
                    </w:rPr>
                  </w:pPr>
                  <w:r>
                    <w:rPr>
                      <w:rFonts w:hint="eastAsia" w:cs="Times New Roman"/>
                      <w:color w:val="auto"/>
                      <w:sz w:val="21"/>
                      <w:szCs w:val="21"/>
                      <w:lang w:val="en-US" w:eastAsia="zh-CN"/>
                    </w:rPr>
                    <w:t>29.30</w:t>
                  </w:r>
                </w:p>
              </w:tc>
              <w:tc>
                <w:tcPr>
                  <w:tcW w:w="346" w:type="pct"/>
                  <w:noWrap w:val="0"/>
                  <w:vAlign w:val="center"/>
                </w:tcPr>
                <w:p w14:paraId="6E506A39">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75.00</w:t>
                  </w:r>
                </w:p>
              </w:tc>
              <w:tc>
                <w:tcPr>
                  <w:tcW w:w="614" w:type="pct"/>
                  <w:noWrap w:val="0"/>
                  <w:vAlign w:val="center"/>
                </w:tcPr>
                <w:p w14:paraId="556CB3AD">
                  <w:pPr>
                    <w:spacing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sz w:val="21"/>
                      <w:szCs w:val="21"/>
                      <w:lang w:val="en-US" w:eastAsia="zh-CN"/>
                    </w:rPr>
                    <w:t>集气罩+布袋除尘器+15m排气筒(DA002)</w:t>
                  </w:r>
                </w:p>
              </w:tc>
              <w:tc>
                <w:tcPr>
                  <w:tcW w:w="285" w:type="pct"/>
                  <w:noWrap w:val="0"/>
                  <w:vAlign w:val="center"/>
                </w:tcPr>
                <w:p w14:paraId="71A251AE">
                  <w:pPr>
                    <w:spacing w:line="240" w:lineRule="auto"/>
                    <w:ind w:left="-120" w:leftChars="-50" w:right="-120" w:rightChars="-50" w:firstLine="0" w:firstLineChars="0"/>
                    <w:jc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99.5</w:t>
                  </w:r>
                </w:p>
              </w:tc>
              <w:tc>
                <w:tcPr>
                  <w:tcW w:w="373" w:type="pct"/>
                  <w:noWrap w:val="0"/>
                  <w:vAlign w:val="center"/>
                </w:tcPr>
                <w:p w14:paraId="544FB686">
                  <w:pPr>
                    <w:keepNext w:val="0"/>
                    <w:keepLines w:val="0"/>
                    <w:widowControl/>
                    <w:suppressLineNumbers w:val="0"/>
                    <w:spacing w:line="240" w:lineRule="auto"/>
                    <w:ind w:firstLine="0" w:firstLineChars="0"/>
                    <w:jc w:val="center"/>
                    <w:textAlignment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4.39</w:t>
                  </w:r>
                </w:p>
              </w:tc>
              <w:tc>
                <w:tcPr>
                  <w:tcW w:w="404" w:type="pct"/>
                  <w:noWrap w:val="0"/>
                  <w:vAlign w:val="center"/>
                </w:tcPr>
                <w:p w14:paraId="601DABC2">
                  <w:pPr>
                    <w:keepNext w:val="0"/>
                    <w:keepLines w:val="0"/>
                    <w:widowControl/>
                    <w:suppressLineNumbers w:val="0"/>
                    <w:spacing w:line="240" w:lineRule="auto"/>
                    <w:ind w:firstLine="0" w:firstLineChars="0"/>
                    <w:jc w:val="center"/>
                    <w:textAlignment w:val="center"/>
                    <w:rPr>
                      <w:rFonts w:hint="default" w:cs="Times New Roman"/>
                      <w:color w:val="auto"/>
                      <w:sz w:val="21"/>
                      <w:szCs w:val="21"/>
                      <w:lang w:val="en-US" w:eastAsia="zh-CN"/>
                    </w:rPr>
                  </w:pPr>
                  <w:r>
                    <w:rPr>
                      <w:rFonts w:hint="eastAsia" w:cs="Times New Roman"/>
                      <w:color w:val="auto"/>
                      <w:sz w:val="21"/>
                      <w:szCs w:val="21"/>
                      <w:lang w:val="en-US" w:eastAsia="zh-CN"/>
                    </w:rPr>
                    <w:t>0.13</w:t>
                  </w:r>
                </w:p>
              </w:tc>
              <w:tc>
                <w:tcPr>
                  <w:tcW w:w="350" w:type="pct"/>
                  <w:noWrap w:val="0"/>
                  <w:vAlign w:val="center"/>
                </w:tcPr>
                <w:p w14:paraId="278FAB1F">
                  <w:pPr>
                    <w:keepNext w:val="0"/>
                    <w:keepLines w:val="0"/>
                    <w:widowControl/>
                    <w:suppressLineNumbers w:val="0"/>
                    <w:spacing w:line="240" w:lineRule="auto"/>
                    <w:ind w:firstLine="0" w:firstLineChars="0"/>
                    <w:jc w:val="center"/>
                    <w:textAlignment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0.34</w:t>
                  </w:r>
                </w:p>
              </w:tc>
            </w:tr>
            <w:tr w14:paraId="245DF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340" w:type="pct"/>
                  <w:vMerge w:val="continue"/>
                  <w:noWrap w:val="0"/>
                  <w:vAlign w:val="center"/>
                </w:tcPr>
                <w:p w14:paraId="0A0C4298">
                  <w:pPr>
                    <w:spacing w:line="240" w:lineRule="auto"/>
                    <w:ind w:firstLine="0" w:firstLineChars="0"/>
                    <w:jc w:val="center"/>
                    <w:rPr>
                      <w:rFonts w:hint="eastAsia" w:ascii="Times New Roman" w:hAnsi="宋体" w:eastAsia="宋体" w:cs="Times New Roman"/>
                      <w:color w:val="auto"/>
                      <w:sz w:val="21"/>
                      <w:szCs w:val="21"/>
                      <w:lang w:val="en-US" w:eastAsia="zh-CN"/>
                    </w:rPr>
                  </w:pPr>
                </w:p>
              </w:tc>
              <w:tc>
                <w:tcPr>
                  <w:tcW w:w="340" w:type="pct"/>
                  <w:vMerge w:val="continue"/>
                  <w:noWrap w:val="0"/>
                  <w:vAlign w:val="center"/>
                </w:tcPr>
                <w:p w14:paraId="274D7368">
                  <w:pPr>
                    <w:spacing w:line="240" w:lineRule="auto"/>
                    <w:ind w:firstLine="0" w:firstLineChars="0"/>
                    <w:jc w:val="center"/>
                    <w:rPr>
                      <w:rFonts w:hint="default" w:ascii="Times New Roman" w:hAnsi="宋体" w:eastAsia="宋体" w:cs="Times New Roman"/>
                      <w:color w:val="auto"/>
                      <w:sz w:val="21"/>
                      <w:szCs w:val="21"/>
                      <w:lang w:val="en-US" w:eastAsia="zh-CN"/>
                    </w:rPr>
                  </w:pPr>
                </w:p>
              </w:tc>
              <w:tc>
                <w:tcPr>
                  <w:tcW w:w="364" w:type="pct"/>
                  <w:vMerge w:val="continue"/>
                  <w:noWrap w:val="0"/>
                  <w:vAlign w:val="center"/>
                </w:tcPr>
                <w:p w14:paraId="0CE4BD20">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p>
              </w:tc>
              <w:tc>
                <w:tcPr>
                  <w:tcW w:w="359" w:type="pct"/>
                  <w:noWrap w:val="0"/>
                  <w:vAlign w:val="center"/>
                </w:tcPr>
                <w:p w14:paraId="28E620F8">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无组织</w:t>
                  </w:r>
                </w:p>
              </w:tc>
              <w:tc>
                <w:tcPr>
                  <w:tcW w:w="320" w:type="pct"/>
                  <w:noWrap w:val="0"/>
                  <w:vAlign w:val="center"/>
                </w:tcPr>
                <w:p w14:paraId="49C229C8">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w:t>
                  </w:r>
                </w:p>
              </w:tc>
              <w:tc>
                <w:tcPr>
                  <w:tcW w:w="501" w:type="pct"/>
                  <w:noWrap w:val="0"/>
                  <w:vAlign w:val="center"/>
                </w:tcPr>
                <w:p w14:paraId="1299C121">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w:t>
                  </w:r>
                </w:p>
              </w:tc>
              <w:tc>
                <w:tcPr>
                  <w:tcW w:w="401" w:type="pct"/>
                  <w:noWrap w:val="0"/>
                  <w:vAlign w:val="center"/>
                </w:tcPr>
                <w:p w14:paraId="655CF2E7">
                  <w:pPr>
                    <w:keepNext w:val="0"/>
                    <w:keepLines w:val="0"/>
                    <w:widowControl/>
                    <w:suppressLineNumbers w:val="0"/>
                    <w:spacing w:line="240" w:lineRule="auto"/>
                    <w:ind w:firstLine="0" w:firstLineChars="0"/>
                    <w:jc w:val="center"/>
                    <w:textAlignment w:val="center"/>
                    <w:rPr>
                      <w:rFonts w:hint="default" w:cs="Times New Roman"/>
                      <w:color w:val="auto"/>
                      <w:sz w:val="21"/>
                      <w:szCs w:val="21"/>
                      <w:lang w:val="en-US" w:eastAsia="zh-CN"/>
                    </w:rPr>
                  </w:pPr>
                  <w:r>
                    <w:rPr>
                      <w:rFonts w:hint="eastAsia" w:cs="Times New Roman"/>
                      <w:color w:val="auto"/>
                      <w:sz w:val="21"/>
                      <w:szCs w:val="21"/>
                      <w:lang w:val="en-US" w:eastAsia="zh-CN"/>
                    </w:rPr>
                    <w:t>2.17</w:t>
                  </w:r>
                </w:p>
              </w:tc>
              <w:tc>
                <w:tcPr>
                  <w:tcW w:w="346" w:type="pct"/>
                  <w:noWrap w:val="0"/>
                  <w:vAlign w:val="center"/>
                </w:tcPr>
                <w:p w14:paraId="0BB645AD">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5.55</w:t>
                  </w:r>
                </w:p>
              </w:tc>
              <w:tc>
                <w:tcPr>
                  <w:tcW w:w="614" w:type="pct"/>
                  <w:noWrap w:val="0"/>
                  <w:vAlign w:val="center"/>
                </w:tcPr>
                <w:p w14:paraId="219DE5D7">
                  <w:pPr>
                    <w:widowControl w:val="0"/>
                    <w:adjustRightInd w:val="0"/>
                    <w:snapToGrid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喷淋抑尘</w:t>
                  </w:r>
                </w:p>
              </w:tc>
              <w:tc>
                <w:tcPr>
                  <w:tcW w:w="285" w:type="pct"/>
                  <w:noWrap w:val="0"/>
                  <w:vAlign w:val="center"/>
                </w:tcPr>
                <w:p w14:paraId="1C4868C0">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95</w:t>
                  </w:r>
                </w:p>
              </w:tc>
              <w:tc>
                <w:tcPr>
                  <w:tcW w:w="373" w:type="pct"/>
                  <w:noWrap w:val="0"/>
                  <w:vAlign w:val="center"/>
                </w:tcPr>
                <w:p w14:paraId="2744CF30">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w:t>
                  </w:r>
                </w:p>
              </w:tc>
              <w:tc>
                <w:tcPr>
                  <w:tcW w:w="404" w:type="pct"/>
                  <w:noWrap w:val="0"/>
                  <w:vAlign w:val="center"/>
                </w:tcPr>
                <w:p w14:paraId="7C5E6DD4">
                  <w:pPr>
                    <w:keepNext w:val="0"/>
                    <w:keepLines w:val="0"/>
                    <w:widowControl/>
                    <w:suppressLineNumbers w:val="0"/>
                    <w:spacing w:line="240" w:lineRule="auto"/>
                    <w:ind w:firstLine="0" w:firstLineChars="0"/>
                    <w:jc w:val="center"/>
                    <w:textAlignment w:val="center"/>
                    <w:rPr>
                      <w:rFonts w:hint="default" w:cs="Times New Roman"/>
                      <w:color w:val="auto"/>
                      <w:sz w:val="21"/>
                      <w:szCs w:val="21"/>
                      <w:lang w:val="en-US" w:eastAsia="zh-CN"/>
                    </w:rPr>
                  </w:pPr>
                  <w:r>
                    <w:rPr>
                      <w:rFonts w:hint="eastAsia" w:cs="Times New Roman"/>
                      <w:color w:val="auto"/>
                      <w:sz w:val="21"/>
                      <w:szCs w:val="21"/>
                      <w:lang w:val="en-US" w:eastAsia="zh-CN"/>
                    </w:rPr>
                    <w:t>0.109</w:t>
                  </w:r>
                </w:p>
              </w:tc>
              <w:tc>
                <w:tcPr>
                  <w:tcW w:w="350" w:type="pct"/>
                  <w:noWrap w:val="0"/>
                  <w:vAlign w:val="center"/>
                </w:tcPr>
                <w:p w14:paraId="64FA21E9">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0.28</w:t>
                  </w:r>
                </w:p>
              </w:tc>
            </w:tr>
            <w:tr w14:paraId="105A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340" w:type="pct"/>
                  <w:vMerge w:val="continue"/>
                  <w:noWrap w:val="0"/>
                  <w:vAlign w:val="center"/>
                </w:tcPr>
                <w:p w14:paraId="780A60CD">
                  <w:pPr>
                    <w:spacing w:line="240" w:lineRule="auto"/>
                    <w:ind w:firstLine="0" w:firstLineChars="0"/>
                    <w:jc w:val="center"/>
                    <w:rPr>
                      <w:rFonts w:hint="eastAsia" w:ascii="Times New Roman" w:hAnsi="宋体" w:eastAsia="宋体" w:cs="Times New Roman"/>
                      <w:color w:val="auto"/>
                      <w:sz w:val="21"/>
                      <w:szCs w:val="21"/>
                      <w:lang w:val="en-US" w:eastAsia="zh-CN"/>
                    </w:rPr>
                  </w:pPr>
                </w:p>
              </w:tc>
              <w:tc>
                <w:tcPr>
                  <w:tcW w:w="340" w:type="pct"/>
                  <w:noWrap w:val="0"/>
                  <w:vAlign w:val="center"/>
                </w:tcPr>
                <w:p w14:paraId="28F0E240">
                  <w:pPr>
                    <w:spacing w:line="240" w:lineRule="auto"/>
                    <w:ind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筒仓</w:t>
                  </w:r>
                </w:p>
              </w:tc>
              <w:tc>
                <w:tcPr>
                  <w:tcW w:w="364" w:type="pct"/>
                  <w:noWrap w:val="0"/>
                  <w:vAlign w:val="center"/>
                </w:tcPr>
                <w:p w14:paraId="79293328">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粉尘</w:t>
                  </w:r>
                </w:p>
              </w:tc>
              <w:tc>
                <w:tcPr>
                  <w:tcW w:w="359" w:type="pct"/>
                  <w:noWrap w:val="0"/>
                  <w:vAlign w:val="center"/>
                </w:tcPr>
                <w:p w14:paraId="74EE0D4D">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无组织</w:t>
                  </w:r>
                </w:p>
              </w:tc>
              <w:tc>
                <w:tcPr>
                  <w:tcW w:w="320" w:type="pct"/>
                  <w:noWrap w:val="0"/>
                  <w:vAlign w:val="center"/>
                </w:tcPr>
                <w:p w14:paraId="4EB06BCC">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w:t>
                  </w:r>
                </w:p>
              </w:tc>
              <w:tc>
                <w:tcPr>
                  <w:tcW w:w="501" w:type="pct"/>
                  <w:noWrap w:val="0"/>
                  <w:vAlign w:val="center"/>
                </w:tcPr>
                <w:p w14:paraId="4693654B">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w:t>
                  </w:r>
                </w:p>
              </w:tc>
              <w:tc>
                <w:tcPr>
                  <w:tcW w:w="401" w:type="pct"/>
                  <w:noWrap w:val="0"/>
                  <w:vAlign w:val="center"/>
                </w:tcPr>
                <w:p w14:paraId="6690B6ED">
                  <w:pPr>
                    <w:spacing w:line="240" w:lineRule="auto"/>
                    <w:ind w:firstLine="0" w:firstLineChars="0"/>
                    <w:jc w:val="center"/>
                    <w:rPr>
                      <w:rFonts w:hint="eastAsia" w:cs="Times New Roman"/>
                      <w:color w:val="auto"/>
                      <w:sz w:val="21"/>
                      <w:szCs w:val="21"/>
                      <w:lang w:val="en-US" w:eastAsia="zh-CN"/>
                    </w:rPr>
                  </w:pPr>
                  <w:r>
                    <w:rPr>
                      <w:rFonts w:hint="eastAsia" w:hAnsi="宋体" w:cs="Times New Roman"/>
                      <w:color w:val="auto"/>
                      <w:sz w:val="21"/>
                      <w:szCs w:val="21"/>
                      <w:lang w:val="en-US" w:eastAsia="zh-CN"/>
                    </w:rPr>
                    <w:t>--</w:t>
                  </w:r>
                </w:p>
              </w:tc>
              <w:tc>
                <w:tcPr>
                  <w:tcW w:w="346" w:type="pct"/>
                  <w:noWrap w:val="0"/>
                  <w:vAlign w:val="center"/>
                </w:tcPr>
                <w:p w14:paraId="25C726CE">
                  <w:pPr>
                    <w:spacing w:line="240" w:lineRule="auto"/>
                    <w:ind w:firstLine="0" w:firstLineChars="0"/>
                    <w:jc w:val="center"/>
                    <w:rPr>
                      <w:rFonts w:hint="eastAsia"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614" w:type="pct"/>
                  <w:noWrap w:val="0"/>
                  <w:vAlign w:val="center"/>
                </w:tcPr>
                <w:p w14:paraId="7AD3B77F">
                  <w:pPr>
                    <w:widowControl w:val="0"/>
                    <w:adjustRightInd w:val="0"/>
                    <w:snapToGrid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仓顶除尘器</w:t>
                  </w:r>
                </w:p>
              </w:tc>
              <w:tc>
                <w:tcPr>
                  <w:tcW w:w="285" w:type="pct"/>
                  <w:noWrap w:val="0"/>
                  <w:vAlign w:val="center"/>
                </w:tcPr>
                <w:p w14:paraId="18E949C3">
                  <w:pPr>
                    <w:spacing w:line="240" w:lineRule="auto"/>
                    <w:ind w:firstLine="0" w:firstLineChars="0"/>
                    <w:jc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99</w:t>
                  </w:r>
                </w:p>
              </w:tc>
              <w:tc>
                <w:tcPr>
                  <w:tcW w:w="373" w:type="pct"/>
                  <w:noWrap w:val="0"/>
                  <w:vAlign w:val="center"/>
                </w:tcPr>
                <w:p w14:paraId="0448A9EB">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w:t>
                  </w:r>
                </w:p>
              </w:tc>
              <w:tc>
                <w:tcPr>
                  <w:tcW w:w="404" w:type="pct"/>
                  <w:noWrap w:val="0"/>
                  <w:vAlign w:val="center"/>
                </w:tcPr>
                <w:p w14:paraId="379F4746">
                  <w:pPr>
                    <w:keepNext w:val="0"/>
                    <w:keepLines w:val="0"/>
                    <w:widowControl/>
                    <w:suppressLineNumbers w:val="0"/>
                    <w:spacing w:line="240" w:lineRule="auto"/>
                    <w:ind w:firstLine="0" w:firstLineChars="0"/>
                    <w:jc w:val="center"/>
                    <w:textAlignment w:val="center"/>
                    <w:rPr>
                      <w:rFonts w:hint="default" w:cs="Times New Roman"/>
                      <w:color w:val="auto"/>
                      <w:sz w:val="21"/>
                      <w:szCs w:val="21"/>
                      <w:lang w:val="en-US" w:eastAsia="zh-CN"/>
                    </w:rPr>
                  </w:pPr>
                  <w:r>
                    <w:rPr>
                      <w:rFonts w:hint="eastAsia" w:cs="Times New Roman"/>
                      <w:color w:val="auto"/>
                      <w:sz w:val="21"/>
                      <w:szCs w:val="21"/>
                      <w:lang w:val="en-US" w:eastAsia="zh-CN"/>
                    </w:rPr>
                    <w:t>0.021</w:t>
                  </w:r>
                </w:p>
              </w:tc>
              <w:tc>
                <w:tcPr>
                  <w:tcW w:w="350" w:type="pct"/>
                  <w:noWrap w:val="0"/>
                  <w:vAlign w:val="center"/>
                </w:tcPr>
                <w:p w14:paraId="19E4912C">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0.017</w:t>
                  </w:r>
                </w:p>
              </w:tc>
            </w:tr>
            <w:tr w14:paraId="6C1D6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340" w:type="pct"/>
                  <w:vMerge w:val="restart"/>
                  <w:noWrap w:val="0"/>
                  <w:vAlign w:val="center"/>
                </w:tcPr>
                <w:p w14:paraId="337960DA">
                  <w:pPr>
                    <w:spacing w:line="240" w:lineRule="auto"/>
                    <w:ind w:firstLine="0" w:firstLineChars="0"/>
                    <w:jc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RDF燃料生产线</w:t>
                  </w:r>
                </w:p>
              </w:tc>
              <w:tc>
                <w:tcPr>
                  <w:tcW w:w="340" w:type="pct"/>
                  <w:vMerge w:val="restart"/>
                  <w:noWrap w:val="0"/>
                  <w:vAlign w:val="center"/>
                </w:tcPr>
                <w:p w14:paraId="40BC12B4">
                  <w:pPr>
                    <w:spacing w:line="240" w:lineRule="auto"/>
                    <w:ind w:firstLine="0" w:firstLineChars="0"/>
                    <w:jc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撕碎、成型</w:t>
                  </w:r>
                </w:p>
              </w:tc>
              <w:tc>
                <w:tcPr>
                  <w:tcW w:w="364" w:type="pct"/>
                  <w:vMerge w:val="restart"/>
                  <w:noWrap w:val="0"/>
                  <w:vAlign w:val="center"/>
                </w:tcPr>
                <w:p w14:paraId="5079550E">
                  <w:pPr>
                    <w:widowControl w:val="0"/>
                    <w:spacing w:after="0" w:line="240" w:lineRule="auto"/>
                    <w:ind w:left="0" w:leftChars="0" w:firstLine="0" w:firstLineChars="0"/>
                    <w:jc w:val="center"/>
                    <w:rPr>
                      <w:rFonts w:hint="eastAsia" w:hAnsi="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粉尘</w:t>
                  </w:r>
                </w:p>
              </w:tc>
              <w:tc>
                <w:tcPr>
                  <w:tcW w:w="359" w:type="pct"/>
                  <w:noWrap w:val="0"/>
                  <w:vAlign w:val="center"/>
                </w:tcPr>
                <w:p w14:paraId="63B82B05">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有组织</w:t>
                  </w:r>
                </w:p>
              </w:tc>
              <w:tc>
                <w:tcPr>
                  <w:tcW w:w="320" w:type="pct"/>
                  <w:noWrap w:val="0"/>
                  <w:vAlign w:val="center"/>
                </w:tcPr>
                <w:p w14:paraId="0F197E01">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30000</w:t>
                  </w:r>
                </w:p>
              </w:tc>
              <w:tc>
                <w:tcPr>
                  <w:tcW w:w="501" w:type="pct"/>
                  <w:noWrap w:val="0"/>
                  <w:vAlign w:val="center"/>
                </w:tcPr>
                <w:p w14:paraId="1B48195E">
                  <w:pPr>
                    <w:keepNext w:val="0"/>
                    <w:keepLines w:val="0"/>
                    <w:widowControl/>
                    <w:suppressLineNumbers w:val="0"/>
                    <w:spacing w:line="240" w:lineRule="auto"/>
                    <w:ind w:firstLine="0" w:firstLineChars="0"/>
                    <w:jc w:val="center"/>
                    <w:textAlignment w:val="center"/>
                    <w:rPr>
                      <w:rFonts w:hint="default" w:cs="Times New Roman"/>
                      <w:color w:val="auto"/>
                      <w:kern w:val="2"/>
                      <w:sz w:val="21"/>
                      <w:szCs w:val="21"/>
                      <w:lang w:val="en-US" w:eastAsia="zh-CN" w:bidi="ar-SA"/>
                    </w:rPr>
                  </w:pPr>
                  <w:r>
                    <w:rPr>
                      <w:rFonts w:hint="eastAsia" w:hAnsi="宋体" w:cs="Times New Roman"/>
                      <w:color w:val="auto"/>
                      <w:sz w:val="21"/>
                      <w:szCs w:val="21"/>
                      <w:lang w:val="en-US" w:eastAsia="zh-CN"/>
                    </w:rPr>
                    <w:t>1742.19</w:t>
                  </w:r>
                </w:p>
              </w:tc>
              <w:tc>
                <w:tcPr>
                  <w:tcW w:w="401" w:type="pct"/>
                  <w:noWrap w:val="0"/>
                  <w:vAlign w:val="center"/>
                </w:tcPr>
                <w:p w14:paraId="699336FF">
                  <w:pPr>
                    <w:keepNext w:val="0"/>
                    <w:keepLines w:val="0"/>
                    <w:widowControl/>
                    <w:suppressLineNumbers w:val="0"/>
                    <w:spacing w:line="240" w:lineRule="auto"/>
                    <w:ind w:firstLine="0" w:firstLineChars="0"/>
                    <w:jc w:val="center"/>
                    <w:textAlignment w:val="center"/>
                    <w:rPr>
                      <w:rFonts w:hint="default" w:cs="Times New Roman"/>
                      <w:color w:val="auto"/>
                      <w:sz w:val="21"/>
                      <w:szCs w:val="21"/>
                      <w:lang w:val="en-US" w:eastAsia="zh-CN"/>
                    </w:rPr>
                  </w:pPr>
                  <w:r>
                    <w:rPr>
                      <w:rFonts w:hint="eastAsia" w:cs="Times New Roman"/>
                      <w:color w:val="auto"/>
                      <w:sz w:val="21"/>
                      <w:szCs w:val="21"/>
                      <w:lang w:val="en-US" w:eastAsia="zh-CN"/>
                    </w:rPr>
                    <w:t>52.27</w:t>
                  </w:r>
                </w:p>
              </w:tc>
              <w:tc>
                <w:tcPr>
                  <w:tcW w:w="346" w:type="pct"/>
                  <w:noWrap w:val="0"/>
                  <w:vAlign w:val="center"/>
                </w:tcPr>
                <w:p w14:paraId="7708AC42">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133.8</w:t>
                  </w:r>
                </w:p>
              </w:tc>
              <w:tc>
                <w:tcPr>
                  <w:tcW w:w="614" w:type="pct"/>
                  <w:noWrap w:val="0"/>
                  <w:vAlign w:val="center"/>
                </w:tcPr>
                <w:p w14:paraId="284226F0">
                  <w:pPr>
                    <w:spacing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sz w:val="21"/>
                      <w:szCs w:val="21"/>
                      <w:lang w:val="en-US" w:eastAsia="zh-CN"/>
                    </w:rPr>
                    <w:t>集气罩+布袋除尘器+15m排气筒(DA003)</w:t>
                  </w:r>
                </w:p>
              </w:tc>
              <w:tc>
                <w:tcPr>
                  <w:tcW w:w="285" w:type="pct"/>
                  <w:noWrap w:val="0"/>
                  <w:vAlign w:val="center"/>
                </w:tcPr>
                <w:p w14:paraId="7C735744">
                  <w:pPr>
                    <w:spacing w:line="240" w:lineRule="auto"/>
                    <w:ind w:left="-120" w:leftChars="-50" w:right="-120" w:rightChars="-50" w:firstLine="0" w:firstLineChars="0"/>
                    <w:jc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99.5</w:t>
                  </w:r>
                </w:p>
              </w:tc>
              <w:tc>
                <w:tcPr>
                  <w:tcW w:w="373" w:type="pct"/>
                  <w:noWrap w:val="0"/>
                  <w:vAlign w:val="center"/>
                </w:tcPr>
                <w:p w14:paraId="1B7678CB">
                  <w:pPr>
                    <w:keepNext w:val="0"/>
                    <w:keepLines w:val="0"/>
                    <w:widowControl/>
                    <w:suppressLineNumbers w:val="0"/>
                    <w:spacing w:line="240" w:lineRule="auto"/>
                    <w:ind w:firstLine="0" w:firstLineChars="0"/>
                    <w:jc w:val="center"/>
                    <w:textAlignment w:val="center"/>
                    <w:rPr>
                      <w:rFonts w:hint="default" w:hAnsi="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7.84</w:t>
                  </w:r>
                </w:p>
              </w:tc>
              <w:tc>
                <w:tcPr>
                  <w:tcW w:w="404" w:type="pct"/>
                  <w:noWrap w:val="0"/>
                  <w:vAlign w:val="center"/>
                </w:tcPr>
                <w:p w14:paraId="6CFC6767">
                  <w:pPr>
                    <w:keepNext w:val="0"/>
                    <w:keepLines w:val="0"/>
                    <w:widowControl/>
                    <w:suppressLineNumbers w:val="0"/>
                    <w:spacing w:line="240" w:lineRule="auto"/>
                    <w:ind w:firstLine="0" w:firstLineChars="0"/>
                    <w:jc w:val="center"/>
                    <w:textAlignment w:val="center"/>
                    <w:rPr>
                      <w:rFonts w:hint="default" w:cs="Times New Roman"/>
                      <w:color w:val="auto"/>
                      <w:sz w:val="21"/>
                      <w:szCs w:val="21"/>
                      <w:lang w:val="en-US" w:eastAsia="zh-CN"/>
                    </w:rPr>
                  </w:pPr>
                  <w:r>
                    <w:rPr>
                      <w:rFonts w:hint="eastAsia" w:cs="Times New Roman"/>
                      <w:color w:val="auto"/>
                      <w:sz w:val="21"/>
                      <w:szCs w:val="21"/>
                      <w:lang w:val="en-US" w:eastAsia="zh-CN"/>
                    </w:rPr>
                    <w:t>0.24</w:t>
                  </w:r>
                </w:p>
              </w:tc>
              <w:tc>
                <w:tcPr>
                  <w:tcW w:w="350" w:type="pct"/>
                  <w:noWrap w:val="0"/>
                  <w:vAlign w:val="center"/>
                </w:tcPr>
                <w:p w14:paraId="45777E63">
                  <w:pPr>
                    <w:keepNext w:val="0"/>
                    <w:keepLines w:val="0"/>
                    <w:widowControl/>
                    <w:suppressLineNumbers w:val="0"/>
                    <w:spacing w:line="240" w:lineRule="auto"/>
                    <w:ind w:firstLine="0" w:firstLineChars="0"/>
                    <w:jc w:val="center"/>
                    <w:textAlignment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0.60</w:t>
                  </w:r>
                </w:p>
              </w:tc>
            </w:tr>
            <w:tr w14:paraId="698D4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340" w:type="pct"/>
                  <w:vMerge w:val="continue"/>
                  <w:noWrap w:val="0"/>
                  <w:vAlign w:val="center"/>
                </w:tcPr>
                <w:p w14:paraId="33A156A9">
                  <w:pPr>
                    <w:spacing w:line="240" w:lineRule="auto"/>
                    <w:ind w:firstLine="0" w:firstLineChars="0"/>
                    <w:jc w:val="center"/>
                    <w:rPr>
                      <w:rFonts w:hint="eastAsia" w:hAnsi="宋体" w:cs="Times New Roman"/>
                      <w:color w:val="auto"/>
                      <w:sz w:val="21"/>
                      <w:szCs w:val="21"/>
                      <w:lang w:val="en-US" w:eastAsia="zh-CN"/>
                    </w:rPr>
                  </w:pPr>
                </w:p>
              </w:tc>
              <w:tc>
                <w:tcPr>
                  <w:tcW w:w="340" w:type="pct"/>
                  <w:vMerge w:val="continue"/>
                  <w:noWrap w:val="0"/>
                  <w:vAlign w:val="center"/>
                </w:tcPr>
                <w:p w14:paraId="5C0E73C1">
                  <w:pPr>
                    <w:spacing w:line="240" w:lineRule="auto"/>
                    <w:ind w:firstLine="0" w:firstLineChars="0"/>
                    <w:jc w:val="center"/>
                    <w:rPr>
                      <w:rFonts w:hint="eastAsia" w:hAnsi="宋体" w:cs="Times New Roman"/>
                      <w:color w:val="auto"/>
                      <w:sz w:val="21"/>
                      <w:szCs w:val="21"/>
                      <w:lang w:val="en-US" w:eastAsia="zh-CN"/>
                    </w:rPr>
                  </w:pPr>
                </w:p>
              </w:tc>
              <w:tc>
                <w:tcPr>
                  <w:tcW w:w="364" w:type="pct"/>
                  <w:vMerge w:val="continue"/>
                  <w:noWrap w:val="0"/>
                  <w:vAlign w:val="center"/>
                </w:tcPr>
                <w:p w14:paraId="5303B517">
                  <w:pPr>
                    <w:widowControl w:val="0"/>
                    <w:spacing w:after="0" w:line="240" w:lineRule="auto"/>
                    <w:ind w:left="0" w:leftChars="0" w:firstLine="0" w:firstLineChars="0"/>
                    <w:jc w:val="center"/>
                    <w:rPr>
                      <w:rFonts w:hint="eastAsia" w:hAnsi="宋体" w:cs="Times New Roman"/>
                      <w:color w:val="auto"/>
                      <w:kern w:val="2"/>
                      <w:sz w:val="21"/>
                      <w:szCs w:val="21"/>
                      <w:lang w:val="en-US" w:eastAsia="zh-CN" w:bidi="ar-SA"/>
                    </w:rPr>
                  </w:pPr>
                </w:p>
              </w:tc>
              <w:tc>
                <w:tcPr>
                  <w:tcW w:w="359" w:type="pct"/>
                  <w:noWrap w:val="0"/>
                  <w:vAlign w:val="center"/>
                </w:tcPr>
                <w:p w14:paraId="5AA72562">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无组织</w:t>
                  </w:r>
                </w:p>
              </w:tc>
              <w:tc>
                <w:tcPr>
                  <w:tcW w:w="320" w:type="pct"/>
                  <w:noWrap w:val="0"/>
                  <w:vAlign w:val="center"/>
                </w:tcPr>
                <w:p w14:paraId="2821A91B">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w:t>
                  </w:r>
                </w:p>
              </w:tc>
              <w:tc>
                <w:tcPr>
                  <w:tcW w:w="501" w:type="pct"/>
                  <w:noWrap w:val="0"/>
                  <w:vAlign w:val="center"/>
                </w:tcPr>
                <w:p w14:paraId="0C1939C3">
                  <w:pPr>
                    <w:spacing w:line="240" w:lineRule="auto"/>
                    <w:ind w:firstLine="0" w:firstLineChars="0"/>
                    <w:jc w:val="center"/>
                    <w:rPr>
                      <w:rFonts w:hint="eastAsia"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401" w:type="pct"/>
                  <w:noWrap w:val="0"/>
                  <w:vAlign w:val="center"/>
                </w:tcPr>
                <w:p w14:paraId="3B813971">
                  <w:pPr>
                    <w:keepNext w:val="0"/>
                    <w:keepLines w:val="0"/>
                    <w:widowControl/>
                    <w:suppressLineNumbers w:val="0"/>
                    <w:spacing w:line="240" w:lineRule="auto"/>
                    <w:ind w:firstLine="0" w:firstLineChars="0"/>
                    <w:jc w:val="center"/>
                    <w:textAlignment w:val="center"/>
                    <w:rPr>
                      <w:rFonts w:hint="eastAsia" w:cs="Times New Roman"/>
                      <w:color w:val="auto"/>
                      <w:sz w:val="21"/>
                      <w:szCs w:val="21"/>
                      <w:lang w:val="en-US" w:eastAsia="zh-CN"/>
                    </w:rPr>
                  </w:pPr>
                  <w:r>
                    <w:rPr>
                      <w:rFonts w:hint="eastAsia" w:cs="Times New Roman"/>
                      <w:color w:val="auto"/>
                      <w:sz w:val="21"/>
                      <w:szCs w:val="21"/>
                      <w:lang w:val="en-US" w:eastAsia="zh-CN"/>
                    </w:rPr>
                    <w:t>2.17</w:t>
                  </w:r>
                </w:p>
              </w:tc>
              <w:tc>
                <w:tcPr>
                  <w:tcW w:w="346" w:type="pct"/>
                  <w:noWrap w:val="0"/>
                  <w:vAlign w:val="center"/>
                </w:tcPr>
                <w:p w14:paraId="74539908">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13.38</w:t>
                  </w:r>
                </w:p>
              </w:tc>
              <w:tc>
                <w:tcPr>
                  <w:tcW w:w="614" w:type="pct"/>
                  <w:noWrap w:val="0"/>
                  <w:vAlign w:val="center"/>
                </w:tcPr>
                <w:p w14:paraId="72D4DFD8">
                  <w:pPr>
                    <w:widowControl w:val="0"/>
                    <w:adjustRightInd w:val="0"/>
                    <w:snapToGrid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喷淋抑尘</w:t>
                  </w:r>
                </w:p>
              </w:tc>
              <w:tc>
                <w:tcPr>
                  <w:tcW w:w="285" w:type="pct"/>
                  <w:noWrap w:val="0"/>
                  <w:vAlign w:val="center"/>
                </w:tcPr>
                <w:p w14:paraId="3C6F8DC8">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95</w:t>
                  </w:r>
                </w:p>
              </w:tc>
              <w:tc>
                <w:tcPr>
                  <w:tcW w:w="373" w:type="pct"/>
                  <w:noWrap w:val="0"/>
                  <w:vAlign w:val="center"/>
                </w:tcPr>
                <w:p w14:paraId="3909996F">
                  <w:pPr>
                    <w:spacing w:line="240" w:lineRule="auto"/>
                    <w:ind w:firstLine="0" w:firstLineChars="0"/>
                    <w:jc w:val="center"/>
                    <w:rPr>
                      <w:rFonts w:hint="eastAsia" w:hAnsi="宋体"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404" w:type="pct"/>
                  <w:noWrap w:val="0"/>
                  <w:vAlign w:val="center"/>
                </w:tcPr>
                <w:p w14:paraId="4D4D3788">
                  <w:pPr>
                    <w:keepNext w:val="0"/>
                    <w:keepLines w:val="0"/>
                    <w:widowControl/>
                    <w:suppressLineNumbers w:val="0"/>
                    <w:spacing w:line="240" w:lineRule="auto"/>
                    <w:ind w:firstLine="0" w:firstLineChars="0"/>
                    <w:jc w:val="center"/>
                    <w:textAlignment w:val="center"/>
                    <w:rPr>
                      <w:rFonts w:hint="default" w:cs="Times New Roman"/>
                      <w:color w:val="auto"/>
                      <w:sz w:val="21"/>
                      <w:szCs w:val="21"/>
                      <w:lang w:val="en-US" w:eastAsia="zh-CN"/>
                    </w:rPr>
                  </w:pPr>
                  <w:r>
                    <w:rPr>
                      <w:rFonts w:hint="eastAsia" w:cs="Times New Roman"/>
                      <w:color w:val="auto"/>
                      <w:sz w:val="21"/>
                      <w:szCs w:val="21"/>
                      <w:lang w:val="en-US" w:eastAsia="zh-CN"/>
                    </w:rPr>
                    <w:t>0.26</w:t>
                  </w:r>
                </w:p>
              </w:tc>
              <w:tc>
                <w:tcPr>
                  <w:tcW w:w="350" w:type="pct"/>
                  <w:noWrap w:val="0"/>
                  <w:vAlign w:val="center"/>
                </w:tcPr>
                <w:p w14:paraId="29D3CD3D">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0.67</w:t>
                  </w:r>
                </w:p>
              </w:tc>
            </w:tr>
            <w:tr w14:paraId="0E24F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340" w:type="pct"/>
                  <w:vMerge w:val="continue"/>
                  <w:noWrap w:val="0"/>
                  <w:vAlign w:val="center"/>
                </w:tcPr>
                <w:p w14:paraId="35D11B73">
                  <w:pPr>
                    <w:spacing w:line="240" w:lineRule="auto"/>
                    <w:ind w:firstLine="0" w:firstLineChars="0"/>
                    <w:jc w:val="center"/>
                    <w:rPr>
                      <w:rFonts w:hint="default" w:hAnsi="宋体" w:cs="Times New Roman"/>
                      <w:color w:val="auto"/>
                      <w:sz w:val="21"/>
                      <w:szCs w:val="21"/>
                      <w:lang w:val="en-US" w:eastAsia="zh-CN"/>
                    </w:rPr>
                  </w:pPr>
                </w:p>
              </w:tc>
              <w:tc>
                <w:tcPr>
                  <w:tcW w:w="340" w:type="pct"/>
                  <w:vMerge w:val="restart"/>
                  <w:noWrap w:val="0"/>
                  <w:vAlign w:val="center"/>
                </w:tcPr>
                <w:p w14:paraId="3C17C155">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污泥贮存、成型</w:t>
                  </w:r>
                </w:p>
                <w:p w14:paraId="15F99FE3">
                  <w:pPr>
                    <w:spacing w:line="240" w:lineRule="auto"/>
                    <w:ind w:firstLine="0" w:firstLineChars="0"/>
                    <w:jc w:val="center"/>
                    <w:rPr>
                      <w:rFonts w:hint="eastAsia" w:hAnsi="宋体" w:cs="Times New Roman"/>
                      <w:color w:val="auto"/>
                      <w:sz w:val="21"/>
                      <w:szCs w:val="21"/>
                      <w:lang w:val="en-US" w:eastAsia="zh-CN"/>
                    </w:rPr>
                  </w:pPr>
                </w:p>
              </w:tc>
              <w:tc>
                <w:tcPr>
                  <w:tcW w:w="364" w:type="pct"/>
                  <w:vMerge w:val="restart"/>
                  <w:noWrap w:val="0"/>
                  <w:vAlign w:val="center"/>
                </w:tcPr>
                <w:p w14:paraId="65F5945A">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氨</w:t>
                  </w:r>
                </w:p>
              </w:tc>
              <w:tc>
                <w:tcPr>
                  <w:tcW w:w="359" w:type="pct"/>
                  <w:noWrap w:val="0"/>
                  <w:vAlign w:val="center"/>
                </w:tcPr>
                <w:p w14:paraId="3662EBB2">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有组织</w:t>
                  </w:r>
                </w:p>
              </w:tc>
              <w:tc>
                <w:tcPr>
                  <w:tcW w:w="320" w:type="pct"/>
                  <w:noWrap w:val="0"/>
                  <w:vAlign w:val="center"/>
                </w:tcPr>
                <w:p w14:paraId="585317CF">
                  <w:pPr>
                    <w:spacing w:line="240" w:lineRule="auto"/>
                    <w:ind w:firstLine="0" w:firstLineChars="0"/>
                    <w:jc w:val="center"/>
                    <w:rPr>
                      <w:rFonts w:hint="default" w:ascii="Times New Roman" w:hAnsi="宋体" w:eastAsia="宋体" w:cs="Times New Roman"/>
                      <w:color w:val="auto"/>
                      <w:sz w:val="21"/>
                      <w:szCs w:val="21"/>
                      <w:lang w:val="en-US"/>
                    </w:rPr>
                  </w:pPr>
                  <w:r>
                    <w:rPr>
                      <w:rFonts w:hint="eastAsia" w:hAnsi="宋体" w:cs="Times New Roman"/>
                      <w:color w:val="auto"/>
                      <w:sz w:val="21"/>
                      <w:szCs w:val="21"/>
                      <w:lang w:val="en-US" w:eastAsia="zh-CN"/>
                    </w:rPr>
                    <w:t>12000</w:t>
                  </w:r>
                </w:p>
              </w:tc>
              <w:tc>
                <w:tcPr>
                  <w:tcW w:w="501" w:type="pct"/>
                  <w:noWrap w:val="0"/>
                  <w:vAlign w:val="center"/>
                </w:tcPr>
                <w:p w14:paraId="321D239C">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89.06</w:t>
                  </w:r>
                </w:p>
              </w:tc>
              <w:tc>
                <w:tcPr>
                  <w:tcW w:w="401" w:type="pct"/>
                  <w:noWrap w:val="0"/>
                  <w:vAlign w:val="center"/>
                </w:tcPr>
                <w:p w14:paraId="7325732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1.07</w:t>
                  </w:r>
                </w:p>
              </w:tc>
              <w:tc>
                <w:tcPr>
                  <w:tcW w:w="346" w:type="pct"/>
                  <w:noWrap w:val="0"/>
                  <w:vAlign w:val="center"/>
                </w:tcPr>
                <w:p w14:paraId="5993CA00">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2.74</w:t>
                  </w:r>
                </w:p>
              </w:tc>
              <w:tc>
                <w:tcPr>
                  <w:tcW w:w="614" w:type="pct"/>
                  <w:noWrap w:val="0"/>
                  <w:vAlign w:val="center"/>
                </w:tcPr>
                <w:p w14:paraId="69B2DDFC">
                  <w:pPr>
                    <w:widowControl w:val="0"/>
                    <w:adjustRightInd w:val="0"/>
                    <w:snapToGrid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负压收集+生物除臭塔+15m排气筒（DA004）</w:t>
                  </w:r>
                </w:p>
              </w:tc>
              <w:tc>
                <w:tcPr>
                  <w:tcW w:w="285" w:type="pct"/>
                  <w:noWrap w:val="0"/>
                  <w:vAlign w:val="center"/>
                </w:tcPr>
                <w:p w14:paraId="6BFB5D8D">
                  <w:pPr>
                    <w:spacing w:line="240" w:lineRule="auto"/>
                    <w:ind w:left="-120" w:leftChars="-50" w:right="-120" w:rightChars="-50"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85</w:t>
                  </w:r>
                </w:p>
              </w:tc>
              <w:tc>
                <w:tcPr>
                  <w:tcW w:w="373" w:type="pct"/>
                  <w:noWrap w:val="0"/>
                  <w:vAlign w:val="center"/>
                </w:tcPr>
                <w:p w14:paraId="7757E09C">
                  <w:pPr>
                    <w:keepNext w:val="0"/>
                    <w:keepLines w:val="0"/>
                    <w:widowControl/>
                    <w:suppressLineNumbers w:val="0"/>
                    <w:spacing w:line="240" w:lineRule="auto"/>
                    <w:ind w:firstLine="0" w:firstLineChars="0"/>
                    <w:jc w:val="center"/>
                    <w:textAlignment w:val="center"/>
                    <w:rPr>
                      <w:rFonts w:ascii="Times New Roman" w:hAnsi="宋体" w:eastAsia="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8.83</w:t>
                  </w:r>
                </w:p>
              </w:tc>
              <w:tc>
                <w:tcPr>
                  <w:tcW w:w="404" w:type="pct"/>
                  <w:noWrap w:val="0"/>
                  <w:vAlign w:val="center"/>
                </w:tcPr>
                <w:p w14:paraId="2102455A">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0.16</w:t>
                  </w:r>
                </w:p>
              </w:tc>
              <w:tc>
                <w:tcPr>
                  <w:tcW w:w="350" w:type="pct"/>
                  <w:noWrap w:val="0"/>
                  <w:vAlign w:val="center"/>
                </w:tcPr>
                <w:p w14:paraId="25744A94">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0.411</w:t>
                  </w:r>
                </w:p>
              </w:tc>
            </w:tr>
            <w:tr w14:paraId="68B5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340" w:type="pct"/>
                  <w:vMerge w:val="continue"/>
                  <w:noWrap w:val="0"/>
                  <w:vAlign w:val="center"/>
                </w:tcPr>
                <w:p w14:paraId="48D8DC4F">
                  <w:pPr>
                    <w:spacing w:line="240" w:lineRule="auto"/>
                    <w:ind w:firstLine="0" w:firstLineChars="0"/>
                    <w:jc w:val="center"/>
                    <w:rPr>
                      <w:rFonts w:hint="eastAsia" w:hAnsi="宋体" w:cs="Times New Roman"/>
                      <w:color w:val="auto"/>
                      <w:sz w:val="21"/>
                      <w:szCs w:val="21"/>
                      <w:lang w:val="en-US" w:eastAsia="zh-CN"/>
                    </w:rPr>
                  </w:pPr>
                </w:p>
              </w:tc>
              <w:tc>
                <w:tcPr>
                  <w:tcW w:w="340" w:type="pct"/>
                  <w:vMerge w:val="continue"/>
                  <w:noWrap w:val="0"/>
                  <w:vAlign w:val="center"/>
                </w:tcPr>
                <w:p w14:paraId="1D49B874">
                  <w:pPr>
                    <w:spacing w:line="240" w:lineRule="auto"/>
                    <w:ind w:firstLine="0" w:firstLineChars="0"/>
                    <w:jc w:val="center"/>
                    <w:rPr>
                      <w:rFonts w:hint="eastAsia" w:hAnsi="宋体" w:cs="Times New Roman"/>
                      <w:color w:val="auto"/>
                      <w:sz w:val="21"/>
                      <w:szCs w:val="21"/>
                      <w:lang w:val="en-US" w:eastAsia="zh-CN"/>
                    </w:rPr>
                  </w:pPr>
                </w:p>
              </w:tc>
              <w:tc>
                <w:tcPr>
                  <w:tcW w:w="364" w:type="pct"/>
                  <w:vMerge w:val="continue"/>
                  <w:noWrap w:val="0"/>
                  <w:vAlign w:val="center"/>
                </w:tcPr>
                <w:p w14:paraId="7D3BA025">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p>
              </w:tc>
              <w:tc>
                <w:tcPr>
                  <w:tcW w:w="359" w:type="pct"/>
                  <w:noWrap w:val="0"/>
                  <w:vAlign w:val="center"/>
                </w:tcPr>
                <w:p w14:paraId="6FBDF18B">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无组织</w:t>
                  </w:r>
                </w:p>
              </w:tc>
              <w:tc>
                <w:tcPr>
                  <w:tcW w:w="320" w:type="pct"/>
                  <w:noWrap w:val="0"/>
                  <w:vAlign w:val="center"/>
                </w:tcPr>
                <w:p w14:paraId="40765FB1">
                  <w:pPr>
                    <w:spacing w:line="240" w:lineRule="auto"/>
                    <w:ind w:firstLine="0" w:firstLineChars="0"/>
                    <w:jc w:val="center"/>
                    <w:rPr>
                      <w:rFonts w:ascii="Times New Roman" w:hAnsi="宋体" w:eastAsia="宋体" w:cs="Times New Roman"/>
                      <w:color w:val="auto"/>
                      <w:sz w:val="21"/>
                      <w:szCs w:val="21"/>
                    </w:rPr>
                  </w:pPr>
                  <w:r>
                    <w:rPr>
                      <w:rFonts w:hint="eastAsia" w:hAnsi="宋体" w:cs="Times New Roman"/>
                      <w:color w:val="auto"/>
                      <w:sz w:val="21"/>
                      <w:szCs w:val="21"/>
                      <w:lang w:val="en-US" w:eastAsia="zh-CN"/>
                    </w:rPr>
                    <w:t>--</w:t>
                  </w:r>
                </w:p>
              </w:tc>
              <w:tc>
                <w:tcPr>
                  <w:tcW w:w="501" w:type="pct"/>
                  <w:noWrap w:val="0"/>
                  <w:vAlign w:val="center"/>
                </w:tcPr>
                <w:p w14:paraId="5001D6AC">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401" w:type="pct"/>
                  <w:noWrap w:val="0"/>
                  <w:vAlign w:val="center"/>
                </w:tcPr>
                <w:p w14:paraId="402FDB2D">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0.055</w:t>
                  </w:r>
                </w:p>
              </w:tc>
              <w:tc>
                <w:tcPr>
                  <w:tcW w:w="346" w:type="pct"/>
                  <w:noWrap w:val="0"/>
                  <w:vAlign w:val="center"/>
                </w:tcPr>
                <w:p w14:paraId="79619BC4">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0.14</w:t>
                  </w:r>
                </w:p>
              </w:tc>
              <w:tc>
                <w:tcPr>
                  <w:tcW w:w="614" w:type="pct"/>
                  <w:noWrap w:val="0"/>
                  <w:vAlign w:val="center"/>
                </w:tcPr>
                <w:p w14:paraId="4A231E98">
                  <w:pPr>
                    <w:widowControl w:val="0"/>
                    <w:adjustRightInd w:val="0"/>
                    <w:snapToGrid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285" w:type="pct"/>
                  <w:noWrap w:val="0"/>
                  <w:vAlign w:val="center"/>
                </w:tcPr>
                <w:p w14:paraId="25289E59">
                  <w:pPr>
                    <w:spacing w:line="240" w:lineRule="auto"/>
                    <w:ind w:firstLine="0" w:firstLineChars="0"/>
                    <w:jc w:val="center"/>
                    <w:rPr>
                      <w:rFonts w:hint="eastAsia" w:ascii="Times New Roman" w:hAnsi="宋体" w:eastAsia="宋体" w:cs="Times New Roman"/>
                      <w:color w:val="auto"/>
                      <w:sz w:val="21"/>
                      <w:szCs w:val="21"/>
                    </w:rPr>
                  </w:pPr>
                  <w:r>
                    <w:rPr>
                      <w:rFonts w:hint="eastAsia" w:hAnsi="宋体" w:cs="Times New Roman"/>
                      <w:color w:val="auto"/>
                      <w:sz w:val="21"/>
                      <w:szCs w:val="21"/>
                      <w:lang w:val="en-US" w:eastAsia="zh-CN"/>
                    </w:rPr>
                    <w:t>--</w:t>
                  </w:r>
                </w:p>
              </w:tc>
              <w:tc>
                <w:tcPr>
                  <w:tcW w:w="373" w:type="pct"/>
                  <w:noWrap w:val="0"/>
                  <w:vAlign w:val="center"/>
                </w:tcPr>
                <w:p w14:paraId="5D1FBDBD">
                  <w:pPr>
                    <w:spacing w:line="240" w:lineRule="auto"/>
                    <w:ind w:firstLine="0" w:firstLineChars="0"/>
                    <w:jc w:val="center"/>
                    <w:rPr>
                      <w:rFonts w:ascii="Times New Roman" w:hAnsi="宋体" w:eastAsia="宋体"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404" w:type="pct"/>
                  <w:noWrap w:val="0"/>
                  <w:vAlign w:val="center"/>
                </w:tcPr>
                <w:p w14:paraId="2EB5D27B">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0.055</w:t>
                  </w:r>
                </w:p>
              </w:tc>
              <w:tc>
                <w:tcPr>
                  <w:tcW w:w="350" w:type="pct"/>
                  <w:noWrap w:val="0"/>
                  <w:vAlign w:val="center"/>
                </w:tcPr>
                <w:p w14:paraId="6F69F93F">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0.14</w:t>
                  </w:r>
                </w:p>
              </w:tc>
            </w:tr>
            <w:tr w14:paraId="531F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40" w:type="pct"/>
                  <w:vMerge w:val="continue"/>
                  <w:noWrap w:val="0"/>
                  <w:vAlign w:val="center"/>
                </w:tcPr>
                <w:p w14:paraId="528BBFC0">
                  <w:pPr>
                    <w:spacing w:line="240" w:lineRule="auto"/>
                    <w:ind w:firstLine="0" w:firstLineChars="0"/>
                    <w:jc w:val="center"/>
                    <w:rPr>
                      <w:rFonts w:hint="eastAsia" w:hAnsi="宋体" w:cs="Times New Roman"/>
                      <w:color w:val="auto"/>
                      <w:sz w:val="21"/>
                      <w:szCs w:val="21"/>
                      <w:lang w:val="en-US" w:eastAsia="zh-CN"/>
                    </w:rPr>
                  </w:pPr>
                </w:p>
              </w:tc>
              <w:tc>
                <w:tcPr>
                  <w:tcW w:w="340" w:type="pct"/>
                  <w:vMerge w:val="continue"/>
                  <w:noWrap w:val="0"/>
                  <w:vAlign w:val="center"/>
                </w:tcPr>
                <w:p w14:paraId="4CF62288">
                  <w:pPr>
                    <w:spacing w:line="240" w:lineRule="auto"/>
                    <w:ind w:firstLine="0" w:firstLineChars="0"/>
                    <w:jc w:val="center"/>
                    <w:rPr>
                      <w:rFonts w:hint="eastAsia" w:hAnsi="宋体" w:cs="Times New Roman"/>
                      <w:color w:val="auto"/>
                      <w:sz w:val="21"/>
                      <w:szCs w:val="21"/>
                      <w:lang w:val="en-US" w:eastAsia="zh-CN"/>
                    </w:rPr>
                  </w:pPr>
                </w:p>
              </w:tc>
              <w:tc>
                <w:tcPr>
                  <w:tcW w:w="364" w:type="pct"/>
                  <w:vMerge w:val="restart"/>
                  <w:noWrap w:val="0"/>
                  <w:vAlign w:val="center"/>
                </w:tcPr>
                <w:p w14:paraId="34AB6B48">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硫化氢</w:t>
                  </w:r>
                </w:p>
              </w:tc>
              <w:tc>
                <w:tcPr>
                  <w:tcW w:w="359" w:type="pct"/>
                  <w:noWrap w:val="0"/>
                  <w:vAlign w:val="center"/>
                </w:tcPr>
                <w:p w14:paraId="3CADEED3">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有组织</w:t>
                  </w:r>
                </w:p>
              </w:tc>
              <w:tc>
                <w:tcPr>
                  <w:tcW w:w="320" w:type="pct"/>
                  <w:noWrap w:val="0"/>
                  <w:vAlign w:val="center"/>
                </w:tcPr>
                <w:p w14:paraId="51AB7857">
                  <w:pPr>
                    <w:spacing w:line="240" w:lineRule="auto"/>
                    <w:ind w:firstLine="0" w:firstLineChars="0"/>
                    <w:jc w:val="center"/>
                    <w:rPr>
                      <w:rFonts w:hint="default" w:ascii="Times New Roman" w:hAnsi="宋体" w:eastAsia="宋体" w:cs="Times New Roman"/>
                      <w:color w:val="auto"/>
                      <w:sz w:val="21"/>
                      <w:szCs w:val="21"/>
                      <w:lang w:val="en-US"/>
                    </w:rPr>
                  </w:pPr>
                  <w:r>
                    <w:rPr>
                      <w:rFonts w:hint="eastAsia" w:hAnsi="宋体" w:cs="Times New Roman"/>
                      <w:color w:val="auto"/>
                      <w:sz w:val="21"/>
                      <w:szCs w:val="21"/>
                      <w:lang w:val="en-US" w:eastAsia="zh-CN"/>
                    </w:rPr>
                    <w:t>12000</w:t>
                  </w:r>
                </w:p>
              </w:tc>
              <w:tc>
                <w:tcPr>
                  <w:tcW w:w="501" w:type="pct"/>
                  <w:noWrap w:val="0"/>
                  <w:vAlign w:val="center"/>
                </w:tcPr>
                <w:p w14:paraId="416BD6E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2.47</w:t>
                  </w:r>
                </w:p>
              </w:tc>
              <w:tc>
                <w:tcPr>
                  <w:tcW w:w="401" w:type="pct"/>
                  <w:noWrap w:val="0"/>
                  <w:vAlign w:val="center"/>
                </w:tcPr>
                <w:p w14:paraId="0A57AF8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0.30</w:t>
                  </w:r>
                </w:p>
              </w:tc>
              <w:tc>
                <w:tcPr>
                  <w:tcW w:w="346" w:type="pct"/>
                  <w:noWrap w:val="0"/>
                  <w:vAlign w:val="center"/>
                </w:tcPr>
                <w:p w14:paraId="066B3670">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0.076</w:t>
                  </w:r>
                </w:p>
              </w:tc>
              <w:tc>
                <w:tcPr>
                  <w:tcW w:w="614" w:type="pct"/>
                  <w:noWrap w:val="0"/>
                  <w:vAlign w:val="center"/>
                </w:tcPr>
                <w:p w14:paraId="69A9114D">
                  <w:pPr>
                    <w:widowControl w:val="0"/>
                    <w:adjustRightInd w:val="0"/>
                    <w:snapToGrid w:val="0"/>
                    <w:spacing w:after="0" w:line="240" w:lineRule="auto"/>
                    <w:ind w:left="-120" w:leftChars="-50" w:right="-120" w:rightChars="-50"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负压收集+生物除臭塔+15m排气筒（DA004）</w:t>
                  </w:r>
                </w:p>
              </w:tc>
              <w:tc>
                <w:tcPr>
                  <w:tcW w:w="285" w:type="pct"/>
                  <w:noWrap w:val="0"/>
                  <w:vAlign w:val="center"/>
                </w:tcPr>
                <w:p w14:paraId="6D1F0CBB">
                  <w:pPr>
                    <w:spacing w:line="240" w:lineRule="auto"/>
                    <w:ind w:left="-120" w:leftChars="-50" w:right="-120" w:rightChars="-50"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85</w:t>
                  </w:r>
                </w:p>
              </w:tc>
              <w:tc>
                <w:tcPr>
                  <w:tcW w:w="373" w:type="pct"/>
                  <w:noWrap w:val="0"/>
                  <w:vAlign w:val="center"/>
                </w:tcPr>
                <w:p w14:paraId="4876ADB1">
                  <w:pPr>
                    <w:keepNext w:val="0"/>
                    <w:keepLines w:val="0"/>
                    <w:widowControl/>
                    <w:suppressLineNumbers w:val="0"/>
                    <w:spacing w:line="240" w:lineRule="auto"/>
                    <w:ind w:firstLine="0" w:firstLineChars="0"/>
                    <w:jc w:val="center"/>
                    <w:textAlignment w:val="center"/>
                    <w:rPr>
                      <w:rFonts w:hint="default" w:ascii="Times New Roman" w:hAnsi="宋体" w:eastAsia="宋体" w:cs="Times New Roman"/>
                      <w:color w:val="auto"/>
                      <w:kern w:val="2"/>
                      <w:sz w:val="21"/>
                      <w:szCs w:val="21"/>
                      <w:lang w:val="en-US" w:eastAsia="zh-CN" w:bidi="ar-SA"/>
                    </w:rPr>
                  </w:pPr>
                  <w:r>
                    <w:rPr>
                      <w:rFonts w:hint="eastAsia" w:hAnsi="宋体" w:cs="Times New Roman"/>
                      <w:color w:val="auto"/>
                      <w:kern w:val="2"/>
                      <w:sz w:val="21"/>
                      <w:szCs w:val="21"/>
                      <w:lang w:val="en-US" w:eastAsia="zh-CN" w:bidi="ar-SA"/>
                    </w:rPr>
                    <w:t>0.37</w:t>
                  </w:r>
                </w:p>
              </w:tc>
              <w:tc>
                <w:tcPr>
                  <w:tcW w:w="404" w:type="pct"/>
                  <w:noWrap w:val="0"/>
                  <w:vAlign w:val="center"/>
                </w:tcPr>
                <w:p w14:paraId="20E5587C">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0.0045</w:t>
                  </w:r>
                </w:p>
              </w:tc>
              <w:tc>
                <w:tcPr>
                  <w:tcW w:w="350" w:type="pct"/>
                  <w:noWrap w:val="0"/>
                  <w:vAlign w:val="center"/>
                </w:tcPr>
                <w:p w14:paraId="57B20665">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0.0114</w:t>
                  </w:r>
                </w:p>
              </w:tc>
            </w:tr>
            <w:tr w14:paraId="37F7F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40" w:type="pct"/>
                  <w:vMerge w:val="continue"/>
                  <w:noWrap w:val="0"/>
                  <w:vAlign w:val="center"/>
                </w:tcPr>
                <w:p w14:paraId="2E615AE7">
                  <w:pPr>
                    <w:spacing w:line="240" w:lineRule="auto"/>
                    <w:ind w:firstLine="0" w:firstLineChars="0"/>
                    <w:jc w:val="center"/>
                    <w:rPr>
                      <w:rFonts w:hint="eastAsia" w:hAnsi="宋体" w:cs="Times New Roman"/>
                      <w:color w:val="auto"/>
                      <w:sz w:val="21"/>
                      <w:szCs w:val="21"/>
                      <w:lang w:val="en-US" w:eastAsia="zh-CN"/>
                    </w:rPr>
                  </w:pPr>
                </w:p>
              </w:tc>
              <w:tc>
                <w:tcPr>
                  <w:tcW w:w="340" w:type="pct"/>
                  <w:vMerge w:val="continue"/>
                  <w:noWrap w:val="0"/>
                  <w:vAlign w:val="center"/>
                </w:tcPr>
                <w:p w14:paraId="6F8A0F75">
                  <w:pPr>
                    <w:spacing w:line="240" w:lineRule="auto"/>
                    <w:ind w:firstLine="0" w:firstLineChars="0"/>
                    <w:jc w:val="center"/>
                    <w:rPr>
                      <w:rFonts w:hint="eastAsia" w:hAnsi="宋体" w:cs="Times New Roman"/>
                      <w:color w:val="auto"/>
                      <w:sz w:val="21"/>
                      <w:szCs w:val="21"/>
                      <w:lang w:val="en-US" w:eastAsia="zh-CN"/>
                    </w:rPr>
                  </w:pPr>
                </w:p>
              </w:tc>
              <w:tc>
                <w:tcPr>
                  <w:tcW w:w="364" w:type="pct"/>
                  <w:vMerge w:val="continue"/>
                  <w:noWrap w:val="0"/>
                  <w:vAlign w:val="center"/>
                </w:tcPr>
                <w:p w14:paraId="28FDDC35">
                  <w:pPr>
                    <w:widowControl w:val="0"/>
                    <w:spacing w:after="0" w:line="240" w:lineRule="auto"/>
                    <w:ind w:left="0" w:leftChars="0" w:firstLine="0" w:firstLineChars="0"/>
                    <w:jc w:val="center"/>
                    <w:rPr>
                      <w:rFonts w:hint="eastAsia" w:ascii="Times New Roman" w:hAnsi="宋体" w:eastAsia="宋体" w:cs="Times New Roman"/>
                      <w:color w:val="auto"/>
                      <w:kern w:val="2"/>
                      <w:sz w:val="21"/>
                      <w:szCs w:val="21"/>
                      <w:lang w:val="en-US" w:eastAsia="zh-CN" w:bidi="ar-SA"/>
                    </w:rPr>
                  </w:pPr>
                </w:p>
              </w:tc>
              <w:tc>
                <w:tcPr>
                  <w:tcW w:w="359" w:type="pct"/>
                  <w:noWrap w:val="0"/>
                  <w:vAlign w:val="center"/>
                </w:tcPr>
                <w:p w14:paraId="3CDF445A">
                  <w:pPr>
                    <w:spacing w:line="240" w:lineRule="auto"/>
                    <w:ind w:firstLine="0" w:firstLineChars="0"/>
                    <w:jc w:val="center"/>
                    <w:rPr>
                      <w:rFonts w:hint="eastAsia" w:ascii="Times New Roman" w:hAnsi="宋体" w:eastAsia="宋体" w:cs="Times New Roman"/>
                      <w:color w:val="auto"/>
                      <w:sz w:val="21"/>
                      <w:szCs w:val="21"/>
                    </w:rPr>
                  </w:pPr>
                  <w:r>
                    <w:rPr>
                      <w:rFonts w:hint="eastAsia" w:ascii="Times New Roman" w:hAnsi="宋体" w:eastAsia="宋体" w:cs="Times New Roman"/>
                      <w:color w:val="auto"/>
                      <w:sz w:val="21"/>
                      <w:szCs w:val="21"/>
                    </w:rPr>
                    <w:t>无组织</w:t>
                  </w:r>
                </w:p>
              </w:tc>
              <w:tc>
                <w:tcPr>
                  <w:tcW w:w="320" w:type="pct"/>
                  <w:noWrap w:val="0"/>
                  <w:vAlign w:val="center"/>
                </w:tcPr>
                <w:p w14:paraId="4EB8A7A8">
                  <w:pPr>
                    <w:spacing w:line="240" w:lineRule="auto"/>
                    <w:ind w:firstLine="0" w:firstLineChars="0"/>
                    <w:jc w:val="center"/>
                    <w:rPr>
                      <w:rFonts w:ascii="Times New Roman" w:hAnsi="宋体" w:eastAsia="宋体" w:cs="Times New Roman"/>
                      <w:color w:val="auto"/>
                      <w:sz w:val="21"/>
                      <w:szCs w:val="21"/>
                    </w:rPr>
                  </w:pPr>
                  <w:r>
                    <w:rPr>
                      <w:rFonts w:hint="eastAsia" w:hAnsi="宋体" w:cs="Times New Roman"/>
                      <w:color w:val="auto"/>
                      <w:sz w:val="21"/>
                      <w:szCs w:val="21"/>
                      <w:lang w:val="en-US" w:eastAsia="zh-CN"/>
                    </w:rPr>
                    <w:t>--</w:t>
                  </w:r>
                </w:p>
              </w:tc>
              <w:tc>
                <w:tcPr>
                  <w:tcW w:w="501" w:type="pct"/>
                  <w:noWrap w:val="0"/>
                  <w:vAlign w:val="center"/>
                </w:tcPr>
                <w:p w14:paraId="68A324F5">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401" w:type="pct"/>
                  <w:noWrap w:val="0"/>
                  <w:vAlign w:val="center"/>
                </w:tcPr>
                <w:p w14:paraId="346D575E">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0.0016</w:t>
                  </w:r>
                </w:p>
              </w:tc>
              <w:tc>
                <w:tcPr>
                  <w:tcW w:w="346" w:type="pct"/>
                  <w:noWrap w:val="0"/>
                  <w:vAlign w:val="center"/>
                </w:tcPr>
                <w:p w14:paraId="6ED4B3FE">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0.004</w:t>
                  </w:r>
                </w:p>
              </w:tc>
              <w:tc>
                <w:tcPr>
                  <w:tcW w:w="614" w:type="pct"/>
                  <w:noWrap w:val="0"/>
                  <w:vAlign w:val="center"/>
                </w:tcPr>
                <w:p w14:paraId="7B07445E">
                  <w:pPr>
                    <w:widowControl w:val="0"/>
                    <w:adjustRightInd w:val="0"/>
                    <w:snapToGrid w:val="0"/>
                    <w:spacing w:after="0" w:line="240" w:lineRule="auto"/>
                    <w:ind w:left="-120" w:leftChars="-50" w:right="-120" w:rightChars="-50"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285" w:type="pct"/>
                  <w:noWrap w:val="0"/>
                  <w:vAlign w:val="center"/>
                </w:tcPr>
                <w:p w14:paraId="34D1E0E9">
                  <w:pPr>
                    <w:spacing w:line="240" w:lineRule="auto"/>
                    <w:ind w:firstLine="0" w:firstLineChars="0"/>
                    <w:jc w:val="center"/>
                    <w:rPr>
                      <w:rFonts w:hint="eastAsia" w:ascii="Times New Roman" w:hAnsi="宋体" w:eastAsia="宋体" w:cs="Times New Roman"/>
                      <w:color w:val="auto"/>
                      <w:sz w:val="21"/>
                      <w:szCs w:val="21"/>
                    </w:rPr>
                  </w:pPr>
                  <w:r>
                    <w:rPr>
                      <w:rFonts w:hint="eastAsia" w:hAnsi="宋体" w:cs="Times New Roman"/>
                      <w:color w:val="auto"/>
                      <w:sz w:val="21"/>
                      <w:szCs w:val="21"/>
                      <w:lang w:val="en-US" w:eastAsia="zh-CN"/>
                    </w:rPr>
                    <w:t>--</w:t>
                  </w:r>
                </w:p>
              </w:tc>
              <w:tc>
                <w:tcPr>
                  <w:tcW w:w="373" w:type="pct"/>
                  <w:noWrap w:val="0"/>
                  <w:vAlign w:val="center"/>
                </w:tcPr>
                <w:p w14:paraId="4CFEE482">
                  <w:pPr>
                    <w:spacing w:line="240" w:lineRule="auto"/>
                    <w:ind w:firstLine="0" w:firstLineChars="0"/>
                    <w:jc w:val="center"/>
                    <w:rPr>
                      <w:rFonts w:ascii="Times New Roman" w:hAnsi="宋体" w:eastAsia="宋体"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404" w:type="pct"/>
                  <w:noWrap w:val="0"/>
                  <w:vAlign w:val="center"/>
                </w:tcPr>
                <w:p w14:paraId="754D9F5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highlight w:val="none"/>
                      <w:lang w:val="en-US" w:eastAsia="zh-CN"/>
                    </w:rPr>
                    <w:t>0.0016</w:t>
                  </w:r>
                </w:p>
              </w:tc>
              <w:tc>
                <w:tcPr>
                  <w:tcW w:w="350" w:type="pct"/>
                  <w:noWrap w:val="0"/>
                  <w:vAlign w:val="center"/>
                </w:tcPr>
                <w:p w14:paraId="60C556C4">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highlight w:val="none"/>
                      <w:lang w:val="en-US" w:eastAsia="zh-CN" w:bidi="ar-SA"/>
                    </w:rPr>
                    <w:t>0.004</w:t>
                  </w:r>
                </w:p>
              </w:tc>
            </w:tr>
          </w:tbl>
          <w:p w14:paraId="3EBBBBC8">
            <w:pPr>
              <w:adjustRightInd w:val="0"/>
              <w:snapToGrid w:val="0"/>
              <w:spacing w:line="240" w:lineRule="auto"/>
              <w:ind w:firstLine="0" w:firstLineChars="0"/>
              <w:jc w:val="center"/>
              <w:rPr>
                <w:rFonts w:hint="default" w:ascii="Times New Roman" w:hAnsi="Times New Roman" w:cs="Times New Roman"/>
                <w:b/>
                <w:bCs/>
                <w:color w:val="auto"/>
                <w:sz w:val="24"/>
                <w:szCs w:val="24"/>
              </w:rPr>
            </w:pPr>
          </w:p>
          <w:p w14:paraId="5DD8088E">
            <w:pPr>
              <w:adjustRightInd w:val="0"/>
              <w:snapToGrid w:val="0"/>
              <w:spacing w:line="240" w:lineRule="auto"/>
              <w:ind w:firstLine="0" w:firstLineChars="0"/>
              <w:jc w:val="center"/>
              <w:rPr>
                <w:b/>
                <w:bCs/>
                <w:color w:val="auto"/>
                <w:sz w:val="21"/>
                <w:szCs w:val="21"/>
              </w:rPr>
            </w:pPr>
            <w:r>
              <w:rPr>
                <w:rFonts w:hint="default" w:ascii="Times New Roman" w:hAnsi="Times New Roman" w:cs="Times New Roman"/>
                <w:b/>
                <w:bCs/>
                <w:color w:val="auto"/>
                <w:sz w:val="21"/>
                <w:szCs w:val="21"/>
              </w:rPr>
              <w:t xml:space="preserve">表4-2 </w:t>
            </w:r>
            <w:r>
              <w:rPr>
                <w:b/>
                <w:bCs/>
                <w:color w:val="auto"/>
                <w:sz w:val="21"/>
                <w:szCs w:val="21"/>
              </w:rPr>
              <w:t xml:space="preserve"> 项目有组织废气排放口一览表</w:t>
            </w:r>
          </w:p>
          <w:tbl>
            <w:tblPr>
              <w:tblStyle w:val="34"/>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689"/>
              <w:gridCol w:w="536"/>
              <w:gridCol w:w="618"/>
              <w:gridCol w:w="667"/>
              <w:gridCol w:w="555"/>
              <w:gridCol w:w="1039"/>
              <w:gridCol w:w="876"/>
              <w:gridCol w:w="792"/>
              <w:gridCol w:w="644"/>
              <w:gridCol w:w="708"/>
              <w:gridCol w:w="723"/>
              <w:gridCol w:w="479"/>
              <w:gridCol w:w="2097"/>
              <w:gridCol w:w="1039"/>
              <w:gridCol w:w="855"/>
              <w:gridCol w:w="397"/>
            </w:tblGrid>
            <w:tr w14:paraId="40BD6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63" w:hRule="atLeast"/>
              </w:trPr>
              <w:tc>
                <w:tcPr>
                  <w:tcW w:w="271" w:type="pct"/>
                  <w:vMerge w:val="restart"/>
                  <w:vAlign w:val="center"/>
                </w:tcPr>
                <w:p w14:paraId="0ABCF526">
                  <w:pPr>
                    <w:adjustRightInd w:val="0"/>
                    <w:snapToGrid w:val="0"/>
                    <w:spacing w:before="24" w:beforeLines="10" w:after="24" w:afterLines="10" w:line="240" w:lineRule="auto"/>
                    <w:ind w:firstLine="0" w:firstLineChars="0"/>
                    <w:jc w:val="center"/>
                    <w:rPr>
                      <w:rFonts w:ascii="黑体" w:hAnsi="黑体"/>
                      <w:b/>
                      <w:color w:val="auto"/>
                      <w:sz w:val="21"/>
                      <w:szCs w:val="21"/>
                      <w:highlight w:val="none"/>
                      <w:lang w:val="zh-CN"/>
                    </w:rPr>
                  </w:pPr>
                  <w:r>
                    <w:rPr>
                      <w:rFonts w:hint="eastAsia"/>
                      <w:b/>
                      <w:bCs/>
                      <w:color w:val="auto"/>
                      <w:kern w:val="0"/>
                      <w:sz w:val="21"/>
                      <w:highlight w:val="none"/>
                    </w:rPr>
                    <w:t>排放筒编号</w:t>
                  </w:r>
                </w:p>
              </w:tc>
              <w:tc>
                <w:tcPr>
                  <w:tcW w:w="211" w:type="pct"/>
                  <w:vMerge w:val="restart"/>
                  <w:vAlign w:val="center"/>
                </w:tcPr>
                <w:p w14:paraId="1A90F5E9">
                  <w:pPr>
                    <w:adjustRightInd w:val="0"/>
                    <w:snapToGrid w:val="0"/>
                    <w:spacing w:before="24" w:beforeLines="10" w:after="24" w:afterLines="10" w:line="240" w:lineRule="auto"/>
                    <w:ind w:firstLine="0" w:firstLineChars="0"/>
                    <w:jc w:val="center"/>
                    <w:rPr>
                      <w:b/>
                      <w:color w:val="auto"/>
                      <w:sz w:val="21"/>
                      <w:szCs w:val="21"/>
                      <w:highlight w:val="none"/>
                    </w:rPr>
                  </w:pPr>
                  <w:r>
                    <w:rPr>
                      <w:rFonts w:hint="eastAsia"/>
                      <w:b/>
                      <w:bCs/>
                      <w:color w:val="auto"/>
                      <w:kern w:val="0"/>
                      <w:sz w:val="21"/>
                      <w:highlight w:val="none"/>
                    </w:rPr>
                    <w:t>排放口名称</w:t>
                  </w:r>
                </w:p>
              </w:tc>
              <w:tc>
                <w:tcPr>
                  <w:tcW w:w="243" w:type="pct"/>
                  <w:vMerge w:val="restart"/>
                  <w:vAlign w:val="center"/>
                </w:tcPr>
                <w:p w14:paraId="10AFFA99">
                  <w:pPr>
                    <w:adjustRightInd w:val="0"/>
                    <w:snapToGrid w:val="0"/>
                    <w:spacing w:line="240" w:lineRule="auto"/>
                    <w:ind w:firstLine="0" w:firstLineChars="0"/>
                    <w:jc w:val="center"/>
                    <w:rPr>
                      <w:b/>
                      <w:color w:val="auto"/>
                      <w:sz w:val="21"/>
                      <w:szCs w:val="21"/>
                      <w:highlight w:val="none"/>
                    </w:rPr>
                  </w:pPr>
                  <w:r>
                    <w:rPr>
                      <w:rFonts w:hint="eastAsia"/>
                      <w:b/>
                      <w:color w:val="auto"/>
                      <w:sz w:val="21"/>
                      <w:szCs w:val="21"/>
                      <w:highlight w:val="none"/>
                    </w:rPr>
                    <w:t>污染物名称</w:t>
                  </w:r>
                </w:p>
              </w:tc>
              <w:tc>
                <w:tcPr>
                  <w:tcW w:w="480" w:type="pct"/>
                  <w:gridSpan w:val="2"/>
                  <w:tcBorders>
                    <w:right w:val="single" w:color="auto" w:sz="4" w:space="0"/>
                  </w:tcBorders>
                  <w:vAlign w:val="center"/>
                </w:tcPr>
                <w:p w14:paraId="31008666">
                  <w:pPr>
                    <w:adjustRightInd w:val="0"/>
                    <w:snapToGrid w:val="0"/>
                    <w:spacing w:line="240" w:lineRule="auto"/>
                    <w:ind w:firstLine="0" w:firstLineChars="0"/>
                    <w:jc w:val="center"/>
                    <w:rPr>
                      <w:rFonts w:hint="eastAsia" w:eastAsia="宋体"/>
                      <w:b/>
                      <w:color w:val="auto"/>
                      <w:sz w:val="21"/>
                      <w:szCs w:val="21"/>
                      <w:highlight w:val="none"/>
                      <w:lang w:eastAsia="zh-CN"/>
                    </w:rPr>
                  </w:pPr>
                  <w:r>
                    <w:rPr>
                      <w:rFonts w:hint="eastAsia"/>
                      <w:b/>
                      <w:color w:val="auto"/>
                      <w:sz w:val="21"/>
                      <w:szCs w:val="21"/>
                      <w:highlight w:val="none"/>
                    </w:rPr>
                    <w:t>环保</w:t>
                  </w:r>
                  <w:r>
                    <w:rPr>
                      <w:b/>
                      <w:color w:val="auto"/>
                      <w:sz w:val="21"/>
                      <w:szCs w:val="21"/>
                      <w:highlight w:val="none"/>
                    </w:rPr>
                    <w:t>措施</w:t>
                  </w:r>
                </w:p>
              </w:tc>
              <w:tc>
                <w:tcPr>
                  <w:tcW w:w="1063" w:type="pct"/>
                  <w:gridSpan w:val="3"/>
                  <w:tcBorders>
                    <w:right w:val="single" w:color="auto" w:sz="4" w:space="0"/>
                  </w:tcBorders>
                  <w:vAlign w:val="center"/>
                </w:tcPr>
                <w:p w14:paraId="4491EF60">
                  <w:pPr>
                    <w:tabs>
                      <w:tab w:val="left" w:pos="2145"/>
                      <w:tab w:val="center" w:pos="4677"/>
                    </w:tabs>
                    <w:adjustRightInd w:val="0"/>
                    <w:snapToGrid w:val="0"/>
                    <w:spacing w:line="240" w:lineRule="auto"/>
                    <w:ind w:firstLine="0" w:firstLineChars="0"/>
                    <w:jc w:val="center"/>
                    <w:rPr>
                      <w:b/>
                      <w:color w:val="auto"/>
                      <w:sz w:val="21"/>
                      <w:szCs w:val="21"/>
                      <w:highlight w:val="none"/>
                    </w:rPr>
                  </w:pPr>
                  <w:r>
                    <w:rPr>
                      <w:b/>
                      <w:color w:val="auto"/>
                      <w:sz w:val="21"/>
                      <w:szCs w:val="21"/>
                      <w:highlight w:val="none"/>
                    </w:rPr>
                    <w:t>污染物排放情况</w:t>
                  </w:r>
                </w:p>
              </w:tc>
              <w:tc>
                <w:tcPr>
                  <w:tcW w:w="1827" w:type="pct"/>
                  <w:gridSpan w:val="5"/>
                  <w:vAlign w:val="center"/>
                </w:tcPr>
                <w:p w14:paraId="73E502A6">
                  <w:pPr>
                    <w:tabs>
                      <w:tab w:val="left" w:pos="2145"/>
                      <w:tab w:val="center" w:pos="4677"/>
                    </w:tabs>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排放口基本情况</w:t>
                  </w:r>
                </w:p>
              </w:tc>
              <w:tc>
                <w:tcPr>
                  <w:tcW w:w="744" w:type="pct"/>
                  <w:gridSpan w:val="2"/>
                  <w:vAlign w:val="center"/>
                </w:tcPr>
                <w:p w14:paraId="79ED2DC0">
                  <w:pPr>
                    <w:tabs>
                      <w:tab w:val="left" w:pos="2145"/>
                      <w:tab w:val="center" w:pos="4677"/>
                    </w:tabs>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排放标准</w:t>
                  </w:r>
                </w:p>
              </w:tc>
              <w:tc>
                <w:tcPr>
                  <w:tcW w:w="156" w:type="pct"/>
                  <w:vMerge w:val="restart"/>
                  <w:vAlign w:val="center"/>
                </w:tcPr>
                <w:p w14:paraId="14B2EA93">
                  <w:pPr>
                    <w:tabs>
                      <w:tab w:val="left" w:pos="2145"/>
                      <w:tab w:val="center" w:pos="4677"/>
                    </w:tabs>
                    <w:adjustRightInd w:val="0"/>
                    <w:snapToGrid w:val="0"/>
                    <w:spacing w:line="240" w:lineRule="auto"/>
                    <w:ind w:firstLine="0" w:firstLineChars="0"/>
                    <w:jc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达标情况</w:t>
                  </w:r>
                </w:p>
              </w:tc>
            </w:tr>
            <w:tr w14:paraId="1BA01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29" w:hRule="atLeast"/>
              </w:trPr>
              <w:tc>
                <w:tcPr>
                  <w:tcW w:w="271" w:type="pct"/>
                  <w:vMerge w:val="continue"/>
                  <w:vAlign w:val="center"/>
                </w:tcPr>
                <w:p w14:paraId="75AF0538">
                  <w:pPr>
                    <w:adjustRightInd w:val="0"/>
                    <w:snapToGrid w:val="0"/>
                    <w:spacing w:line="240" w:lineRule="auto"/>
                    <w:ind w:firstLine="0" w:firstLineChars="0"/>
                    <w:jc w:val="center"/>
                    <w:rPr>
                      <w:b/>
                      <w:color w:val="auto"/>
                      <w:sz w:val="21"/>
                      <w:szCs w:val="21"/>
                      <w:highlight w:val="none"/>
                    </w:rPr>
                  </w:pPr>
                </w:p>
              </w:tc>
              <w:tc>
                <w:tcPr>
                  <w:tcW w:w="211" w:type="pct"/>
                  <w:vMerge w:val="continue"/>
                  <w:vAlign w:val="center"/>
                </w:tcPr>
                <w:p w14:paraId="0693D7B9">
                  <w:pPr>
                    <w:adjustRightInd w:val="0"/>
                    <w:snapToGrid w:val="0"/>
                    <w:spacing w:line="240" w:lineRule="auto"/>
                    <w:ind w:firstLine="0" w:firstLineChars="0"/>
                    <w:jc w:val="center"/>
                    <w:rPr>
                      <w:b/>
                      <w:color w:val="auto"/>
                      <w:sz w:val="21"/>
                      <w:szCs w:val="21"/>
                      <w:highlight w:val="none"/>
                    </w:rPr>
                  </w:pPr>
                </w:p>
              </w:tc>
              <w:tc>
                <w:tcPr>
                  <w:tcW w:w="243" w:type="pct"/>
                  <w:vMerge w:val="continue"/>
                  <w:vAlign w:val="center"/>
                </w:tcPr>
                <w:p w14:paraId="5926C277">
                  <w:pPr>
                    <w:adjustRightInd w:val="0"/>
                    <w:snapToGrid w:val="0"/>
                    <w:spacing w:line="240" w:lineRule="auto"/>
                    <w:ind w:firstLine="0" w:firstLineChars="0"/>
                    <w:jc w:val="center"/>
                    <w:rPr>
                      <w:b/>
                      <w:color w:val="auto"/>
                      <w:sz w:val="21"/>
                      <w:szCs w:val="21"/>
                      <w:highlight w:val="none"/>
                    </w:rPr>
                  </w:pPr>
                </w:p>
              </w:tc>
              <w:tc>
                <w:tcPr>
                  <w:tcW w:w="262" w:type="pct"/>
                  <w:vAlign w:val="center"/>
                </w:tcPr>
                <w:p w14:paraId="6347CBE0">
                  <w:pPr>
                    <w:adjustRightInd w:val="0"/>
                    <w:snapToGrid w:val="0"/>
                    <w:spacing w:line="240" w:lineRule="auto"/>
                    <w:ind w:firstLine="0" w:firstLineChars="0"/>
                    <w:jc w:val="center"/>
                    <w:rPr>
                      <w:b/>
                      <w:color w:val="auto"/>
                      <w:sz w:val="21"/>
                      <w:szCs w:val="21"/>
                      <w:highlight w:val="none"/>
                    </w:rPr>
                  </w:pPr>
                  <w:r>
                    <w:rPr>
                      <w:rFonts w:hint="eastAsia"/>
                      <w:b/>
                      <w:color w:val="auto"/>
                      <w:sz w:val="21"/>
                      <w:szCs w:val="21"/>
                      <w:highlight w:val="none"/>
                    </w:rPr>
                    <w:t>治理设</w:t>
                  </w:r>
                </w:p>
                <w:p w14:paraId="6BD82869">
                  <w:pPr>
                    <w:adjustRightInd w:val="0"/>
                    <w:snapToGrid w:val="0"/>
                    <w:spacing w:line="240" w:lineRule="auto"/>
                    <w:ind w:firstLine="0" w:firstLineChars="0"/>
                    <w:jc w:val="center"/>
                    <w:rPr>
                      <w:b/>
                      <w:color w:val="auto"/>
                      <w:sz w:val="21"/>
                      <w:szCs w:val="21"/>
                      <w:highlight w:val="none"/>
                    </w:rPr>
                  </w:pPr>
                  <w:r>
                    <w:rPr>
                      <w:rFonts w:hint="eastAsia"/>
                      <w:b/>
                      <w:color w:val="auto"/>
                      <w:sz w:val="21"/>
                      <w:szCs w:val="21"/>
                      <w:highlight w:val="none"/>
                    </w:rPr>
                    <w:t>施名称</w:t>
                  </w:r>
                </w:p>
              </w:tc>
              <w:tc>
                <w:tcPr>
                  <w:tcW w:w="218" w:type="pct"/>
                  <w:vAlign w:val="center"/>
                </w:tcPr>
                <w:p w14:paraId="1C4F3EBA">
                  <w:pPr>
                    <w:adjustRightInd w:val="0"/>
                    <w:snapToGrid w:val="0"/>
                    <w:spacing w:line="240" w:lineRule="auto"/>
                    <w:ind w:firstLine="0" w:firstLineChars="0"/>
                    <w:jc w:val="center"/>
                    <w:rPr>
                      <w:rFonts w:hint="eastAsia"/>
                      <w:b/>
                      <w:color w:val="auto"/>
                      <w:sz w:val="21"/>
                      <w:szCs w:val="21"/>
                      <w:highlight w:val="none"/>
                    </w:rPr>
                  </w:pPr>
                  <w:r>
                    <w:rPr>
                      <w:rFonts w:hint="eastAsia" w:eastAsia="宋体"/>
                      <w:b/>
                      <w:color w:val="auto"/>
                      <w:sz w:val="21"/>
                      <w:szCs w:val="21"/>
                      <w:highlight w:val="none"/>
                      <w:lang w:eastAsia="zh-CN"/>
                    </w:rPr>
                    <w:t>是否为可行技术</w:t>
                  </w:r>
                </w:p>
              </w:tc>
              <w:tc>
                <w:tcPr>
                  <w:tcW w:w="408" w:type="pct"/>
                  <w:vAlign w:val="center"/>
                </w:tcPr>
                <w:p w14:paraId="2A083485">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排放浓度</w:t>
                  </w:r>
                </w:p>
                <w:p w14:paraId="0F42B01B">
                  <w:pPr>
                    <w:adjustRightInd w:val="0"/>
                    <w:snapToGrid w:val="0"/>
                    <w:spacing w:line="240" w:lineRule="auto"/>
                    <w:ind w:firstLine="0" w:firstLineChars="0"/>
                    <w:jc w:val="center"/>
                    <w:rPr>
                      <w:b/>
                      <w:color w:val="auto"/>
                      <w:sz w:val="21"/>
                      <w:szCs w:val="21"/>
                      <w:highlight w:val="none"/>
                    </w:rPr>
                  </w:pPr>
                  <w:r>
                    <w:rPr>
                      <w:rFonts w:hint="eastAsia" w:eastAsia="宋体"/>
                      <w:b/>
                      <w:color w:val="auto"/>
                      <w:sz w:val="21"/>
                      <w:szCs w:val="21"/>
                      <w:highlight w:val="none"/>
                      <w:lang w:eastAsia="zh-CN"/>
                    </w:rPr>
                    <w:t>（</w:t>
                  </w:r>
                  <w:r>
                    <w:rPr>
                      <w:b/>
                      <w:color w:val="auto"/>
                      <w:sz w:val="21"/>
                      <w:szCs w:val="21"/>
                      <w:highlight w:val="none"/>
                    </w:rPr>
                    <w:t>mg/m</w:t>
                  </w:r>
                  <w:r>
                    <w:rPr>
                      <w:b/>
                      <w:color w:val="auto"/>
                      <w:sz w:val="21"/>
                      <w:szCs w:val="21"/>
                      <w:highlight w:val="none"/>
                      <w:vertAlign w:val="superscript"/>
                    </w:rPr>
                    <w:t>3</w:t>
                  </w:r>
                  <w:r>
                    <w:rPr>
                      <w:rFonts w:hint="eastAsia" w:eastAsia="宋体"/>
                      <w:b/>
                      <w:color w:val="auto"/>
                      <w:sz w:val="21"/>
                      <w:szCs w:val="21"/>
                      <w:highlight w:val="none"/>
                      <w:lang w:eastAsia="zh-CN"/>
                    </w:rPr>
                    <w:t>）</w:t>
                  </w:r>
                </w:p>
              </w:tc>
              <w:tc>
                <w:tcPr>
                  <w:tcW w:w="344" w:type="pct"/>
                  <w:tcBorders>
                    <w:right w:val="single" w:color="auto" w:sz="4" w:space="0"/>
                  </w:tcBorders>
                  <w:vAlign w:val="center"/>
                </w:tcPr>
                <w:p w14:paraId="66FCBC98">
                  <w:pPr>
                    <w:adjustRightInd w:val="0"/>
                    <w:snapToGrid w:val="0"/>
                    <w:spacing w:line="240" w:lineRule="auto"/>
                    <w:ind w:firstLine="0" w:firstLineChars="0"/>
                    <w:jc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排放速率（</w:t>
                  </w:r>
                  <w:r>
                    <w:rPr>
                      <w:rFonts w:hint="eastAsia" w:ascii="Times New Roman" w:eastAsia="宋体"/>
                      <w:b/>
                      <w:color w:val="auto"/>
                      <w:sz w:val="21"/>
                      <w:szCs w:val="21"/>
                      <w:highlight w:val="none"/>
                      <w:lang w:val="en-US" w:eastAsia="zh-CN"/>
                    </w:rPr>
                    <w:t>kg/h</w:t>
                  </w:r>
                  <w:r>
                    <w:rPr>
                      <w:rFonts w:hint="eastAsia" w:eastAsia="宋体"/>
                      <w:b/>
                      <w:color w:val="auto"/>
                      <w:sz w:val="21"/>
                      <w:szCs w:val="21"/>
                      <w:highlight w:val="none"/>
                      <w:lang w:eastAsia="zh-CN"/>
                    </w:rPr>
                    <w:t>）</w:t>
                  </w:r>
                </w:p>
              </w:tc>
              <w:tc>
                <w:tcPr>
                  <w:tcW w:w="310" w:type="pct"/>
                  <w:tcBorders>
                    <w:left w:val="single" w:color="auto" w:sz="4" w:space="0"/>
                    <w:right w:val="single" w:color="auto" w:sz="4" w:space="0"/>
                  </w:tcBorders>
                  <w:vAlign w:val="center"/>
                </w:tcPr>
                <w:p w14:paraId="48967E4E">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排放量</w:t>
                  </w:r>
                </w:p>
                <w:p w14:paraId="6981654D">
                  <w:pPr>
                    <w:adjustRightInd w:val="0"/>
                    <w:snapToGrid w:val="0"/>
                    <w:spacing w:line="240" w:lineRule="auto"/>
                    <w:ind w:firstLine="0" w:firstLineChars="0"/>
                    <w:jc w:val="center"/>
                    <w:rPr>
                      <w:rFonts w:hint="eastAsia"/>
                      <w:b/>
                      <w:color w:val="auto"/>
                      <w:sz w:val="21"/>
                      <w:szCs w:val="21"/>
                      <w:highlight w:val="none"/>
                      <w:lang w:eastAsia="zh-CN"/>
                    </w:rPr>
                  </w:pPr>
                  <w:r>
                    <w:rPr>
                      <w:rFonts w:hint="eastAsia" w:eastAsia="宋体"/>
                      <w:b/>
                      <w:color w:val="auto"/>
                      <w:sz w:val="21"/>
                      <w:szCs w:val="21"/>
                      <w:highlight w:val="none"/>
                      <w:lang w:eastAsia="zh-CN"/>
                    </w:rPr>
                    <w:t>（</w:t>
                  </w:r>
                  <w:r>
                    <w:rPr>
                      <w:b/>
                      <w:color w:val="auto"/>
                      <w:sz w:val="21"/>
                      <w:szCs w:val="21"/>
                      <w:highlight w:val="none"/>
                    </w:rPr>
                    <w:t>t/a</w:t>
                  </w:r>
                  <w:r>
                    <w:rPr>
                      <w:rFonts w:hint="eastAsia" w:eastAsia="宋体"/>
                      <w:b/>
                      <w:color w:val="auto"/>
                      <w:sz w:val="21"/>
                      <w:szCs w:val="21"/>
                      <w:highlight w:val="none"/>
                      <w:lang w:eastAsia="zh-CN"/>
                    </w:rPr>
                    <w:t>）</w:t>
                  </w:r>
                </w:p>
              </w:tc>
              <w:tc>
                <w:tcPr>
                  <w:tcW w:w="253" w:type="pct"/>
                  <w:vAlign w:val="center"/>
                </w:tcPr>
                <w:p w14:paraId="3200DF0E">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高度</w:t>
                  </w:r>
                </w:p>
                <w:p w14:paraId="5C5E7D88">
                  <w:pPr>
                    <w:adjustRightInd w:val="0"/>
                    <w:snapToGrid w:val="0"/>
                    <w:spacing w:line="240" w:lineRule="auto"/>
                    <w:ind w:firstLine="0" w:firstLineChars="0"/>
                    <w:jc w:val="center"/>
                    <w:rPr>
                      <w:b/>
                      <w:color w:val="auto"/>
                      <w:sz w:val="21"/>
                      <w:szCs w:val="21"/>
                      <w:highlight w:val="none"/>
                    </w:rPr>
                  </w:pPr>
                  <w:r>
                    <w:rPr>
                      <w:rFonts w:hint="eastAsia" w:eastAsia="宋体"/>
                      <w:b/>
                      <w:color w:val="auto"/>
                      <w:sz w:val="21"/>
                      <w:szCs w:val="21"/>
                      <w:highlight w:val="none"/>
                      <w:lang w:eastAsia="zh-CN"/>
                    </w:rPr>
                    <w:t>（</w:t>
                  </w:r>
                  <w:r>
                    <w:rPr>
                      <w:b/>
                      <w:color w:val="auto"/>
                      <w:sz w:val="21"/>
                      <w:szCs w:val="21"/>
                      <w:highlight w:val="none"/>
                    </w:rPr>
                    <w:t>m</w:t>
                  </w:r>
                  <w:r>
                    <w:rPr>
                      <w:rFonts w:hint="eastAsia" w:eastAsia="宋体"/>
                      <w:b/>
                      <w:color w:val="auto"/>
                      <w:sz w:val="21"/>
                      <w:szCs w:val="21"/>
                      <w:highlight w:val="none"/>
                      <w:lang w:eastAsia="zh-CN"/>
                    </w:rPr>
                    <w:t>）</w:t>
                  </w:r>
                </w:p>
              </w:tc>
              <w:tc>
                <w:tcPr>
                  <w:tcW w:w="278" w:type="pct"/>
                  <w:vAlign w:val="center"/>
                </w:tcPr>
                <w:p w14:paraId="73A8505A">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排气筒内径</w:t>
                  </w:r>
                  <w:r>
                    <w:rPr>
                      <w:rFonts w:hint="eastAsia" w:eastAsia="宋体"/>
                      <w:b/>
                      <w:color w:val="auto"/>
                      <w:sz w:val="21"/>
                      <w:szCs w:val="21"/>
                      <w:highlight w:val="none"/>
                      <w:lang w:eastAsia="zh-CN"/>
                    </w:rPr>
                    <w:t>（</w:t>
                  </w:r>
                  <w:r>
                    <w:rPr>
                      <w:b/>
                      <w:color w:val="auto"/>
                      <w:sz w:val="21"/>
                      <w:szCs w:val="21"/>
                      <w:highlight w:val="none"/>
                    </w:rPr>
                    <w:t>m</w:t>
                  </w:r>
                  <w:r>
                    <w:rPr>
                      <w:rFonts w:hint="eastAsia" w:eastAsia="宋体"/>
                      <w:b/>
                      <w:color w:val="auto"/>
                      <w:sz w:val="21"/>
                      <w:szCs w:val="21"/>
                      <w:highlight w:val="none"/>
                      <w:lang w:eastAsia="zh-CN"/>
                    </w:rPr>
                    <w:t>）</w:t>
                  </w:r>
                </w:p>
              </w:tc>
              <w:tc>
                <w:tcPr>
                  <w:tcW w:w="284" w:type="pct"/>
                  <w:vAlign w:val="center"/>
                </w:tcPr>
                <w:p w14:paraId="5F11998A">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温度</w:t>
                  </w:r>
                </w:p>
                <w:p w14:paraId="5043C209">
                  <w:pPr>
                    <w:adjustRightInd w:val="0"/>
                    <w:snapToGrid w:val="0"/>
                    <w:spacing w:line="240" w:lineRule="auto"/>
                    <w:ind w:firstLine="0" w:firstLineChars="0"/>
                    <w:jc w:val="center"/>
                    <w:rPr>
                      <w:b/>
                      <w:color w:val="auto"/>
                      <w:sz w:val="21"/>
                      <w:szCs w:val="21"/>
                      <w:highlight w:val="none"/>
                    </w:rPr>
                  </w:pPr>
                  <w:r>
                    <w:rPr>
                      <w:rFonts w:hint="eastAsia" w:eastAsia="宋体"/>
                      <w:b/>
                      <w:color w:val="auto"/>
                      <w:sz w:val="21"/>
                      <w:szCs w:val="21"/>
                      <w:highlight w:val="none"/>
                      <w:lang w:eastAsia="zh-CN"/>
                    </w:rPr>
                    <w:t>（</w:t>
                  </w:r>
                  <w:r>
                    <w:rPr>
                      <w:rFonts w:hint="eastAsia"/>
                      <w:b/>
                      <w:color w:val="auto"/>
                      <w:sz w:val="21"/>
                      <w:szCs w:val="21"/>
                      <w:highlight w:val="none"/>
                    </w:rPr>
                    <w:t>℃</w:t>
                  </w:r>
                  <w:r>
                    <w:rPr>
                      <w:rFonts w:hint="eastAsia" w:eastAsia="宋体"/>
                      <w:b/>
                      <w:color w:val="auto"/>
                      <w:sz w:val="21"/>
                      <w:szCs w:val="21"/>
                      <w:highlight w:val="none"/>
                      <w:lang w:eastAsia="zh-CN"/>
                    </w:rPr>
                    <w:t>）</w:t>
                  </w:r>
                </w:p>
              </w:tc>
              <w:tc>
                <w:tcPr>
                  <w:tcW w:w="188" w:type="pct"/>
                  <w:vAlign w:val="center"/>
                </w:tcPr>
                <w:p w14:paraId="67EEDECE">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类型</w:t>
                  </w:r>
                </w:p>
              </w:tc>
              <w:tc>
                <w:tcPr>
                  <w:tcW w:w="822" w:type="pct"/>
                  <w:vAlign w:val="center"/>
                </w:tcPr>
                <w:p w14:paraId="160F2F8F">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地理坐标</w:t>
                  </w:r>
                </w:p>
              </w:tc>
              <w:tc>
                <w:tcPr>
                  <w:tcW w:w="408" w:type="pct"/>
                  <w:vAlign w:val="center"/>
                </w:tcPr>
                <w:p w14:paraId="1CCEE7CC">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浓度</w:t>
                  </w:r>
                  <w:r>
                    <w:rPr>
                      <w:rFonts w:hint="eastAsia"/>
                      <w:b/>
                      <w:color w:val="auto"/>
                      <w:sz w:val="21"/>
                      <w:szCs w:val="21"/>
                      <w:highlight w:val="none"/>
                    </w:rPr>
                    <w:t>限值</w:t>
                  </w:r>
                </w:p>
                <w:p w14:paraId="0CCE730A">
                  <w:pPr>
                    <w:adjustRightInd w:val="0"/>
                    <w:snapToGrid w:val="0"/>
                    <w:spacing w:line="240" w:lineRule="auto"/>
                    <w:ind w:firstLine="0" w:firstLineChars="0"/>
                    <w:jc w:val="center"/>
                    <w:rPr>
                      <w:b/>
                      <w:color w:val="auto"/>
                      <w:sz w:val="21"/>
                      <w:szCs w:val="21"/>
                      <w:highlight w:val="none"/>
                    </w:rPr>
                  </w:pPr>
                  <w:r>
                    <w:rPr>
                      <w:rFonts w:hint="eastAsia" w:eastAsia="宋体"/>
                      <w:b/>
                      <w:color w:val="auto"/>
                      <w:sz w:val="21"/>
                      <w:szCs w:val="21"/>
                      <w:highlight w:val="none"/>
                      <w:lang w:eastAsia="zh-CN"/>
                    </w:rPr>
                    <w:t>（</w:t>
                  </w:r>
                  <w:r>
                    <w:rPr>
                      <w:b/>
                      <w:color w:val="auto"/>
                      <w:sz w:val="21"/>
                      <w:szCs w:val="21"/>
                      <w:highlight w:val="none"/>
                    </w:rPr>
                    <w:t>mg/m</w:t>
                  </w:r>
                  <w:r>
                    <w:rPr>
                      <w:b/>
                      <w:color w:val="auto"/>
                      <w:sz w:val="21"/>
                      <w:szCs w:val="21"/>
                      <w:highlight w:val="none"/>
                      <w:vertAlign w:val="superscript"/>
                    </w:rPr>
                    <w:t>3</w:t>
                  </w:r>
                  <w:r>
                    <w:rPr>
                      <w:rFonts w:hint="eastAsia" w:eastAsia="宋体"/>
                      <w:b/>
                      <w:color w:val="auto"/>
                      <w:sz w:val="21"/>
                      <w:szCs w:val="21"/>
                      <w:highlight w:val="none"/>
                      <w:lang w:eastAsia="zh-CN"/>
                    </w:rPr>
                    <w:t>）</w:t>
                  </w:r>
                </w:p>
              </w:tc>
              <w:tc>
                <w:tcPr>
                  <w:tcW w:w="335" w:type="pct"/>
                  <w:vAlign w:val="center"/>
                </w:tcPr>
                <w:p w14:paraId="135FD091">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速率</w:t>
                  </w:r>
                </w:p>
                <w:p w14:paraId="6EA73109">
                  <w:pPr>
                    <w:adjustRightInd w:val="0"/>
                    <w:snapToGrid w:val="0"/>
                    <w:spacing w:line="240" w:lineRule="auto"/>
                    <w:ind w:firstLine="0" w:firstLineChars="0"/>
                    <w:jc w:val="center"/>
                    <w:rPr>
                      <w:b/>
                      <w:color w:val="auto"/>
                      <w:sz w:val="21"/>
                      <w:szCs w:val="21"/>
                      <w:highlight w:val="none"/>
                    </w:rPr>
                  </w:pPr>
                  <w:r>
                    <w:rPr>
                      <w:rFonts w:hint="eastAsia"/>
                      <w:b/>
                      <w:color w:val="auto"/>
                      <w:sz w:val="21"/>
                      <w:szCs w:val="21"/>
                      <w:highlight w:val="none"/>
                    </w:rPr>
                    <w:t>限值</w:t>
                  </w:r>
                </w:p>
                <w:p w14:paraId="2BEEE5B1">
                  <w:pPr>
                    <w:adjustRightInd w:val="0"/>
                    <w:snapToGrid w:val="0"/>
                    <w:spacing w:line="240" w:lineRule="auto"/>
                    <w:ind w:firstLine="0" w:firstLineChars="0"/>
                    <w:jc w:val="center"/>
                    <w:rPr>
                      <w:b/>
                      <w:color w:val="auto"/>
                      <w:sz w:val="21"/>
                      <w:szCs w:val="21"/>
                      <w:highlight w:val="none"/>
                    </w:rPr>
                  </w:pPr>
                  <w:r>
                    <w:rPr>
                      <w:rFonts w:hint="eastAsia" w:eastAsia="宋体"/>
                      <w:b/>
                      <w:color w:val="auto"/>
                      <w:sz w:val="21"/>
                      <w:szCs w:val="21"/>
                      <w:highlight w:val="none"/>
                      <w:lang w:eastAsia="zh-CN"/>
                    </w:rPr>
                    <w:t>（</w:t>
                  </w:r>
                  <w:r>
                    <w:rPr>
                      <w:rFonts w:hint="eastAsia"/>
                      <w:b/>
                      <w:color w:val="auto"/>
                      <w:sz w:val="21"/>
                      <w:szCs w:val="21"/>
                      <w:highlight w:val="none"/>
                    </w:rPr>
                    <w:t>kg/h</w:t>
                  </w:r>
                  <w:r>
                    <w:rPr>
                      <w:rFonts w:hint="eastAsia" w:eastAsia="宋体"/>
                      <w:b/>
                      <w:color w:val="auto"/>
                      <w:sz w:val="21"/>
                      <w:szCs w:val="21"/>
                      <w:highlight w:val="none"/>
                      <w:lang w:eastAsia="zh-CN"/>
                    </w:rPr>
                    <w:t>）</w:t>
                  </w:r>
                </w:p>
              </w:tc>
              <w:tc>
                <w:tcPr>
                  <w:tcW w:w="156" w:type="pct"/>
                  <w:vMerge w:val="continue"/>
                  <w:vAlign w:val="center"/>
                </w:tcPr>
                <w:p w14:paraId="62CD55FD">
                  <w:pPr>
                    <w:adjustRightInd w:val="0"/>
                    <w:snapToGrid w:val="0"/>
                    <w:spacing w:line="240" w:lineRule="auto"/>
                    <w:ind w:firstLine="0" w:firstLineChars="0"/>
                    <w:jc w:val="center"/>
                    <w:rPr>
                      <w:rFonts w:hint="eastAsia"/>
                      <w:b/>
                      <w:color w:val="auto"/>
                      <w:sz w:val="21"/>
                      <w:szCs w:val="21"/>
                      <w:highlight w:val="none"/>
                    </w:rPr>
                  </w:pPr>
                </w:p>
              </w:tc>
            </w:tr>
            <w:tr w14:paraId="29431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53" w:hRule="atLeast"/>
              </w:trPr>
              <w:tc>
                <w:tcPr>
                  <w:tcW w:w="271" w:type="pct"/>
                  <w:vAlign w:val="center"/>
                </w:tcPr>
                <w:p w14:paraId="49ABAA40">
                  <w:pPr>
                    <w:adjustRightInd w:val="0"/>
                    <w:snapToGrid w:val="0"/>
                    <w:spacing w:before="24" w:beforeLines="10" w:after="24" w:afterLines="10" w:line="240" w:lineRule="auto"/>
                    <w:ind w:firstLine="0" w:firstLineChars="0"/>
                    <w:jc w:val="center"/>
                    <w:rPr>
                      <w:color w:val="auto"/>
                      <w:sz w:val="21"/>
                      <w:szCs w:val="21"/>
                      <w:highlight w:val="none"/>
                    </w:rPr>
                  </w:pPr>
                  <w:r>
                    <w:rPr>
                      <w:rFonts w:hint="eastAsia"/>
                      <w:color w:val="auto"/>
                      <w:kern w:val="0"/>
                      <w:sz w:val="21"/>
                      <w:highlight w:val="none"/>
                    </w:rPr>
                    <w:t>DA001</w:t>
                  </w:r>
                </w:p>
              </w:tc>
              <w:tc>
                <w:tcPr>
                  <w:tcW w:w="211" w:type="pct"/>
                  <w:vAlign w:val="center"/>
                </w:tcPr>
                <w:p w14:paraId="2394EA53">
                  <w:pPr>
                    <w:adjustRightInd w:val="0"/>
                    <w:snapToGrid w:val="0"/>
                    <w:spacing w:before="24" w:beforeLines="10" w:after="24" w:afterLines="10" w:line="240" w:lineRule="auto"/>
                    <w:ind w:firstLine="0" w:firstLineChars="0"/>
                    <w:jc w:val="center"/>
                    <w:rPr>
                      <w:color w:val="auto"/>
                      <w:sz w:val="21"/>
                      <w:szCs w:val="21"/>
                      <w:highlight w:val="none"/>
                    </w:rPr>
                  </w:pPr>
                  <w:r>
                    <w:rPr>
                      <w:rFonts w:hint="eastAsia" w:eastAsia="宋体"/>
                      <w:color w:val="auto"/>
                      <w:kern w:val="0"/>
                      <w:sz w:val="21"/>
                      <w:highlight w:val="none"/>
                      <w:lang w:eastAsia="zh-CN"/>
                    </w:rPr>
                    <w:t>粉尘</w:t>
                  </w:r>
                  <w:r>
                    <w:rPr>
                      <w:rFonts w:hint="eastAsia"/>
                      <w:color w:val="auto"/>
                      <w:kern w:val="0"/>
                      <w:sz w:val="21"/>
                      <w:highlight w:val="none"/>
                    </w:rPr>
                    <w:t>废气排放口</w:t>
                  </w:r>
                </w:p>
              </w:tc>
              <w:tc>
                <w:tcPr>
                  <w:tcW w:w="243" w:type="pct"/>
                  <w:vAlign w:val="center"/>
                </w:tcPr>
                <w:p w14:paraId="534C34B8">
                  <w:pPr>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颗粒物</w:t>
                  </w:r>
                </w:p>
              </w:tc>
              <w:tc>
                <w:tcPr>
                  <w:tcW w:w="262" w:type="pct"/>
                  <w:vAlign w:val="center"/>
                </w:tcPr>
                <w:p w14:paraId="6115C7BF">
                  <w:pPr>
                    <w:widowControl/>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布袋除尘器</w:t>
                  </w:r>
                </w:p>
              </w:tc>
              <w:tc>
                <w:tcPr>
                  <w:tcW w:w="218" w:type="pct"/>
                  <w:vAlign w:val="center"/>
                </w:tcPr>
                <w:p w14:paraId="26A261FB">
                  <w:pPr>
                    <w:widowControl/>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是</w:t>
                  </w:r>
                </w:p>
              </w:tc>
              <w:tc>
                <w:tcPr>
                  <w:tcW w:w="408" w:type="pct"/>
                  <w:vAlign w:val="center"/>
                </w:tcPr>
                <w:p w14:paraId="12E4AD44">
                  <w:pPr>
                    <w:keepNext w:val="0"/>
                    <w:keepLines w:val="0"/>
                    <w:widowControl/>
                    <w:suppressLineNumbers w:val="0"/>
                    <w:spacing w:line="240" w:lineRule="auto"/>
                    <w:ind w:firstLine="0" w:firstLineChars="0"/>
                    <w:jc w:val="center"/>
                    <w:textAlignment w:val="center"/>
                    <w:rPr>
                      <w:rFonts w:hint="default" w:eastAsia="宋体"/>
                      <w:color w:val="auto"/>
                      <w:sz w:val="21"/>
                      <w:szCs w:val="21"/>
                      <w:highlight w:val="none"/>
                      <w:lang w:val="en-US" w:eastAsia="zh-CN"/>
                    </w:rPr>
                  </w:pPr>
                  <w:r>
                    <w:rPr>
                      <w:rFonts w:hint="eastAsia" w:hAnsi="宋体" w:cs="Times New Roman"/>
                      <w:color w:val="auto"/>
                      <w:sz w:val="21"/>
                      <w:szCs w:val="21"/>
                      <w:lang w:val="en-US" w:eastAsia="zh-CN"/>
                    </w:rPr>
                    <w:t>77.61</w:t>
                  </w:r>
                </w:p>
              </w:tc>
              <w:tc>
                <w:tcPr>
                  <w:tcW w:w="344" w:type="pct"/>
                  <w:tcBorders>
                    <w:right w:val="single" w:color="auto" w:sz="4" w:space="0"/>
                  </w:tcBorders>
                  <w:vAlign w:val="center"/>
                </w:tcPr>
                <w:p w14:paraId="0D3EAD61">
                  <w:pPr>
                    <w:keepNext w:val="0"/>
                    <w:keepLines w:val="0"/>
                    <w:widowControl/>
                    <w:suppressLineNumbers w:val="0"/>
                    <w:spacing w:line="240" w:lineRule="auto"/>
                    <w:ind w:firstLine="0" w:firstLineChars="0"/>
                    <w:jc w:val="center"/>
                    <w:textAlignment w:val="center"/>
                    <w:rPr>
                      <w:rFonts w:hint="default" w:eastAsia="宋体"/>
                      <w:color w:val="auto"/>
                      <w:sz w:val="21"/>
                      <w:szCs w:val="21"/>
                      <w:highlight w:val="none"/>
                      <w:lang w:val="en-US" w:eastAsia="zh-CN"/>
                    </w:rPr>
                  </w:pPr>
                  <w:r>
                    <w:rPr>
                      <w:rFonts w:hint="eastAsia" w:hAnsi="宋体" w:cs="Times New Roman"/>
                      <w:color w:val="auto"/>
                      <w:sz w:val="21"/>
                      <w:szCs w:val="21"/>
                      <w:lang w:val="en-US" w:eastAsia="zh-CN"/>
                    </w:rPr>
                    <w:t>1.82</w:t>
                  </w:r>
                </w:p>
              </w:tc>
              <w:tc>
                <w:tcPr>
                  <w:tcW w:w="310" w:type="pct"/>
                  <w:tcBorders>
                    <w:left w:val="single" w:color="auto" w:sz="4" w:space="0"/>
                  </w:tcBorders>
                  <w:vAlign w:val="center"/>
                </w:tcPr>
                <w:p w14:paraId="352734C9">
                  <w:pPr>
                    <w:keepNext w:val="0"/>
                    <w:keepLines w:val="0"/>
                    <w:widowControl/>
                    <w:suppressLineNumbers w:val="0"/>
                    <w:spacing w:line="240" w:lineRule="auto"/>
                    <w:ind w:firstLine="0" w:firstLineChars="0"/>
                    <w:jc w:val="center"/>
                    <w:textAlignment w:val="center"/>
                    <w:rPr>
                      <w:rFonts w:hint="default" w:eastAsia="宋体"/>
                      <w:color w:val="auto"/>
                      <w:sz w:val="21"/>
                      <w:szCs w:val="21"/>
                      <w:highlight w:val="none"/>
                      <w:lang w:val="en-US" w:eastAsia="zh-CN"/>
                    </w:rPr>
                  </w:pPr>
                  <w:r>
                    <w:rPr>
                      <w:rFonts w:hint="eastAsia" w:hAnsi="宋体" w:cs="Times New Roman"/>
                      <w:color w:val="auto"/>
                      <w:kern w:val="2"/>
                      <w:sz w:val="21"/>
                      <w:szCs w:val="21"/>
                      <w:lang w:val="en-US" w:eastAsia="zh-CN" w:bidi="ar-SA"/>
                    </w:rPr>
                    <w:t>3.32</w:t>
                  </w:r>
                </w:p>
              </w:tc>
              <w:tc>
                <w:tcPr>
                  <w:tcW w:w="253" w:type="pct"/>
                  <w:vAlign w:val="center"/>
                </w:tcPr>
                <w:p w14:paraId="31DB1F73">
                  <w:pPr>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15</w:t>
                  </w:r>
                </w:p>
              </w:tc>
              <w:tc>
                <w:tcPr>
                  <w:tcW w:w="278" w:type="pct"/>
                  <w:vAlign w:val="center"/>
                </w:tcPr>
                <w:p w14:paraId="34D2A319">
                  <w:pPr>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rPr>
                    <w:t>0.</w:t>
                  </w:r>
                  <w:r>
                    <w:rPr>
                      <w:rFonts w:hint="eastAsia" w:ascii="Times New Roman" w:eastAsia="宋体"/>
                      <w:color w:val="auto"/>
                      <w:sz w:val="21"/>
                      <w:szCs w:val="21"/>
                      <w:highlight w:val="none"/>
                      <w:lang w:val="en-US" w:eastAsia="zh-CN"/>
                    </w:rPr>
                    <w:t>5</w:t>
                  </w:r>
                </w:p>
              </w:tc>
              <w:tc>
                <w:tcPr>
                  <w:tcW w:w="284" w:type="pct"/>
                  <w:vAlign w:val="center"/>
                </w:tcPr>
                <w:p w14:paraId="64AD7BC1">
                  <w:pPr>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常温</w:t>
                  </w:r>
                </w:p>
              </w:tc>
              <w:tc>
                <w:tcPr>
                  <w:tcW w:w="188" w:type="pct"/>
                  <w:vAlign w:val="center"/>
                </w:tcPr>
                <w:p w14:paraId="259F0DF2">
                  <w:pPr>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一般排放口</w:t>
                  </w:r>
                </w:p>
              </w:tc>
              <w:tc>
                <w:tcPr>
                  <w:tcW w:w="822" w:type="pct"/>
                  <w:vAlign w:val="center"/>
                </w:tcPr>
                <w:p w14:paraId="3C09002F">
                  <w:pPr>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116.986552,30.138257</w:t>
                  </w:r>
                </w:p>
              </w:tc>
              <w:tc>
                <w:tcPr>
                  <w:tcW w:w="408" w:type="pct"/>
                  <w:vAlign w:val="center"/>
                </w:tcPr>
                <w:p w14:paraId="204856B1">
                  <w:pPr>
                    <w:adjustRightInd w:val="0"/>
                    <w:snapToGrid w:val="0"/>
                    <w:spacing w:line="240" w:lineRule="auto"/>
                    <w:ind w:firstLine="0" w:firstLineChars="0"/>
                    <w:jc w:val="center"/>
                    <w:rPr>
                      <w:rFonts w:hint="default"/>
                      <w:color w:val="auto"/>
                      <w:sz w:val="21"/>
                      <w:szCs w:val="21"/>
                      <w:highlight w:val="none"/>
                      <w:lang w:val="en-US"/>
                    </w:rPr>
                  </w:pPr>
                  <w:r>
                    <w:rPr>
                      <w:rFonts w:hint="eastAsia"/>
                      <w:color w:val="auto"/>
                      <w:sz w:val="21"/>
                      <w:szCs w:val="21"/>
                      <w:highlight w:val="none"/>
                      <w:lang w:val="en-US" w:eastAsia="zh-CN"/>
                    </w:rPr>
                    <w:t>1</w:t>
                  </w:r>
                  <w:r>
                    <w:rPr>
                      <w:rFonts w:hint="eastAsia" w:ascii="Times New Roman" w:eastAsia="宋体"/>
                      <w:color w:val="auto"/>
                      <w:sz w:val="21"/>
                      <w:szCs w:val="21"/>
                      <w:highlight w:val="none"/>
                      <w:lang w:val="en-US" w:eastAsia="zh-CN"/>
                    </w:rPr>
                    <w:t>20</w:t>
                  </w:r>
                </w:p>
              </w:tc>
              <w:tc>
                <w:tcPr>
                  <w:tcW w:w="335" w:type="pct"/>
                  <w:vAlign w:val="center"/>
                </w:tcPr>
                <w:p w14:paraId="2EA99824">
                  <w:pPr>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3.5</w:t>
                  </w:r>
                </w:p>
              </w:tc>
              <w:tc>
                <w:tcPr>
                  <w:tcW w:w="156" w:type="pct"/>
                  <w:vAlign w:val="center"/>
                </w:tcPr>
                <w:p w14:paraId="3F7124CA">
                  <w:pPr>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达标</w:t>
                  </w:r>
                </w:p>
              </w:tc>
            </w:tr>
            <w:tr w14:paraId="487AF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158" w:hRule="atLeast"/>
              </w:trPr>
              <w:tc>
                <w:tcPr>
                  <w:tcW w:w="271" w:type="pct"/>
                  <w:vMerge w:val="restart"/>
                  <w:vAlign w:val="center"/>
                </w:tcPr>
                <w:p w14:paraId="1251326E">
                  <w:pPr>
                    <w:adjustRightInd w:val="0"/>
                    <w:snapToGrid w:val="0"/>
                    <w:spacing w:before="24" w:beforeLines="10" w:after="24" w:afterLines="10" w:line="240" w:lineRule="auto"/>
                    <w:ind w:firstLine="0" w:firstLineChars="0"/>
                    <w:jc w:val="center"/>
                    <w:rPr>
                      <w:rFonts w:hint="default" w:eastAsia="宋体"/>
                      <w:color w:val="auto"/>
                      <w:kern w:val="0"/>
                      <w:sz w:val="21"/>
                      <w:highlight w:val="none"/>
                      <w:lang w:val="en-US" w:eastAsia="zh-CN"/>
                    </w:rPr>
                  </w:pPr>
                  <w:r>
                    <w:rPr>
                      <w:rFonts w:hint="eastAsia" w:ascii="Times New Roman" w:eastAsia="宋体"/>
                      <w:color w:val="auto"/>
                      <w:kern w:val="0"/>
                      <w:sz w:val="21"/>
                      <w:highlight w:val="none"/>
                      <w:lang w:val="en-US" w:eastAsia="zh-CN"/>
                    </w:rPr>
                    <w:t>DA002</w:t>
                  </w:r>
                </w:p>
              </w:tc>
              <w:tc>
                <w:tcPr>
                  <w:tcW w:w="211" w:type="pct"/>
                  <w:vMerge w:val="restart"/>
                  <w:vAlign w:val="center"/>
                </w:tcPr>
                <w:p w14:paraId="6E16A004">
                  <w:pPr>
                    <w:adjustRightInd w:val="0"/>
                    <w:snapToGrid w:val="0"/>
                    <w:spacing w:before="24" w:beforeLines="10" w:after="24" w:afterLines="10" w:line="240" w:lineRule="auto"/>
                    <w:ind w:firstLine="0" w:firstLineChars="0"/>
                    <w:jc w:val="center"/>
                    <w:rPr>
                      <w:rFonts w:hint="eastAsia"/>
                      <w:color w:val="auto"/>
                      <w:kern w:val="0"/>
                      <w:sz w:val="21"/>
                      <w:highlight w:val="none"/>
                      <w:lang w:eastAsia="zh-CN"/>
                    </w:rPr>
                  </w:pPr>
                  <w:r>
                    <w:rPr>
                      <w:rFonts w:hint="eastAsia"/>
                      <w:color w:val="auto"/>
                      <w:kern w:val="0"/>
                      <w:sz w:val="21"/>
                      <w:highlight w:val="none"/>
                      <w:lang w:val="en-US" w:eastAsia="zh-CN"/>
                    </w:rPr>
                    <w:t>粉尘</w:t>
                  </w:r>
                  <w:r>
                    <w:rPr>
                      <w:rFonts w:hint="eastAsia" w:eastAsia="宋体"/>
                      <w:color w:val="auto"/>
                      <w:kern w:val="0"/>
                      <w:sz w:val="21"/>
                      <w:highlight w:val="none"/>
                      <w:lang w:eastAsia="zh-CN"/>
                    </w:rPr>
                    <w:t>废气排放口</w:t>
                  </w:r>
                </w:p>
              </w:tc>
              <w:tc>
                <w:tcPr>
                  <w:tcW w:w="243" w:type="pct"/>
                  <w:vMerge w:val="restart"/>
                  <w:vAlign w:val="center"/>
                </w:tcPr>
                <w:p w14:paraId="40EC431C">
                  <w:pPr>
                    <w:widowControl w:val="0"/>
                    <w:adjustRightInd w:val="0"/>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olor w:val="auto"/>
                      <w:sz w:val="21"/>
                      <w:szCs w:val="21"/>
                      <w:highlight w:val="none"/>
                      <w:lang w:eastAsia="zh-CN"/>
                    </w:rPr>
                    <w:t>颗粒物</w:t>
                  </w:r>
                </w:p>
              </w:tc>
              <w:tc>
                <w:tcPr>
                  <w:tcW w:w="262" w:type="pct"/>
                  <w:vMerge w:val="restart"/>
                  <w:vAlign w:val="center"/>
                </w:tcPr>
                <w:p w14:paraId="4A076E90">
                  <w:pPr>
                    <w:widowControl/>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布袋除尘器</w:t>
                  </w:r>
                </w:p>
              </w:tc>
              <w:tc>
                <w:tcPr>
                  <w:tcW w:w="218" w:type="pct"/>
                  <w:vMerge w:val="restart"/>
                  <w:vAlign w:val="center"/>
                </w:tcPr>
                <w:p w14:paraId="6535B1AC">
                  <w:pPr>
                    <w:widowControl/>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是</w:t>
                  </w:r>
                </w:p>
              </w:tc>
              <w:tc>
                <w:tcPr>
                  <w:tcW w:w="408" w:type="pct"/>
                  <w:vMerge w:val="restart"/>
                  <w:vAlign w:val="center"/>
                </w:tcPr>
                <w:p w14:paraId="3C59676A">
                  <w:pPr>
                    <w:keepNext w:val="0"/>
                    <w:keepLines w:val="0"/>
                    <w:widowControl/>
                    <w:suppressLineNumbers w:val="0"/>
                    <w:spacing w:line="240" w:lineRule="auto"/>
                    <w:ind w:firstLine="0" w:firstLineChars="0"/>
                    <w:jc w:val="center"/>
                    <w:textAlignment w:val="center"/>
                    <w:rPr>
                      <w:rFonts w:hint="default"/>
                      <w:color w:val="auto"/>
                      <w:sz w:val="21"/>
                      <w:szCs w:val="21"/>
                      <w:highlight w:val="none"/>
                      <w:lang w:val="en-US" w:eastAsia="zh-CN"/>
                    </w:rPr>
                  </w:pPr>
                  <w:r>
                    <w:rPr>
                      <w:rFonts w:hint="eastAsia" w:hAnsi="宋体" w:cs="Times New Roman"/>
                      <w:color w:val="auto"/>
                      <w:sz w:val="21"/>
                      <w:szCs w:val="21"/>
                      <w:lang w:val="en-US" w:eastAsia="zh-CN"/>
                    </w:rPr>
                    <w:t>9.0</w:t>
                  </w:r>
                </w:p>
              </w:tc>
              <w:tc>
                <w:tcPr>
                  <w:tcW w:w="344" w:type="pct"/>
                  <w:vMerge w:val="restart"/>
                  <w:tcBorders>
                    <w:right w:val="single" w:color="auto" w:sz="4" w:space="0"/>
                  </w:tcBorders>
                  <w:vAlign w:val="center"/>
                </w:tcPr>
                <w:p w14:paraId="3FE5618C">
                  <w:pPr>
                    <w:keepNext w:val="0"/>
                    <w:keepLines w:val="0"/>
                    <w:widowControl/>
                    <w:suppressLineNumbers w:val="0"/>
                    <w:spacing w:line="240" w:lineRule="auto"/>
                    <w:ind w:firstLine="0" w:firstLineChars="0"/>
                    <w:jc w:val="center"/>
                    <w:textAlignment w:val="center"/>
                    <w:rPr>
                      <w:rFonts w:hint="default"/>
                      <w:color w:val="auto"/>
                      <w:sz w:val="21"/>
                      <w:szCs w:val="21"/>
                      <w:highlight w:val="none"/>
                      <w:lang w:val="en-US" w:eastAsia="zh-CN"/>
                    </w:rPr>
                  </w:pPr>
                  <w:r>
                    <w:rPr>
                      <w:rFonts w:hint="eastAsia" w:cs="Times New Roman"/>
                      <w:color w:val="auto"/>
                      <w:sz w:val="21"/>
                      <w:szCs w:val="21"/>
                      <w:lang w:val="en-US" w:eastAsia="zh-CN"/>
                    </w:rPr>
                    <w:t>0.45</w:t>
                  </w:r>
                </w:p>
              </w:tc>
              <w:tc>
                <w:tcPr>
                  <w:tcW w:w="310" w:type="pct"/>
                  <w:vMerge w:val="restart"/>
                  <w:tcBorders>
                    <w:left w:val="single" w:color="auto" w:sz="4" w:space="0"/>
                  </w:tcBorders>
                  <w:vAlign w:val="center"/>
                </w:tcPr>
                <w:p w14:paraId="33354713">
                  <w:pPr>
                    <w:keepNext w:val="0"/>
                    <w:keepLines w:val="0"/>
                    <w:widowControl/>
                    <w:suppressLineNumbers w:val="0"/>
                    <w:spacing w:line="240" w:lineRule="auto"/>
                    <w:ind w:firstLine="0" w:firstLineChars="0"/>
                    <w:jc w:val="center"/>
                    <w:textAlignment w:val="center"/>
                    <w:rPr>
                      <w:rFonts w:hint="default"/>
                      <w:color w:val="auto"/>
                      <w:sz w:val="21"/>
                      <w:szCs w:val="21"/>
                      <w:highlight w:val="none"/>
                      <w:lang w:val="en-US" w:eastAsia="zh-CN"/>
                    </w:rPr>
                  </w:pPr>
                  <w:r>
                    <w:rPr>
                      <w:rFonts w:hint="eastAsia" w:cs="Times New Roman"/>
                      <w:color w:val="auto"/>
                      <w:kern w:val="2"/>
                      <w:sz w:val="21"/>
                      <w:szCs w:val="21"/>
                      <w:lang w:val="en-US" w:eastAsia="zh-CN" w:bidi="ar-SA"/>
                    </w:rPr>
                    <w:t>.034</w:t>
                  </w:r>
                </w:p>
              </w:tc>
              <w:tc>
                <w:tcPr>
                  <w:tcW w:w="253" w:type="pct"/>
                  <w:vMerge w:val="restart"/>
                  <w:vAlign w:val="center"/>
                </w:tcPr>
                <w:p w14:paraId="13A812BE">
                  <w:pPr>
                    <w:adjustRightInd w:val="0"/>
                    <w:snapToGrid w:val="0"/>
                    <w:spacing w:line="240" w:lineRule="auto"/>
                    <w:ind w:firstLine="0" w:firstLineChars="0"/>
                    <w:jc w:val="center"/>
                    <w:rPr>
                      <w:rFonts w:hint="default"/>
                      <w:color w:val="auto"/>
                      <w:sz w:val="21"/>
                      <w:szCs w:val="21"/>
                      <w:highlight w:val="none"/>
                      <w:lang w:val="en-US" w:eastAsia="zh-CN"/>
                    </w:rPr>
                  </w:pPr>
                  <w:r>
                    <w:rPr>
                      <w:rFonts w:hint="eastAsia" w:ascii="Times New Roman" w:eastAsia="宋体"/>
                      <w:color w:val="auto"/>
                      <w:sz w:val="21"/>
                      <w:szCs w:val="21"/>
                      <w:highlight w:val="none"/>
                      <w:lang w:val="en-US" w:eastAsia="zh-CN"/>
                    </w:rPr>
                    <w:t>15</w:t>
                  </w:r>
                </w:p>
              </w:tc>
              <w:tc>
                <w:tcPr>
                  <w:tcW w:w="278" w:type="pct"/>
                  <w:vMerge w:val="restart"/>
                  <w:vAlign w:val="center"/>
                </w:tcPr>
                <w:p w14:paraId="4CF45261">
                  <w:pPr>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0.5</w:t>
                  </w:r>
                </w:p>
              </w:tc>
              <w:tc>
                <w:tcPr>
                  <w:tcW w:w="284" w:type="pct"/>
                  <w:vMerge w:val="restart"/>
                  <w:vAlign w:val="center"/>
                </w:tcPr>
                <w:p w14:paraId="1669A0C6">
                  <w:pPr>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常温</w:t>
                  </w:r>
                </w:p>
              </w:tc>
              <w:tc>
                <w:tcPr>
                  <w:tcW w:w="188" w:type="pct"/>
                  <w:vMerge w:val="restart"/>
                  <w:vAlign w:val="center"/>
                </w:tcPr>
                <w:p w14:paraId="1CC27805">
                  <w:pPr>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一般排放口</w:t>
                  </w:r>
                </w:p>
              </w:tc>
              <w:tc>
                <w:tcPr>
                  <w:tcW w:w="822" w:type="pct"/>
                  <w:vMerge w:val="restart"/>
                  <w:vAlign w:val="center"/>
                </w:tcPr>
                <w:p w14:paraId="5F55CC6C">
                  <w:pPr>
                    <w:adjustRightInd w:val="0"/>
                    <w:snapToGrid w:val="0"/>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116.987485,30.138410</w:t>
                  </w:r>
                </w:p>
              </w:tc>
              <w:tc>
                <w:tcPr>
                  <w:tcW w:w="408" w:type="pct"/>
                  <w:vMerge w:val="restart"/>
                  <w:vAlign w:val="center"/>
                </w:tcPr>
                <w:p w14:paraId="46871CE7">
                  <w:pPr>
                    <w:adjustRightInd w:val="0"/>
                    <w:snapToGrid w:val="0"/>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10</w:t>
                  </w:r>
                </w:p>
              </w:tc>
              <w:tc>
                <w:tcPr>
                  <w:tcW w:w="335" w:type="pct"/>
                  <w:vAlign w:val="center"/>
                </w:tcPr>
                <w:p w14:paraId="4086CBF0">
                  <w:pPr>
                    <w:adjustRightInd w:val="0"/>
                    <w:snapToGrid w:val="0"/>
                    <w:spacing w:line="240" w:lineRule="auto"/>
                    <w:ind w:firstLine="0" w:firstLineChars="0"/>
                    <w:jc w:val="center"/>
                    <w:rPr>
                      <w:rFonts w:hint="default"/>
                      <w:color w:val="auto"/>
                      <w:sz w:val="21"/>
                      <w:szCs w:val="21"/>
                      <w:highlight w:val="none"/>
                      <w:lang w:val="en-US" w:eastAsia="zh-CN"/>
                    </w:rPr>
                  </w:pPr>
                  <w:r>
                    <w:rPr>
                      <w:rFonts w:hint="eastAsia" w:hAnsi="宋体" w:cs="Times New Roman"/>
                      <w:color w:val="auto"/>
                      <w:sz w:val="21"/>
                      <w:szCs w:val="21"/>
                      <w:lang w:val="en-US" w:eastAsia="zh-CN"/>
                    </w:rPr>
                    <w:t>--</w:t>
                  </w:r>
                </w:p>
              </w:tc>
              <w:tc>
                <w:tcPr>
                  <w:tcW w:w="156" w:type="pct"/>
                  <w:vAlign w:val="center"/>
                </w:tcPr>
                <w:p w14:paraId="3152028F">
                  <w:pPr>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达标</w:t>
                  </w:r>
                </w:p>
                <w:p w14:paraId="45D95AA5">
                  <w:pPr>
                    <w:adjustRightInd w:val="0"/>
                    <w:snapToGrid w:val="0"/>
                    <w:spacing w:line="240" w:lineRule="auto"/>
                    <w:ind w:firstLine="0" w:firstLineChars="0"/>
                    <w:jc w:val="center"/>
                    <w:rPr>
                      <w:rFonts w:hint="eastAsia"/>
                      <w:color w:val="auto"/>
                      <w:sz w:val="21"/>
                      <w:szCs w:val="21"/>
                      <w:highlight w:val="none"/>
                    </w:rPr>
                  </w:pPr>
                </w:p>
              </w:tc>
            </w:tr>
            <w:tr w14:paraId="76A37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152" w:hRule="atLeast"/>
              </w:trPr>
              <w:tc>
                <w:tcPr>
                  <w:tcW w:w="271" w:type="pct"/>
                  <w:vMerge w:val="restart"/>
                  <w:vAlign w:val="center"/>
                </w:tcPr>
                <w:p w14:paraId="35772FA7">
                  <w:pPr>
                    <w:adjustRightInd w:val="0"/>
                    <w:snapToGrid w:val="0"/>
                    <w:spacing w:before="24" w:beforeLines="10" w:after="24" w:afterLines="10" w:line="240" w:lineRule="auto"/>
                    <w:ind w:firstLine="0" w:firstLineChars="0"/>
                    <w:jc w:val="center"/>
                    <w:rPr>
                      <w:rFonts w:hint="default" w:eastAsia="宋体"/>
                      <w:color w:val="auto"/>
                      <w:kern w:val="0"/>
                      <w:sz w:val="21"/>
                      <w:highlight w:val="none"/>
                      <w:lang w:val="en-US" w:eastAsia="zh-CN"/>
                    </w:rPr>
                  </w:pPr>
                  <w:r>
                    <w:rPr>
                      <w:rFonts w:hint="eastAsia"/>
                      <w:color w:val="auto"/>
                      <w:kern w:val="0"/>
                      <w:sz w:val="21"/>
                      <w:highlight w:val="none"/>
                      <w:lang w:val="en-US" w:eastAsia="zh-CN"/>
                    </w:rPr>
                    <w:t>DA003</w:t>
                  </w:r>
                </w:p>
              </w:tc>
              <w:tc>
                <w:tcPr>
                  <w:tcW w:w="211" w:type="pct"/>
                  <w:vMerge w:val="restart"/>
                  <w:vAlign w:val="center"/>
                </w:tcPr>
                <w:p w14:paraId="53ADBC8E">
                  <w:pPr>
                    <w:adjustRightInd w:val="0"/>
                    <w:snapToGrid w:val="0"/>
                    <w:spacing w:before="24" w:beforeLines="10" w:after="24" w:afterLines="10" w:line="240" w:lineRule="auto"/>
                    <w:ind w:firstLine="0" w:firstLineChars="0"/>
                    <w:jc w:val="center"/>
                    <w:rPr>
                      <w:rFonts w:hint="eastAsia"/>
                      <w:color w:val="auto"/>
                      <w:kern w:val="0"/>
                      <w:sz w:val="21"/>
                      <w:highlight w:val="none"/>
                      <w:lang w:eastAsia="zh-CN"/>
                    </w:rPr>
                  </w:pPr>
                  <w:r>
                    <w:rPr>
                      <w:rFonts w:hint="eastAsia"/>
                      <w:color w:val="auto"/>
                      <w:kern w:val="0"/>
                      <w:sz w:val="21"/>
                      <w:highlight w:val="none"/>
                      <w:lang w:val="en-US" w:eastAsia="zh-CN"/>
                    </w:rPr>
                    <w:t>粉尘</w:t>
                  </w:r>
                  <w:r>
                    <w:rPr>
                      <w:rFonts w:hint="eastAsia" w:eastAsia="宋体"/>
                      <w:color w:val="auto"/>
                      <w:kern w:val="0"/>
                      <w:sz w:val="21"/>
                      <w:highlight w:val="none"/>
                      <w:lang w:eastAsia="zh-CN"/>
                    </w:rPr>
                    <w:t>废气排放口</w:t>
                  </w:r>
                </w:p>
              </w:tc>
              <w:tc>
                <w:tcPr>
                  <w:tcW w:w="243" w:type="pct"/>
                  <w:vAlign w:val="center"/>
                </w:tcPr>
                <w:p w14:paraId="279EF508">
                  <w:pPr>
                    <w:widowControl w:val="0"/>
                    <w:adjustRightInd w:val="0"/>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olor w:val="auto"/>
                      <w:sz w:val="21"/>
                      <w:szCs w:val="21"/>
                      <w:highlight w:val="none"/>
                      <w:lang w:eastAsia="zh-CN"/>
                    </w:rPr>
                    <w:t>颗粒物</w:t>
                  </w:r>
                </w:p>
              </w:tc>
              <w:tc>
                <w:tcPr>
                  <w:tcW w:w="262" w:type="pct"/>
                  <w:vMerge w:val="restart"/>
                  <w:vAlign w:val="center"/>
                </w:tcPr>
                <w:p w14:paraId="32BDAFB1">
                  <w:pPr>
                    <w:widowControl/>
                    <w:adjustRightInd w:val="0"/>
                    <w:snapToGrid w:val="0"/>
                    <w:spacing w:line="240" w:lineRule="auto"/>
                    <w:ind w:firstLine="0" w:firstLineChars="0"/>
                    <w:jc w:val="center"/>
                    <w:rPr>
                      <w:rFonts w:hint="eastAsia"/>
                      <w:color w:val="auto"/>
                      <w:sz w:val="21"/>
                      <w:szCs w:val="21"/>
                      <w:highlight w:val="none"/>
                    </w:rPr>
                  </w:pPr>
                  <w:r>
                    <w:rPr>
                      <w:rFonts w:hint="eastAsia" w:eastAsia="宋体"/>
                      <w:color w:val="auto"/>
                      <w:sz w:val="21"/>
                      <w:szCs w:val="21"/>
                      <w:highlight w:val="none"/>
                      <w:lang w:eastAsia="zh-CN"/>
                    </w:rPr>
                    <w:t>布袋除尘器</w:t>
                  </w:r>
                </w:p>
              </w:tc>
              <w:tc>
                <w:tcPr>
                  <w:tcW w:w="218" w:type="pct"/>
                  <w:vMerge w:val="restart"/>
                  <w:vAlign w:val="center"/>
                </w:tcPr>
                <w:p w14:paraId="429690DA">
                  <w:pPr>
                    <w:widowControl/>
                    <w:adjustRightInd w:val="0"/>
                    <w:snapToGrid w:val="0"/>
                    <w:spacing w:line="240" w:lineRule="auto"/>
                    <w:ind w:firstLine="0" w:firstLineChars="0"/>
                    <w:jc w:val="center"/>
                    <w:rPr>
                      <w:rFonts w:hint="eastAsia"/>
                      <w:color w:val="auto"/>
                      <w:sz w:val="21"/>
                      <w:szCs w:val="21"/>
                      <w:highlight w:val="none"/>
                    </w:rPr>
                  </w:pPr>
                  <w:r>
                    <w:rPr>
                      <w:rFonts w:hint="eastAsia" w:eastAsia="宋体"/>
                      <w:color w:val="auto"/>
                      <w:sz w:val="21"/>
                      <w:szCs w:val="21"/>
                      <w:highlight w:val="none"/>
                      <w:lang w:eastAsia="zh-CN"/>
                    </w:rPr>
                    <w:t>是</w:t>
                  </w:r>
                </w:p>
              </w:tc>
              <w:tc>
                <w:tcPr>
                  <w:tcW w:w="408" w:type="pct"/>
                  <w:vAlign w:val="center"/>
                </w:tcPr>
                <w:p w14:paraId="5730FE93">
                  <w:pPr>
                    <w:keepNext w:val="0"/>
                    <w:keepLines w:val="0"/>
                    <w:widowControl/>
                    <w:suppressLineNumbers w:val="0"/>
                    <w:spacing w:line="240" w:lineRule="auto"/>
                    <w:ind w:firstLine="0" w:firstLineChars="0"/>
                    <w:jc w:val="center"/>
                    <w:textAlignment w:val="center"/>
                    <w:rPr>
                      <w:rFonts w:hint="eastAsia" w:ascii="Times New Roman" w:eastAsia="宋体"/>
                      <w:color w:val="auto"/>
                      <w:sz w:val="21"/>
                      <w:szCs w:val="21"/>
                      <w:highlight w:val="none"/>
                      <w:lang w:val="en-US" w:eastAsia="zh-CN"/>
                    </w:rPr>
                  </w:pPr>
                  <w:r>
                    <w:rPr>
                      <w:rFonts w:hint="eastAsia" w:hAnsi="宋体" w:cs="Times New Roman"/>
                      <w:color w:val="auto"/>
                      <w:kern w:val="2"/>
                      <w:sz w:val="21"/>
                      <w:szCs w:val="21"/>
                      <w:lang w:val="en-US" w:eastAsia="zh-CN" w:bidi="ar-SA"/>
                    </w:rPr>
                    <w:t>16.68</w:t>
                  </w:r>
                </w:p>
              </w:tc>
              <w:tc>
                <w:tcPr>
                  <w:tcW w:w="344" w:type="pct"/>
                  <w:tcBorders>
                    <w:right w:val="single" w:color="auto" w:sz="4" w:space="0"/>
                  </w:tcBorders>
                  <w:vAlign w:val="center"/>
                </w:tcPr>
                <w:p w14:paraId="40C6C31E">
                  <w:pPr>
                    <w:keepNext w:val="0"/>
                    <w:keepLines w:val="0"/>
                    <w:widowControl/>
                    <w:suppressLineNumbers w:val="0"/>
                    <w:spacing w:line="240" w:lineRule="auto"/>
                    <w:ind w:firstLine="0" w:firstLineChars="0"/>
                    <w:jc w:val="center"/>
                    <w:textAlignment w:val="center"/>
                    <w:rPr>
                      <w:rFonts w:hint="eastAsia" w:ascii="Times New Roman" w:eastAsia="宋体"/>
                      <w:color w:val="auto"/>
                      <w:sz w:val="21"/>
                      <w:szCs w:val="21"/>
                      <w:highlight w:val="none"/>
                      <w:lang w:val="en-US" w:eastAsia="zh-CN"/>
                    </w:rPr>
                  </w:pPr>
                  <w:r>
                    <w:rPr>
                      <w:rFonts w:hint="eastAsia" w:cs="Times New Roman"/>
                      <w:color w:val="auto"/>
                      <w:sz w:val="21"/>
                      <w:szCs w:val="21"/>
                      <w:lang w:val="en-US" w:eastAsia="zh-CN"/>
                    </w:rPr>
                    <w:t>0.47</w:t>
                  </w:r>
                </w:p>
              </w:tc>
              <w:tc>
                <w:tcPr>
                  <w:tcW w:w="310" w:type="pct"/>
                  <w:tcBorders>
                    <w:left w:val="single" w:color="auto" w:sz="4" w:space="0"/>
                  </w:tcBorders>
                  <w:vAlign w:val="center"/>
                </w:tcPr>
                <w:p w14:paraId="2D99CAF6">
                  <w:pPr>
                    <w:keepNext w:val="0"/>
                    <w:keepLines w:val="0"/>
                    <w:widowControl/>
                    <w:suppressLineNumbers w:val="0"/>
                    <w:spacing w:line="240" w:lineRule="auto"/>
                    <w:ind w:firstLine="0" w:firstLineChars="0"/>
                    <w:jc w:val="center"/>
                    <w:textAlignment w:val="center"/>
                    <w:rPr>
                      <w:rFonts w:hint="default" w:ascii="Times New Roman" w:eastAsia="宋体"/>
                      <w:color w:val="auto"/>
                      <w:sz w:val="21"/>
                      <w:szCs w:val="21"/>
                      <w:highlight w:val="none"/>
                      <w:lang w:val="en-US" w:eastAsia="zh-CN"/>
                    </w:rPr>
                  </w:pPr>
                  <w:r>
                    <w:rPr>
                      <w:rFonts w:hint="eastAsia" w:cs="Times New Roman"/>
                      <w:color w:val="auto"/>
                      <w:kern w:val="2"/>
                      <w:sz w:val="21"/>
                      <w:szCs w:val="21"/>
                      <w:lang w:val="en-US" w:eastAsia="zh-CN" w:bidi="ar-SA"/>
                    </w:rPr>
                    <w:t>0.60</w:t>
                  </w:r>
                </w:p>
              </w:tc>
              <w:tc>
                <w:tcPr>
                  <w:tcW w:w="253" w:type="pct"/>
                  <w:vMerge w:val="restart"/>
                  <w:vAlign w:val="center"/>
                </w:tcPr>
                <w:p w14:paraId="7AC1ED86">
                  <w:pPr>
                    <w:adjustRightInd w:val="0"/>
                    <w:snapToGrid w:val="0"/>
                    <w:spacing w:line="240" w:lineRule="auto"/>
                    <w:ind w:firstLine="0" w:firstLineChars="0"/>
                    <w:jc w:val="center"/>
                    <w:rPr>
                      <w:rFonts w:hint="eastAsia"/>
                      <w:color w:val="auto"/>
                      <w:sz w:val="21"/>
                      <w:szCs w:val="21"/>
                      <w:highlight w:val="none"/>
                      <w:lang w:val="en-US" w:eastAsia="zh-CN"/>
                    </w:rPr>
                  </w:pPr>
                  <w:r>
                    <w:rPr>
                      <w:rFonts w:hint="eastAsia" w:ascii="Times New Roman" w:eastAsia="宋体"/>
                      <w:color w:val="auto"/>
                      <w:sz w:val="21"/>
                      <w:szCs w:val="21"/>
                      <w:highlight w:val="none"/>
                      <w:lang w:val="en-US" w:eastAsia="zh-CN"/>
                    </w:rPr>
                    <w:t>15</w:t>
                  </w:r>
                </w:p>
              </w:tc>
              <w:tc>
                <w:tcPr>
                  <w:tcW w:w="278" w:type="pct"/>
                  <w:vMerge w:val="restart"/>
                  <w:vAlign w:val="center"/>
                </w:tcPr>
                <w:p w14:paraId="2D54EFB7">
                  <w:pPr>
                    <w:adjustRightInd w:val="0"/>
                    <w:snapToGrid w:val="0"/>
                    <w:spacing w:line="240" w:lineRule="auto"/>
                    <w:ind w:firstLine="0" w:firstLineChars="0"/>
                    <w:jc w:val="center"/>
                    <w:rPr>
                      <w:rFonts w:hint="eastAsia"/>
                      <w:color w:val="auto"/>
                      <w:sz w:val="21"/>
                      <w:szCs w:val="21"/>
                      <w:highlight w:val="none"/>
                    </w:rPr>
                  </w:pPr>
                  <w:r>
                    <w:rPr>
                      <w:rFonts w:hint="eastAsia" w:ascii="Times New Roman" w:eastAsia="宋体"/>
                      <w:color w:val="auto"/>
                      <w:sz w:val="21"/>
                      <w:szCs w:val="21"/>
                      <w:highlight w:val="none"/>
                      <w:lang w:val="en-US" w:eastAsia="zh-CN"/>
                    </w:rPr>
                    <w:t>0.5</w:t>
                  </w:r>
                </w:p>
              </w:tc>
              <w:tc>
                <w:tcPr>
                  <w:tcW w:w="284" w:type="pct"/>
                  <w:vMerge w:val="restart"/>
                  <w:vAlign w:val="center"/>
                </w:tcPr>
                <w:p w14:paraId="6BDB9C60">
                  <w:pPr>
                    <w:adjustRightInd w:val="0"/>
                    <w:snapToGrid w:val="0"/>
                    <w:spacing w:line="240" w:lineRule="auto"/>
                    <w:ind w:firstLine="0" w:firstLineChars="0"/>
                    <w:jc w:val="center"/>
                    <w:rPr>
                      <w:rFonts w:hint="eastAsia"/>
                      <w:color w:val="auto"/>
                      <w:sz w:val="21"/>
                      <w:szCs w:val="21"/>
                      <w:highlight w:val="none"/>
                    </w:rPr>
                  </w:pPr>
                  <w:r>
                    <w:rPr>
                      <w:rFonts w:hint="eastAsia" w:eastAsia="宋体"/>
                      <w:color w:val="auto"/>
                      <w:sz w:val="21"/>
                      <w:szCs w:val="21"/>
                      <w:highlight w:val="none"/>
                      <w:lang w:eastAsia="zh-CN"/>
                    </w:rPr>
                    <w:t>常温</w:t>
                  </w:r>
                </w:p>
              </w:tc>
              <w:tc>
                <w:tcPr>
                  <w:tcW w:w="188" w:type="pct"/>
                  <w:vMerge w:val="restart"/>
                  <w:vAlign w:val="center"/>
                </w:tcPr>
                <w:p w14:paraId="79A911E4">
                  <w:pPr>
                    <w:adjustRightInd w:val="0"/>
                    <w:snapToGrid w:val="0"/>
                    <w:spacing w:line="240" w:lineRule="auto"/>
                    <w:ind w:firstLine="0" w:firstLineChars="0"/>
                    <w:jc w:val="center"/>
                    <w:rPr>
                      <w:rFonts w:hint="eastAsia"/>
                      <w:color w:val="auto"/>
                      <w:sz w:val="21"/>
                      <w:szCs w:val="21"/>
                      <w:highlight w:val="none"/>
                    </w:rPr>
                  </w:pPr>
                  <w:r>
                    <w:rPr>
                      <w:rFonts w:hint="eastAsia" w:eastAsia="宋体"/>
                      <w:color w:val="auto"/>
                      <w:sz w:val="21"/>
                      <w:szCs w:val="21"/>
                      <w:highlight w:val="none"/>
                      <w:lang w:eastAsia="zh-CN"/>
                    </w:rPr>
                    <w:t>一般排放口</w:t>
                  </w:r>
                </w:p>
              </w:tc>
              <w:tc>
                <w:tcPr>
                  <w:tcW w:w="822" w:type="pct"/>
                  <w:vMerge w:val="restart"/>
                  <w:vAlign w:val="center"/>
                </w:tcPr>
                <w:p w14:paraId="5E20033E">
                  <w:pPr>
                    <w:adjustRightInd w:val="0"/>
                    <w:snapToGrid w:val="0"/>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1116.987405,30.137760</w:t>
                  </w:r>
                </w:p>
              </w:tc>
              <w:tc>
                <w:tcPr>
                  <w:tcW w:w="408" w:type="pct"/>
                  <w:vAlign w:val="center"/>
                </w:tcPr>
                <w:p w14:paraId="7506BCDD">
                  <w:pPr>
                    <w:adjustRightInd w:val="0"/>
                    <w:snapToGrid w:val="0"/>
                    <w:spacing w:line="240" w:lineRule="auto"/>
                    <w:ind w:firstLine="0" w:firstLineChars="0"/>
                    <w:jc w:val="center"/>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120</w:t>
                  </w:r>
                </w:p>
              </w:tc>
              <w:tc>
                <w:tcPr>
                  <w:tcW w:w="335" w:type="pct"/>
                  <w:vAlign w:val="center"/>
                </w:tcPr>
                <w:p w14:paraId="65A0C2F1">
                  <w:pPr>
                    <w:adjustRightInd w:val="0"/>
                    <w:snapToGrid w:val="0"/>
                    <w:spacing w:line="240" w:lineRule="auto"/>
                    <w:ind w:firstLine="0" w:firstLineChars="0"/>
                    <w:jc w:val="center"/>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3.5</w:t>
                  </w:r>
                </w:p>
              </w:tc>
              <w:tc>
                <w:tcPr>
                  <w:tcW w:w="156" w:type="pct"/>
                  <w:vAlign w:val="center"/>
                </w:tcPr>
                <w:p w14:paraId="04ED938E">
                  <w:pPr>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达标</w:t>
                  </w:r>
                </w:p>
              </w:tc>
            </w:tr>
            <w:tr w14:paraId="1A081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91" w:hRule="atLeast"/>
              </w:trPr>
              <w:tc>
                <w:tcPr>
                  <w:tcW w:w="271" w:type="pct"/>
                  <w:vMerge w:val="restart"/>
                  <w:vAlign w:val="center"/>
                </w:tcPr>
                <w:p w14:paraId="07BD384A">
                  <w:pPr>
                    <w:adjustRightInd w:val="0"/>
                    <w:snapToGrid w:val="0"/>
                    <w:spacing w:before="24" w:beforeLines="10" w:after="24" w:afterLines="10" w:line="240" w:lineRule="auto"/>
                    <w:ind w:firstLine="0" w:firstLineChars="0"/>
                    <w:jc w:val="center"/>
                    <w:rPr>
                      <w:rFonts w:hint="default" w:eastAsia="宋体"/>
                      <w:color w:val="auto"/>
                      <w:kern w:val="0"/>
                      <w:sz w:val="21"/>
                      <w:highlight w:val="none"/>
                      <w:lang w:val="en-US" w:eastAsia="zh-CN"/>
                    </w:rPr>
                  </w:pPr>
                  <w:r>
                    <w:rPr>
                      <w:rFonts w:hint="eastAsia"/>
                      <w:color w:val="auto"/>
                      <w:kern w:val="0"/>
                      <w:sz w:val="21"/>
                      <w:highlight w:val="none"/>
                      <w:lang w:val="en-US" w:eastAsia="zh-CN"/>
                    </w:rPr>
                    <w:t>DA004</w:t>
                  </w:r>
                </w:p>
              </w:tc>
              <w:tc>
                <w:tcPr>
                  <w:tcW w:w="211" w:type="pct"/>
                  <w:vMerge w:val="restart"/>
                  <w:vAlign w:val="center"/>
                </w:tcPr>
                <w:p w14:paraId="383A0F02">
                  <w:pPr>
                    <w:adjustRightInd w:val="0"/>
                    <w:snapToGrid w:val="0"/>
                    <w:spacing w:before="24" w:beforeLines="10" w:after="24" w:afterLines="10" w:line="240" w:lineRule="auto"/>
                    <w:ind w:firstLine="0" w:firstLineChars="0"/>
                    <w:jc w:val="center"/>
                    <w:rPr>
                      <w:rFonts w:hint="eastAsia"/>
                      <w:color w:val="auto"/>
                      <w:kern w:val="0"/>
                      <w:sz w:val="21"/>
                      <w:highlight w:val="none"/>
                      <w:lang w:eastAsia="zh-CN"/>
                    </w:rPr>
                  </w:pPr>
                  <w:r>
                    <w:rPr>
                      <w:rFonts w:hint="eastAsia" w:eastAsia="宋体"/>
                      <w:color w:val="auto"/>
                      <w:kern w:val="0"/>
                      <w:sz w:val="21"/>
                      <w:highlight w:val="none"/>
                      <w:lang w:eastAsia="zh-CN"/>
                    </w:rPr>
                    <w:t>恶臭废气排放口</w:t>
                  </w:r>
                </w:p>
              </w:tc>
              <w:tc>
                <w:tcPr>
                  <w:tcW w:w="243" w:type="pct"/>
                  <w:vAlign w:val="center"/>
                </w:tcPr>
                <w:p w14:paraId="2C048C2C">
                  <w:pPr>
                    <w:widowControl w:val="0"/>
                    <w:adjustRightInd w:val="0"/>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氨</w:t>
                  </w:r>
                </w:p>
              </w:tc>
              <w:tc>
                <w:tcPr>
                  <w:tcW w:w="262" w:type="pct"/>
                  <w:vMerge w:val="restart"/>
                  <w:vAlign w:val="center"/>
                </w:tcPr>
                <w:p w14:paraId="20F24ED6">
                  <w:pPr>
                    <w:widowControl/>
                    <w:adjustRightInd w:val="0"/>
                    <w:snapToGrid w:val="0"/>
                    <w:spacing w:line="240" w:lineRule="auto"/>
                    <w:ind w:firstLine="0" w:firstLineChars="0"/>
                    <w:jc w:val="center"/>
                    <w:rPr>
                      <w:rFonts w:hint="eastAsia"/>
                      <w:color w:val="auto"/>
                      <w:sz w:val="21"/>
                      <w:szCs w:val="21"/>
                      <w:highlight w:val="none"/>
                    </w:rPr>
                  </w:pPr>
                  <w:r>
                    <w:rPr>
                      <w:rFonts w:hint="eastAsia" w:eastAsia="宋体"/>
                      <w:color w:val="auto"/>
                      <w:sz w:val="21"/>
                      <w:szCs w:val="21"/>
                      <w:highlight w:val="none"/>
                      <w:lang w:eastAsia="zh-CN"/>
                    </w:rPr>
                    <w:t>生物除臭塔</w:t>
                  </w:r>
                </w:p>
              </w:tc>
              <w:tc>
                <w:tcPr>
                  <w:tcW w:w="218" w:type="pct"/>
                  <w:vMerge w:val="restart"/>
                  <w:vAlign w:val="center"/>
                </w:tcPr>
                <w:p w14:paraId="7BE797DB">
                  <w:pPr>
                    <w:widowControl/>
                    <w:adjustRightInd w:val="0"/>
                    <w:snapToGrid w:val="0"/>
                    <w:spacing w:line="240" w:lineRule="auto"/>
                    <w:ind w:firstLine="0" w:firstLineChars="0"/>
                    <w:jc w:val="center"/>
                    <w:rPr>
                      <w:rFonts w:hint="eastAsia"/>
                      <w:color w:val="auto"/>
                      <w:sz w:val="21"/>
                      <w:szCs w:val="21"/>
                      <w:highlight w:val="none"/>
                    </w:rPr>
                  </w:pPr>
                  <w:r>
                    <w:rPr>
                      <w:rFonts w:hint="eastAsia" w:eastAsia="宋体"/>
                      <w:color w:val="auto"/>
                      <w:sz w:val="21"/>
                      <w:szCs w:val="21"/>
                      <w:highlight w:val="none"/>
                      <w:lang w:eastAsia="zh-CN"/>
                    </w:rPr>
                    <w:t>是</w:t>
                  </w:r>
                </w:p>
              </w:tc>
              <w:tc>
                <w:tcPr>
                  <w:tcW w:w="408" w:type="pct"/>
                  <w:vAlign w:val="center"/>
                </w:tcPr>
                <w:p w14:paraId="2E9B2A5A">
                  <w:pPr>
                    <w:keepNext w:val="0"/>
                    <w:keepLines w:val="0"/>
                    <w:widowControl/>
                    <w:suppressLineNumbers w:val="0"/>
                    <w:spacing w:line="240" w:lineRule="auto"/>
                    <w:ind w:firstLine="0" w:firstLineChars="0"/>
                    <w:jc w:val="center"/>
                    <w:textAlignment w:val="center"/>
                    <w:rPr>
                      <w:rFonts w:hint="eastAsia" w:ascii="Times New Roman" w:eastAsia="宋体"/>
                      <w:color w:val="auto"/>
                      <w:sz w:val="21"/>
                      <w:szCs w:val="21"/>
                      <w:highlight w:val="none"/>
                      <w:lang w:val="en-US" w:eastAsia="zh-CN"/>
                    </w:rPr>
                  </w:pPr>
                  <w:r>
                    <w:rPr>
                      <w:rFonts w:hint="eastAsia" w:hAnsi="宋体" w:cs="Times New Roman"/>
                      <w:color w:val="auto"/>
                      <w:kern w:val="2"/>
                      <w:sz w:val="21"/>
                      <w:szCs w:val="21"/>
                      <w:lang w:val="en-US" w:eastAsia="zh-CN" w:bidi="ar-SA"/>
                    </w:rPr>
                    <w:t>8.83</w:t>
                  </w:r>
                </w:p>
              </w:tc>
              <w:tc>
                <w:tcPr>
                  <w:tcW w:w="344" w:type="pct"/>
                  <w:tcBorders>
                    <w:right w:val="single" w:color="auto" w:sz="4" w:space="0"/>
                  </w:tcBorders>
                  <w:vAlign w:val="center"/>
                </w:tcPr>
                <w:p w14:paraId="11F1DCA3">
                  <w:pPr>
                    <w:keepNext w:val="0"/>
                    <w:keepLines w:val="0"/>
                    <w:widowControl/>
                    <w:suppressLineNumbers w:val="0"/>
                    <w:spacing w:line="240" w:lineRule="auto"/>
                    <w:ind w:firstLine="0" w:firstLineChars="0"/>
                    <w:jc w:val="center"/>
                    <w:textAlignment w:val="center"/>
                    <w:rPr>
                      <w:rFonts w:hint="eastAsia" w:ascii="Times New Roman" w:eastAsia="宋体"/>
                      <w:color w:val="auto"/>
                      <w:sz w:val="21"/>
                      <w:szCs w:val="21"/>
                      <w:highlight w:val="none"/>
                      <w:lang w:val="en-US" w:eastAsia="zh-CN"/>
                    </w:rPr>
                  </w:pPr>
                  <w:r>
                    <w:rPr>
                      <w:rFonts w:hint="eastAsia" w:cs="Times New Roman"/>
                      <w:color w:val="auto"/>
                      <w:sz w:val="21"/>
                      <w:szCs w:val="21"/>
                      <w:lang w:val="en-US" w:eastAsia="zh-CN"/>
                    </w:rPr>
                    <w:t>0.16</w:t>
                  </w:r>
                </w:p>
              </w:tc>
              <w:tc>
                <w:tcPr>
                  <w:tcW w:w="310" w:type="pct"/>
                  <w:tcBorders>
                    <w:left w:val="single" w:color="auto" w:sz="4" w:space="0"/>
                  </w:tcBorders>
                  <w:vAlign w:val="center"/>
                </w:tcPr>
                <w:p w14:paraId="70ECCD7F">
                  <w:pPr>
                    <w:keepNext w:val="0"/>
                    <w:keepLines w:val="0"/>
                    <w:widowControl/>
                    <w:suppressLineNumbers w:val="0"/>
                    <w:spacing w:line="240" w:lineRule="auto"/>
                    <w:ind w:firstLine="0" w:firstLineChars="0"/>
                    <w:jc w:val="center"/>
                    <w:textAlignment w:val="center"/>
                    <w:rPr>
                      <w:rFonts w:hint="eastAsia" w:ascii="Times New Roman" w:eastAsia="宋体"/>
                      <w:color w:val="auto"/>
                      <w:sz w:val="21"/>
                      <w:szCs w:val="21"/>
                      <w:highlight w:val="none"/>
                      <w:lang w:val="en-US" w:eastAsia="zh-CN"/>
                    </w:rPr>
                  </w:pPr>
                  <w:r>
                    <w:rPr>
                      <w:rFonts w:hint="eastAsia" w:cs="Times New Roman"/>
                      <w:color w:val="auto"/>
                      <w:kern w:val="2"/>
                      <w:sz w:val="21"/>
                      <w:szCs w:val="21"/>
                      <w:lang w:val="en-US" w:eastAsia="zh-CN" w:bidi="ar-SA"/>
                    </w:rPr>
                    <w:t>0.411</w:t>
                  </w:r>
                </w:p>
              </w:tc>
              <w:tc>
                <w:tcPr>
                  <w:tcW w:w="253" w:type="pct"/>
                  <w:vMerge w:val="restart"/>
                  <w:vAlign w:val="center"/>
                </w:tcPr>
                <w:p w14:paraId="44483EFD">
                  <w:pPr>
                    <w:adjustRightInd w:val="0"/>
                    <w:snapToGrid w:val="0"/>
                    <w:spacing w:line="240" w:lineRule="auto"/>
                    <w:ind w:firstLine="0" w:firstLineChars="0"/>
                    <w:jc w:val="center"/>
                    <w:rPr>
                      <w:rFonts w:hint="eastAsia"/>
                      <w:color w:val="auto"/>
                      <w:sz w:val="21"/>
                      <w:szCs w:val="21"/>
                      <w:highlight w:val="none"/>
                      <w:lang w:val="en-US" w:eastAsia="zh-CN"/>
                    </w:rPr>
                  </w:pPr>
                  <w:r>
                    <w:rPr>
                      <w:rFonts w:hint="eastAsia" w:ascii="Times New Roman" w:eastAsia="宋体"/>
                      <w:color w:val="auto"/>
                      <w:sz w:val="21"/>
                      <w:szCs w:val="21"/>
                      <w:highlight w:val="none"/>
                      <w:lang w:val="en-US" w:eastAsia="zh-CN"/>
                    </w:rPr>
                    <w:t>15</w:t>
                  </w:r>
                </w:p>
              </w:tc>
              <w:tc>
                <w:tcPr>
                  <w:tcW w:w="278" w:type="pct"/>
                  <w:vMerge w:val="restart"/>
                  <w:vAlign w:val="center"/>
                </w:tcPr>
                <w:p w14:paraId="4E85E9EF">
                  <w:pPr>
                    <w:adjustRightInd w:val="0"/>
                    <w:snapToGrid w:val="0"/>
                    <w:spacing w:line="240" w:lineRule="auto"/>
                    <w:ind w:firstLine="0" w:firstLineChars="0"/>
                    <w:jc w:val="center"/>
                    <w:rPr>
                      <w:rFonts w:hint="eastAsia"/>
                      <w:color w:val="auto"/>
                      <w:sz w:val="21"/>
                      <w:szCs w:val="21"/>
                      <w:highlight w:val="none"/>
                    </w:rPr>
                  </w:pPr>
                  <w:r>
                    <w:rPr>
                      <w:rFonts w:hint="eastAsia" w:ascii="Times New Roman" w:eastAsia="宋体"/>
                      <w:color w:val="auto"/>
                      <w:sz w:val="21"/>
                      <w:szCs w:val="21"/>
                      <w:highlight w:val="none"/>
                      <w:lang w:val="en-US" w:eastAsia="zh-CN"/>
                    </w:rPr>
                    <w:t>0.5</w:t>
                  </w:r>
                </w:p>
              </w:tc>
              <w:tc>
                <w:tcPr>
                  <w:tcW w:w="284" w:type="pct"/>
                  <w:vMerge w:val="restart"/>
                  <w:vAlign w:val="center"/>
                </w:tcPr>
                <w:p w14:paraId="7D1A7648">
                  <w:pPr>
                    <w:adjustRightInd w:val="0"/>
                    <w:snapToGrid w:val="0"/>
                    <w:spacing w:line="240" w:lineRule="auto"/>
                    <w:ind w:firstLine="0" w:firstLineChars="0"/>
                    <w:jc w:val="center"/>
                    <w:rPr>
                      <w:rFonts w:hint="eastAsia"/>
                      <w:color w:val="auto"/>
                      <w:sz w:val="21"/>
                      <w:szCs w:val="21"/>
                      <w:highlight w:val="none"/>
                    </w:rPr>
                  </w:pPr>
                  <w:r>
                    <w:rPr>
                      <w:rFonts w:hint="eastAsia" w:eastAsia="宋体"/>
                      <w:color w:val="auto"/>
                      <w:sz w:val="21"/>
                      <w:szCs w:val="21"/>
                      <w:highlight w:val="none"/>
                      <w:lang w:eastAsia="zh-CN"/>
                    </w:rPr>
                    <w:t>常温</w:t>
                  </w:r>
                </w:p>
              </w:tc>
              <w:tc>
                <w:tcPr>
                  <w:tcW w:w="188" w:type="pct"/>
                  <w:vMerge w:val="restart"/>
                  <w:vAlign w:val="center"/>
                </w:tcPr>
                <w:p w14:paraId="656EA999">
                  <w:pPr>
                    <w:adjustRightInd w:val="0"/>
                    <w:snapToGrid w:val="0"/>
                    <w:spacing w:line="240" w:lineRule="auto"/>
                    <w:ind w:firstLine="0" w:firstLineChars="0"/>
                    <w:jc w:val="center"/>
                    <w:rPr>
                      <w:rFonts w:hint="eastAsia"/>
                      <w:color w:val="auto"/>
                      <w:sz w:val="21"/>
                      <w:szCs w:val="21"/>
                      <w:highlight w:val="none"/>
                    </w:rPr>
                  </w:pPr>
                  <w:r>
                    <w:rPr>
                      <w:rFonts w:hint="eastAsia" w:eastAsia="宋体"/>
                      <w:color w:val="auto"/>
                      <w:sz w:val="21"/>
                      <w:szCs w:val="21"/>
                      <w:highlight w:val="none"/>
                      <w:lang w:eastAsia="zh-CN"/>
                    </w:rPr>
                    <w:t>一般排放口</w:t>
                  </w:r>
                </w:p>
              </w:tc>
              <w:tc>
                <w:tcPr>
                  <w:tcW w:w="822" w:type="pct"/>
                  <w:vMerge w:val="restart"/>
                  <w:vAlign w:val="center"/>
                </w:tcPr>
                <w:p w14:paraId="697570BD">
                  <w:pPr>
                    <w:adjustRightInd w:val="0"/>
                    <w:snapToGrid w:val="0"/>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116.988038,30.137556</w:t>
                  </w:r>
                </w:p>
              </w:tc>
              <w:tc>
                <w:tcPr>
                  <w:tcW w:w="408" w:type="pct"/>
                  <w:vAlign w:val="center"/>
                </w:tcPr>
                <w:p w14:paraId="6112980E">
                  <w:pPr>
                    <w:adjustRightInd w:val="0"/>
                    <w:snapToGrid w:val="0"/>
                    <w:spacing w:line="240" w:lineRule="auto"/>
                    <w:ind w:firstLine="0" w:firstLineChars="0"/>
                    <w:jc w:val="center"/>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w:t>
                  </w:r>
                </w:p>
              </w:tc>
              <w:tc>
                <w:tcPr>
                  <w:tcW w:w="335" w:type="pct"/>
                  <w:vAlign w:val="center"/>
                </w:tcPr>
                <w:p w14:paraId="4457FEE2">
                  <w:pPr>
                    <w:adjustRightInd w:val="0"/>
                    <w:snapToGrid w:val="0"/>
                    <w:spacing w:line="240" w:lineRule="auto"/>
                    <w:ind w:firstLine="0" w:firstLineChars="0"/>
                    <w:jc w:val="center"/>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4.9</w:t>
                  </w:r>
                </w:p>
              </w:tc>
              <w:tc>
                <w:tcPr>
                  <w:tcW w:w="156" w:type="pct"/>
                  <w:vAlign w:val="center"/>
                </w:tcPr>
                <w:p w14:paraId="55305FC8">
                  <w:pPr>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达标</w:t>
                  </w:r>
                </w:p>
              </w:tc>
            </w:tr>
            <w:tr w14:paraId="24EAC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91" w:hRule="atLeast"/>
              </w:trPr>
              <w:tc>
                <w:tcPr>
                  <w:tcW w:w="271" w:type="pct"/>
                  <w:vMerge w:val="continue"/>
                  <w:vAlign w:val="center"/>
                </w:tcPr>
                <w:p w14:paraId="670BB0CE">
                  <w:pPr>
                    <w:adjustRightInd w:val="0"/>
                    <w:snapToGrid w:val="0"/>
                    <w:spacing w:before="24" w:beforeLines="10" w:after="24" w:afterLines="10" w:line="240" w:lineRule="auto"/>
                    <w:ind w:firstLine="0" w:firstLineChars="0"/>
                    <w:jc w:val="center"/>
                    <w:rPr>
                      <w:rFonts w:hint="eastAsia"/>
                      <w:color w:val="auto"/>
                      <w:kern w:val="0"/>
                      <w:sz w:val="21"/>
                      <w:highlight w:val="none"/>
                    </w:rPr>
                  </w:pPr>
                </w:p>
              </w:tc>
              <w:tc>
                <w:tcPr>
                  <w:tcW w:w="211" w:type="pct"/>
                  <w:vMerge w:val="continue"/>
                  <w:vAlign w:val="center"/>
                </w:tcPr>
                <w:p w14:paraId="027B1A50">
                  <w:pPr>
                    <w:adjustRightInd w:val="0"/>
                    <w:snapToGrid w:val="0"/>
                    <w:spacing w:before="24" w:beforeLines="10" w:after="24" w:afterLines="10" w:line="240" w:lineRule="auto"/>
                    <w:ind w:firstLine="0" w:firstLineChars="0"/>
                    <w:jc w:val="center"/>
                    <w:rPr>
                      <w:rFonts w:hint="eastAsia"/>
                      <w:color w:val="auto"/>
                      <w:kern w:val="0"/>
                      <w:sz w:val="21"/>
                      <w:highlight w:val="none"/>
                      <w:lang w:eastAsia="zh-CN"/>
                    </w:rPr>
                  </w:pPr>
                </w:p>
              </w:tc>
              <w:tc>
                <w:tcPr>
                  <w:tcW w:w="243" w:type="pct"/>
                  <w:vAlign w:val="center"/>
                </w:tcPr>
                <w:p w14:paraId="535805A9">
                  <w:pPr>
                    <w:widowControl w:val="0"/>
                    <w:adjustRightInd w:val="0"/>
                    <w:snapToGrid w:val="0"/>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硫化氢</w:t>
                  </w:r>
                </w:p>
              </w:tc>
              <w:tc>
                <w:tcPr>
                  <w:tcW w:w="262" w:type="pct"/>
                  <w:vMerge w:val="continue"/>
                  <w:vAlign w:val="center"/>
                </w:tcPr>
                <w:p w14:paraId="2BC3EC87">
                  <w:pPr>
                    <w:widowControl/>
                    <w:adjustRightInd w:val="0"/>
                    <w:snapToGrid w:val="0"/>
                    <w:spacing w:line="240" w:lineRule="auto"/>
                    <w:ind w:firstLine="0" w:firstLineChars="0"/>
                    <w:jc w:val="center"/>
                    <w:rPr>
                      <w:rFonts w:hint="eastAsia"/>
                      <w:color w:val="auto"/>
                      <w:sz w:val="21"/>
                      <w:szCs w:val="21"/>
                      <w:highlight w:val="none"/>
                    </w:rPr>
                  </w:pPr>
                </w:p>
              </w:tc>
              <w:tc>
                <w:tcPr>
                  <w:tcW w:w="218" w:type="pct"/>
                  <w:vMerge w:val="continue"/>
                  <w:vAlign w:val="center"/>
                </w:tcPr>
                <w:p w14:paraId="1CB45A05">
                  <w:pPr>
                    <w:widowControl/>
                    <w:adjustRightInd w:val="0"/>
                    <w:snapToGrid w:val="0"/>
                    <w:spacing w:line="240" w:lineRule="auto"/>
                    <w:ind w:firstLine="0" w:firstLineChars="0"/>
                    <w:jc w:val="center"/>
                    <w:rPr>
                      <w:rFonts w:hint="eastAsia"/>
                      <w:color w:val="auto"/>
                      <w:sz w:val="21"/>
                      <w:szCs w:val="21"/>
                      <w:highlight w:val="none"/>
                    </w:rPr>
                  </w:pPr>
                </w:p>
              </w:tc>
              <w:tc>
                <w:tcPr>
                  <w:tcW w:w="408" w:type="pct"/>
                  <w:vAlign w:val="center"/>
                </w:tcPr>
                <w:p w14:paraId="6047C006">
                  <w:pPr>
                    <w:keepNext w:val="0"/>
                    <w:keepLines w:val="0"/>
                    <w:widowControl/>
                    <w:suppressLineNumbers w:val="0"/>
                    <w:spacing w:line="240" w:lineRule="auto"/>
                    <w:ind w:firstLine="0" w:firstLineChars="0"/>
                    <w:jc w:val="center"/>
                    <w:textAlignment w:val="center"/>
                    <w:rPr>
                      <w:rFonts w:hint="eastAsia" w:ascii="Times New Roman" w:eastAsia="宋体"/>
                      <w:color w:val="auto"/>
                      <w:sz w:val="21"/>
                      <w:szCs w:val="21"/>
                      <w:highlight w:val="none"/>
                      <w:lang w:val="en-US" w:eastAsia="zh-CN"/>
                    </w:rPr>
                  </w:pPr>
                  <w:r>
                    <w:rPr>
                      <w:rFonts w:hint="eastAsia" w:hAnsi="宋体" w:cs="Times New Roman"/>
                      <w:color w:val="auto"/>
                      <w:kern w:val="2"/>
                      <w:sz w:val="21"/>
                      <w:szCs w:val="21"/>
                      <w:lang w:val="en-US" w:eastAsia="zh-CN" w:bidi="ar-SA"/>
                    </w:rPr>
                    <w:t>0.37</w:t>
                  </w:r>
                </w:p>
              </w:tc>
              <w:tc>
                <w:tcPr>
                  <w:tcW w:w="344" w:type="pct"/>
                  <w:tcBorders>
                    <w:right w:val="single" w:color="auto" w:sz="4" w:space="0"/>
                  </w:tcBorders>
                  <w:vAlign w:val="center"/>
                </w:tcPr>
                <w:p w14:paraId="5AC1E744">
                  <w:pPr>
                    <w:keepNext w:val="0"/>
                    <w:keepLines w:val="0"/>
                    <w:widowControl/>
                    <w:suppressLineNumbers w:val="0"/>
                    <w:spacing w:line="240" w:lineRule="auto"/>
                    <w:ind w:firstLine="0" w:firstLineChars="0"/>
                    <w:jc w:val="center"/>
                    <w:textAlignment w:val="center"/>
                    <w:rPr>
                      <w:rFonts w:hint="eastAsia" w:ascii="Times New Roman" w:eastAsia="宋体"/>
                      <w:color w:val="auto"/>
                      <w:sz w:val="21"/>
                      <w:szCs w:val="21"/>
                      <w:highlight w:val="none"/>
                      <w:lang w:val="en-US" w:eastAsia="zh-CN"/>
                    </w:rPr>
                  </w:pPr>
                  <w:r>
                    <w:rPr>
                      <w:rFonts w:hint="eastAsia" w:cs="Times New Roman"/>
                      <w:color w:val="auto"/>
                      <w:sz w:val="21"/>
                      <w:szCs w:val="21"/>
                      <w:lang w:val="en-US" w:eastAsia="zh-CN"/>
                    </w:rPr>
                    <w:t>0.0045</w:t>
                  </w:r>
                </w:p>
              </w:tc>
              <w:tc>
                <w:tcPr>
                  <w:tcW w:w="310" w:type="pct"/>
                  <w:tcBorders>
                    <w:left w:val="single" w:color="auto" w:sz="4" w:space="0"/>
                  </w:tcBorders>
                  <w:vAlign w:val="center"/>
                </w:tcPr>
                <w:p w14:paraId="32690540">
                  <w:pPr>
                    <w:keepNext w:val="0"/>
                    <w:keepLines w:val="0"/>
                    <w:widowControl/>
                    <w:suppressLineNumbers w:val="0"/>
                    <w:spacing w:line="240" w:lineRule="auto"/>
                    <w:ind w:firstLine="0" w:firstLineChars="0"/>
                    <w:jc w:val="center"/>
                    <w:textAlignment w:val="center"/>
                    <w:rPr>
                      <w:rFonts w:hint="eastAsia" w:ascii="Times New Roman" w:eastAsia="宋体"/>
                      <w:color w:val="auto"/>
                      <w:sz w:val="21"/>
                      <w:szCs w:val="21"/>
                      <w:highlight w:val="none"/>
                      <w:lang w:val="en-US" w:eastAsia="zh-CN"/>
                    </w:rPr>
                  </w:pPr>
                  <w:r>
                    <w:rPr>
                      <w:rFonts w:hint="eastAsia" w:cs="Times New Roman"/>
                      <w:color w:val="auto"/>
                      <w:kern w:val="2"/>
                      <w:sz w:val="21"/>
                      <w:szCs w:val="21"/>
                      <w:lang w:val="en-US" w:eastAsia="zh-CN" w:bidi="ar-SA"/>
                    </w:rPr>
                    <w:t>0.0114</w:t>
                  </w:r>
                </w:p>
              </w:tc>
              <w:tc>
                <w:tcPr>
                  <w:tcW w:w="253" w:type="pct"/>
                  <w:vMerge w:val="continue"/>
                  <w:vAlign w:val="center"/>
                </w:tcPr>
                <w:p w14:paraId="659634F8">
                  <w:pPr>
                    <w:adjustRightInd w:val="0"/>
                    <w:snapToGrid w:val="0"/>
                    <w:spacing w:line="240" w:lineRule="auto"/>
                    <w:ind w:firstLine="0" w:firstLineChars="0"/>
                    <w:jc w:val="center"/>
                    <w:rPr>
                      <w:rFonts w:hint="eastAsia"/>
                      <w:color w:val="auto"/>
                      <w:sz w:val="21"/>
                      <w:szCs w:val="21"/>
                      <w:highlight w:val="none"/>
                      <w:lang w:val="en-US" w:eastAsia="zh-CN"/>
                    </w:rPr>
                  </w:pPr>
                </w:p>
              </w:tc>
              <w:tc>
                <w:tcPr>
                  <w:tcW w:w="278" w:type="pct"/>
                  <w:vMerge w:val="continue"/>
                  <w:vAlign w:val="center"/>
                </w:tcPr>
                <w:p w14:paraId="1F7D4842">
                  <w:pPr>
                    <w:adjustRightInd w:val="0"/>
                    <w:snapToGrid w:val="0"/>
                    <w:spacing w:line="240" w:lineRule="auto"/>
                    <w:ind w:firstLine="0" w:firstLineChars="0"/>
                    <w:jc w:val="center"/>
                    <w:rPr>
                      <w:rFonts w:hint="eastAsia"/>
                      <w:color w:val="auto"/>
                      <w:sz w:val="21"/>
                      <w:szCs w:val="21"/>
                      <w:highlight w:val="none"/>
                    </w:rPr>
                  </w:pPr>
                </w:p>
              </w:tc>
              <w:tc>
                <w:tcPr>
                  <w:tcW w:w="284" w:type="pct"/>
                  <w:vMerge w:val="continue"/>
                  <w:vAlign w:val="center"/>
                </w:tcPr>
                <w:p w14:paraId="3B236C5B">
                  <w:pPr>
                    <w:adjustRightInd w:val="0"/>
                    <w:snapToGrid w:val="0"/>
                    <w:spacing w:line="240" w:lineRule="auto"/>
                    <w:ind w:firstLine="0" w:firstLineChars="0"/>
                    <w:jc w:val="center"/>
                    <w:rPr>
                      <w:rFonts w:hint="eastAsia"/>
                      <w:color w:val="auto"/>
                      <w:sz w:val="21"/>
                      <w:szCs w:val="21"/>
                      <w:highlight w:val="none"/>
                    </w:rPr>
                  </w:pPr>
                </w:p>
              </w:tc>
              <w:tc>
                <w:tcPr>
                  <w:tcW w:w="188" w:type="pct"/>
                  <w:vMerge w:val="continue"/>
                  <w:vAlign w:val="center"/>
                </w:tcPr>
                <w:p w14:paraId="01E1C795">
                  <w:pPr>
                    <w:adjustRightInd w:val="0"/>
                    <w:snapToGrid w:val="0"/>
                    <w:spacing w:line="240" w:lineRule="auto"/>
                    <w:ind w:firstLine="0" w:firstLineChars="0"/>
                    <w:jc w:val="center"/>
                    <w:rPr>
                      <w:rFonts w:hint="eastAsia"/>
                      <w:color w:val="auto"/>
                      <w:sz w:val="21"/>
                      <w:szCs w:val="21"/>
                      <w:highlight w:val="none"/>
                    </w:rPr>
                  </w:pPr>
                </w:p>
              </w:tc>
              <w:tc>
                <w:tcPr>
                  <w:tcW w:w="822" w:type="pct"/>
                  <w:vMerge w:val="continue"/>
                  <w:vAlign w:val="center"/>
                </w:tcPr>
                <w:p w14:paraId="641A99B5">
                  <w:pPr>
                    <w:adjustRightInd w:val="0"/>
                    <w:snapToGrid w:val="0"/>
                    <w:spacing w:line="240" w:lineRule="auto"/>
                    <w:ind w:firstLine="0" w:firstLineChars="0"/>
                    <w:jc w:val="center"/>
                    <w:rPr>
                      <w:rFonts w:hint="eastAsia"/>
                      <w:color w:val="auto"/>
                      <w:sz w:val="21"/>
                      <w:szCs w:val="21"/>
                      <w:highlight w:val="none"/>
                      <w:lang w:val="en-US" w:eastAsia="zh-CN"/>
                    </w:rPr>
                  </w:pPr>
                </w:p>
              </w:tc>
              <w:tc>
                <w:tcPr>
                  <w:tcW w:w="408" w:type="pct"/>
                  <w:vAlign w:val="center"/>
                </w:tcPr>
                <w:p w14:paraId="25B1C8AC">
                  <w:pPr>
                    <w:adjustRightInd w:val="0"/>
                    <w:snapToGrid w:val="0"/>
                    <w:spacing w:line="240" w:lineRule="auto"/>
                    <w:ind w:firstLine="0" w:firstLineChars="0"/>
                    <w:jc w:val="center"/>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w:t>
                  </w:r>
                </w:p>
              </w:tc>
              <w:tc>
                <w:tcPr>
                  <w:tcW w:w="335" w:type="pct"/>
                  <w:vAlign w:val="center"/>
                </w:tcPr>
                <w:p w14:paraId="4A4FCF6C">
                  <w:pPr>
                    <w:adjustRightInd w:val="0"/>
                    <w:snapToGrid w:val="0"/>
                    <w:spacing w:line="240" w:lineRule="auto"/>
                    <w:ind w:firstLine="0" w:firstLineChars="0"/>
                    <w:jc w:val="center"/>
                    <w:rPr>
                      <w:rFonts w:hint="eastAsia" w:ascii="Times New Roman" w:eastAsia="宋体"/>
                      <w:color w:val="auto"/>
                      <w:sz w:val="21"/>
                      <w:szCs w:val="21"/>
                      <w:highlight w:val="none"/>
                      <w:lang w:val="en-US" w:eastAsia="zh-CN"/>
                    </w:rPr>
                  </w:pPr>
                  <w:r>
                    <w:rPr>
                      <w:rFonts w:hint="eastAsia" w:ascii="Times New Roman" w:eastAsia="宋体"/>
                      <w:color w:val="auto"/>
                      <w:sz w:val="21"/>
                      <w:szCs w:val="21"/>
                      <w:highlight w:val="none"/>
                      <w:lang w:val="en-US" w:eastAsia="zh-CN"/>
                    </w:rPr>
                    <w:t>0.33</w:t>
                  </w:r>
                </w:p>
              </w:tc>
              <w:tc>
                <w:tcPr>
                  <w:tcW w:w="156" w:type="pct"/>
                  <w:vAlign w:val="center"/>
                </w:tcPr>
                <w:p w14:paraId="05372130">
                  <w:pPr>
                    <w:adjustRightInd w:val="0"/>
                    <w:snapToGrid w:val="0"/>
                    <w:spacing w:line="240" w:lineRule="auto"/>
                    <w:ind w:firstLine="0" w:firstLineChars="0"/>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达标</w:t>
                  </w:r>
                </w:p>
              </w:tc>
            </w:tr>
          </w:tbl>
          <w:p w14:paraId="53C815A9">
            <w:pPr>
              <w:keepNext w:val="0"/>
              <w:keepLines w:val="0"/>
              <w:pageBreakBefore w:val="0"/>
              <w:widowControl/>
              <w:tabs>
                <w:tab w:val="left" w:pos="1134"/>
                <w:tab w:val="right" w:pos="7371"/>
              </w:tabs>
              <w:kinsoku/>
              <w:wordWrap/>
              <w:overflowPunct/>
              <w:topLinePunct w:val="0"/>
              <w:autoSpaceDE/>
              <w:autoSpaceDN/>
              <w:bidi w:val="0"/>
              <w:adjustRightInd/>
              <w:snapToGrid/>
              <w:spacing w:before="157" w:beforeLines="50" w:line="240" w:lineRule="auto"/>
              <w:ind w:firstLine="0" w:firstLineChars="0"/>
              <w:jc w:val="center"/>
              <w:textAlignment w:val="auto"/>
              <w:rPr>
                <w:b/>
                <w:color w:val="auto"/>
                <w:kern w:val="0"/>
                <w:sz w:val="21"/>
                <w:szCs w:val="16"/>
              </w:rPr>
            </w:pPr>
            <w:r>
              <w:rPr>
                <w:b/>
                <w:color w:val="auto"/>
                <w:kern w:val="0"/>
                <w:sz w:val="21"/>
                <w:szCs w:val="16"/>
              </w:rPr>
              <w:t>表4-</w:t>
            </w:r>
            <w:r>
              <w:rPr>
                <w:rFonts w:hint="eastAsia" w:ascii="Times New Roman" w:eastAsia="宋体"/>
                <w:b/>
                <w:color w:val="auto"/>
                <w:kern w:val="0"/>
                <w:sz w:val="21"/>
                <w:szCs w:val="16"/>
                <w:lang w:val="en-US" w:eastAsia="zh-CN"/>
              </w:rPr>
              <w:t>3</w:t>
            </w:r>
            <w:r>
              <w:rPr>
                <w:rFonts w:hint="eastAsia"/>
                <w:b/>
                <w:color w:val="auto"/>
                <w:kern w:val="0"/>
                <w:sz w:val="21"/>
                <w:szCs w:val="16"/>
              </w:rPr>
              <w:t xml:space="preserve"> </w:t>
            </w:r>
            <w:r>
              <w:rPr>
                <w:b/>
                <w:color w:val="auto"/>
                <w:kern w:val="0"/>
                <w:sz w:val="21"/>
                <w:szCs w:val="16"/>
              </w:rPr>
              <w:t>本项目营运期</w:t>
            </w:r>
            <w:r>
              <w:rPr>
                <w:rFonts w:hint="eastAsia"/>
                <w:b/>
                <w:color w:val="auto"/>
                <w:kern w:val="0"/>
                <w:sz w:val="21"/>
                <w:szCs w:val="16"/>
              </w:rPr>
              <w:t>无组织废气生产车间汇总</w:t>
            </w:r>
            <w:r>
              <w:rPr>
                <w:b/>
                <w:color w:val="auto"/>
                <w:kern w:val="0"/>
                <w:sz w:val="21"/>
                <w:szCs w:val="16"/>
              </w:rPr>
              <w:t>情况一览表</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1364"/>
              <w:gridCol w:w="840"/>
              <w:gridCol w:w="985"/>
              <w:gridCol w:w="965"/>
              <w:gridCol w:w="675"/>
              <w:gridCol w:w="1036"/>
              <w:gridCol w:w="977"/>
              <w:gridCol w:w="1443"/>
              <w:gridCol w:w="2482"/>
              <w:gridCol w:w="891"/>
            </w:tblGrid>
            <w:tr w14:paraId="6619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417" w:type="pct"/>
                  <w:vMerge w:val="restart"/>
                  <w:vAlign w:val="center"/>
                </w:tcPr>
                <w:p w14:paraId="3ED308C5">
                  <w:pPr>
                    <w:spacing w:line="240" w:lineRule="auto"/>
                    <w:ind w:firstLine="0" w:firstLineChars="0"/>
                    <w:jc w:val="center"/>
                    <w:rPr>
                      <w:b/>
                      <w:color w:val="auto"/>
                      <w:kern w:val="0"/>
                      <w:sz w:val="21"/>
                      <w:szCs w:val="21"/>
                    </w:rPr>
                  </w:pPr>
                  <w:r>
                    <w:rPr>
                      <w:rFonts w:hint="eastAsia"/>
                      <w:b/>
                      <w:color w:val="auto"/>
                      <w:kern w:val="0"/>
                      <w:sz w:val="21"/>
                      <w:szCs w:val="21"/>
                    </w:rPr>
                    <w:t>所在位置</w:t>
                  </w:r>
                </w:p>
              </w:tc>
              <w:tc>
                <w:tcPr>
                  <w:tcW w:w="536" w:type="pct"/>
                  <w:vMerge w:val="restart"/>
                  <w:vAlign w:val="center"/>
                </w:tcPr>
                <w:p w14:paraId="440CEB38">
                  <w:pPr>
                    <w:spacing w:line="240" w:lineRule="auto"/>
                    <w:ind w:firstLine="0" w:firstLineChars="0"/>
                    <w:jc w:val="center"/>
                    <w:rPr>
                      <w:b/>
                      <w:color w:val="auto"/>
                      <w:kern w:val="0"/>
                      <w:sz w:val="21"/>
                      <w:szCs w:val="21"/>
                    </w:rPr>
                  </w:pPr>
                  <w:r>
                    <w:rPr>
                      <w:b/>
                      <w:color w:val="auto"/>
                      <w:kern w:val="0"/>
                      <w:sz w:val="21"/>
                      <w:szCs w:val="21"/>
                    </w:rPr>
                    <w:t>污染物名称</w:t>
                  </w:r>
                </w:p>
              </w:tc>
              <w:tc>
                <w:tcPr>
                  <w:tcW w:w="717" w:type="pct"/>
                  <w:gridSpan w:val="2"/>
                  <w:vAlign w:val="center"/>
                </w:tcPr>
                <w:p w14:paraId="0A62886B">
                  <w:pPr>
                    <w:spacing w:line="240" w:lineRule="auto"/>
                    <w:ind w:firstLine="0" w:firstLineChars="0"/>
                    <w:jc w:val="center"/>
                    <w:rPr>
                      <w:b/>
                      <w:color w:val="auto"/>
                      <w:kern w:val="0"/>
                      <w:sz w:val="21"/>
                      <w:szCs w:val="21"/>
                    </w:rPr>
                  </w:pPr>
                  <w:r>
                    <w:rPr>
                      <w:rFonts w:hint="eastAsia"/>
                      <w:b/>
                      <w:color w:val="auto"/>
                      <w:kern w:val="0"/>
                      <w:sz w:val="21"/>
                      <w:szCs w:val="21"/>
                    </w:rPr>
                    <w:t>污染物产生情况</w:t>
                  </w:r>
                </w:p>
              </w:tc>
              <w:tc>
                <w:tcPr>
                  <w:tcW w:w="379" w:type="pct"/>
                  <w:vMerge w:val="restart"/>
                  <w:vAlign w:val="center"/>
                </w:tcPr>
                <w:p w14:paraId="53F69D89">
                  <w:pPr>
                    <w:spacing w:line="240" w:lineRule="auto"/>
                    <w:ind w:firstLine="0" w:firstLineChars="0"/>
                    <w:jc w:val="center"/>
                    <w:rPr>
                      <w:b/>
                      <w:color w:val="auto"/>
                      <w:kern w:val="0"/>
                      <w:sz w:val="21"/>
                      <w:szCs w:val="21"/>
                    </w:rPr>
                  </w:pPr>
                  <w:r>
                    <w:rPr>
                      <w:b/>
                      <w:color w:val="auto"/>
                      <w:kern w:val="0"/>
                      <w:sz w:val="21"/>
                      <w:szCs w:val="21"/>
                    </w:rPr>
                    <w:t>治理措施</w:t>
                  </w:r>
                </w:p>
              </w:tc>
              <w:tc>
                <w:tcPr>
                  <w:tcW w:w="265" w:type="pct"/>
                  <w:vMerge w:val="restart"/>
                  <w:vAlign w:val="center"/>
                </w:tcPr>
                <w:p w14:paraId="50147FEF">
                  <w:pPr>
                    <w:spacing w:line="240" w:lineRule="auto"/>
                    <w:ind w:firstLine="0" w:firstLineChars="0"/>
                    <w:jc w:val="center"/>
                    <w:rPr>
                      <w:b/>
                      <w:color w:val="auto"/>
                      <w:kern w:val="0"/>
                      <w:sz w:val="21"/>
                      <w:szCs w:val="21"/>
                    </w:rPr>
                  </w:pPr>
                  <w:r>
                    <w:rPr>
                      <w:b/>
                      <w:color w:val="auto"/>
                      <w:kern w:val="0"/>
                      <w:sz w:val="21"/>
                      <w:szCs w:val="21"/>
                    </w:rPr>
                    <w:t>去除率</w:t>
                  </w:r>
                  <w:r>
                    <w:rPr>
                      <w:rFonts w:hint="eastAsia"/>
                      <w:b/>
                      <w:color w:val="auto"/>
                      <w:kern w:val="0"/>
                      <w:sz w:val="21"/>
                      <w:szCs w:val="21"/>
                    </w:rPr>
                    <w:t>%</w:t>
                  </w:r>
                </w:p>
              </w:tc>
              <w:tc>
                <w:tcPr>
                  <w:tcW w:w="791" w:type="pct"/>
                  <w:gridSpan w:val="2"/>
                  <w:vAlign w:val="center"/>
                </w:tcPr>
                <w:p w14:paraId="0042EA84">
                  <w:pPr>
                    <w:spacing w:line="240" w:lineRule="auto"/>
                    <w:ind w:firstLine="0" w:firstLineChars="0"/>
                    <w:jc w:val="center"/>
                    <w:rPr>
                      <w:b/>
                      <w:color w:val="auto"/>
                      <w:kern w:val="0"/>
                      <w:sz w:val="21"/>
                      <w:szCs w:val="21"/>
                    </w:rPr>
                  </w:pPr>
                  <w:r>
                    <w:rPr>
                      <w:rFonts w:hint="eastAsia"/>
                      <w:b/>
                      <w:color w:val="auto"/>
                      <w:kern w:val="0"/>
                      <w:sz w:val="21"/>
                      <w:szCs w:val="21"/>
                    </w:rPr>
                    <w:t>污染物排放情况</w:t>
                  </w:r>
                </w:p>
              </w:tc>
              <w:tc>
                <w:tcPr>
                  <w:tcW w:w="567" w:type="pct"/>
                  <w:noWrap/>
                  <w:vAlign w:val="center"/>
                </w:tcPr>
                <w:p w14:paraId="13F53F91">
                  <w:pPr>
                    <w:spacing w:line="240" w:lineRule="auto"/>
                    <w:ind w:firstLine="0" w:firstLineChars="0"/>
                    <w:jc w:val="center"/>
                    <w:rPr>
                      <w:b/>
                      <w:color w:val="auto"/>
                      <w:kern w:val="0"/>
                      <w:sz w:val="21"/>
                      <w:szCs w:val="21"/>
                    </w:rPr>
                  </w:pPr>
                  <w:r>
                    <w:rPr>
                      <w:b/>
                      <w:color w:val="auto"/>
                      <w:kern w:val="0"/>
                      <w:sz w:val="21"/>
                      <w:szCs w:val="21"/>
                    </w:rPr>
                    <w:t>执行标准</w:t>
                  </w:r>
                </w:p>
              </w:tc>
              <w:tc>
                <w:tcPr>
                  <w:tcW w:w="975" w:type="pct"/>
                  <w:vAlign w:val="center"/>
                </w:tcPr>
                <w:p w14:paraId="301EB76A">
                  <w:pPr>
                    <w:spacing w:line="240" w:lineRule="auto"/>
                    <w:ind w:firstLine="0" w:firstLineChars="0"/>
                    <w:jc w:val="center"/>
                    <w:rPr>
                      <w:b/>
                      <w:color w:val="auto"/>
                      <w:kern w:val="0"/>
                      <w:sz w:val="21"/>
                      <w:szCs w:val="21"/>
                    </w:rPr>
                  </w:pPr>
                  <w:r>
                    <w:rPr>
                      <w:b/>
                      <w:color w:val="auto"/>
                      <w:kern w:val="0"/>
                      <w:sz w:val="21"/>
                      <w:szCs w:val="21"/>
                    </w:rPr>
                    <w:t>排</w:t>
                  </w:r>
                  <w:r>
                    <w:rPr>
                      <w:b/>
                      <w:color w:val="auto"/>
                      <w:kern w:val="0"/>
                      <w:sz w:val="21"/>
                      <w:szCs w:val="21"/>
                    </w:rPr>
                    <w:cr/>
                  </w:r>
                  <w:r>
                    <w:rPr>
                      <w:b/>
                      <w:color w:val="auto"/>
                      <w:kern w:val="0"/>
                      <w:sz w:val="21"/>
                      <w:szCs w:val="21"/>
                    </w:rPr>
                    <w:t>源参数</w:t>
                  </w:r>
                </w:p>
              </w:tc>
              <w:tc>
                <w:tcPr>
                  <w:tcW w:w="350" w:type="pct"/>
                  <w:vMerge w:val="restart"/>
                  <w:vAlign w:val="center"/>
                </w:tcPr>
                <w:p w14:paraId="00989593">
                  <w:pPr>
                    <w:spacing w:line="240" w:lineRule="auto"/>
                    <w:ind w:firstLine="0" w:firstLineChars="0"/>
                    <w:jc w:val="center"/>
                    <w:rPr>
                      <w:b/>
                      <w:color w:val="auto"/>
                      <w:kern w:val="0"/>
                      <w:sz w:val="21"/>
                      <w:szCs w:val="21"/>
                    </w:rPr>
                  </w:pPr>
                  <w:r>
                    <w:rPr>
                      <w:b/>
                      <w:color w:val="auto"/>
                      <w:kern w:val="0"/>
                      <w:sz w:val="21"/>
                      <w:szCs w:val="21"/>
                    </w:rPr>
                    <w:t>排放</w:t>
                  </w:r>
                </w:p>
                <w:p w14:paraId="313306D6">
                  <w:pPr>
                    <w:spacing w:line="240" w:lineRule="auto"/>
                    <w:ind w:firstLine="0" w:firstLineChars="0"/>
                    <w:jc w:val="center"/>
                    <w:rPr>
                      <w:b/>
                      <w:color w:val="auto"/>
                      <w:kern w:val="0"/>
                      <w:sz w:val="21"/>
                      <w:szCs w:val="21"/>
                    </w:rPr>
                  </w:pPr>
                  <w:r>
                    <w:rPr>
                      <w:b/>
                      <w:color w:val="auto"/>
                      <w:kern w:val="0"/>
                      <w:sz w:val="21"/>
                      <w:szCs w:val="21"/>
                    </w:rPr>
                    <w:t>方式</w:t>
                  </w:r>
                </w:p>
              </w:tc>
            </w:tr>
            <w:tr w14:paraId="3AAE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7" w:type="pct"/>
                  <w:vMerge w:val="continue"/>
                  <w:vAlign w:val="center"/>
                </w:tcPr>
                <w:p w14:paraId="11BD77FF">
                  <w:pPr>
                    <w:spacing w:line="240" w:lineRule="auto"/>
                    <w:ind w:firstLine="0" w:firstLineChars="0"/>
                    <w:jc w:val="center"/>
                    <w:rPr>
                      <w:color w:val="auto"/>
                      <w:kern w:val="0"/>
                      <w:sz w:val="21"/>
                      <w:szCs w:val="21"/>
                    </w:rPr>
                  </w:pPr>
                </w:p>
              </w:tc>
              <w:tc>
                <w:tcPr>
                  <w:tcW w:w="536" w:type="pct"/>
                  <w:vMerge w:val="continue"/>
                  <w:vAlign w:val="center"/>
                </w:tcPr>
                <w:p w14:paraId="3D5AFCD1">
                  <w:pPr>
                    <w:spacing w:line="240" w:lineRule="auto"/>
                    <w:ind w:firstLine="0" w:firstLineChars="0"/>
                    <w:jc w:val="center"/>
                    <w:rPr>
                      <w:color w:val="auto"/>
                      <w:kern w:val="0"/>
                      <w:sz w:val="21"/>
                      <w:szCs w:val="21"/>
                    </w:rPr>
                  </w:pPr>
                </w:p>
              </w:tc>
              <w:tc>
                <w:tcPr>
                  <w:tcW w:w="330" w:type="pct"/>
                  <w:tcBorders>
                    <w:bottom w:val="single" w:color="auto" w:sz="4" w:space="0"/>
                  </w:tcBorders>
                  <w:vAlign w:val="center"/>
                </w:tcPr>
                <w:p w14:paraId="79052ADD">
                  <w:pPr>
                    <w:spacing w:line="240" w:lineRule="auto"/>
                    <w:ind w:firstLine="0" w:firstLineChars="0"/>
                    <w:jc w:val="center"/>
                    <w:rPr>
                      <w:b/>
                      <w:color w:val="auto"/>
                      <w:kern w:val="0"/>
                      <w:sz w:val="21"/>
                      <w:szCs w:val="21"/>
                    </w:rPr>
                  </w:pPr>
                  <w:r>
                    <w:rPr>
                      <w:b/>
                      <w:color w:val="auto"/>
                      <w:kern w:val="0"/>
                      <w:sz w:val="21"/>
                      <w:szCs w:val="21"/>
                    </w:rPr>
                    <w:t>速率kg/</w:t>
                  </w:r>
                  <w:r>
                    <w:rPr>
                      <w:rFonts w:hint="eastAsia"/>
                      <w:b/>
                      <w:color w:val="auto"/>
                      <w:kern w:val="0"/>
                      <w:sz w:val="21"/>
                      <w:szCs w:val="21"/>
                    </w:rPr>
                    <w:t>h</w:t>
                  </w:r>
                </w:p>
              </w:tc>
              <w:tc>
                <w:tcPr>
                  <w:tcW w:w="386" w:type="pct"/>
                  <w:tcBorders>
                    <w:bottom w:val="single" w:color="auto" w:sz="4" w:space="0"/>
                  </w:tcBorders>
                  <w:vAlign w:val="center"/>
                </w:tcPr>
                <w:p w14:paraId="7ED9A705">
                  <w:pPr>
                    <w:spacing w:line="240" w:lineRule="auto"/>
                    <w:ind w:firstLine="0" w:firstLineChars="0"/>
                    <w:jc w:val="center"/>
                    <w:rPr>
                      <w:b/>
                      <w:color w:val="auto"/>
                      <w:kern w:val="0"/>
                      <w:sz w:val="21"/>
                      <w:szCs w:val="21"/>
                    </w:rPr>
                  </w:pPr>
                  <w:r>
                    <w:rPr>
                      <w:b/>
                      <w:color w:val="auto"/>
                      <w:kern w:val="0"/>
                      <w:sz w:val="21"/>
                      <w:szCs w:val="21"/>
                    </w:rPr>
                    <w:t>产生量t/a</w:t>
                  </w:r>
                </w:p>
              </w:tc>
              <w:tc>
                <w:tcPr>
                  <w:tcW w:w="379" w:type="pct"/>
                  <w:vMerge w:val="continue"/>
                  <w:vAlign w:val="center"/>
                </w:tcPr>
                <w:p w14:paraId="4043E9AA">
                  <w:pPr>
                    <w:spacing w:line="240" w:lineRule="auto"/>
                    <w:ind w:firstLine="0" w:firstLineChars="0"/>
                    <w:jc w:val="center"/>
                    <w:rPr>
                      <w:b/>
                      <w:color w:val="auto"/>
                      <w:kern w:val="0"/>
                      <w:sz w:val="21"/>
                      <w:szCs w:val="21"/>
                    </w:rPr>
                  </w:pPr>
                </w:p>
              </w:tc>
              <w:tc>
                <w:tcPr>
                  <w:tcW w:w="265" w:type="pct"/>
                  <w:vMerge w:val="continue"/>
                  <w:vAlign w:val="center"/>
                </w:tcPr>
                <w:p w14:paraId="47946F43">
                  <w:pPr>
                    <w:spacing w:line="240" w:lineRule="auto"/>
                    <w:ind w:firstLine="0" w:firstLineChars="0"/>
                    <w:jc w:val="center"/>
                    <w:rPr>
                      <w:b/>
                      <w:color w:val="auto"/>
                      <w:kern w:val="0"/>
                      <w:sz w:val="21"/>
                      <w:szCs w:val="21"/>
                    </w:rPr>
                  </w:pPr>
                </w:p>
              </w:tc>
              <w:tc>
                <w:tcPr>
                  <w:tcW w:w="407" w:type="pct"/>
                  <w:vAlign w:val="center"/>
                </w:tcPr>
                <w:p w14:paraId="5631CDCB">
                  <w:pPr>
                    <w:spacing w:line="240" w:lineRule="auto"/>
                    <w:ind w:firstLine="0" w:firstLineChars="0"/>
                    <w:jc w:val="center"/>
                    <w:rPr>
                      <w:b/>
                      <w:color w:val="auto"/>
                      <w:kern w:val="0"/>
                      <w:sz w:val="21"/>
                      <w:szCs w:val="21"/>
                    </w:rPr>
                  </w:pPr>
                  <w:r>
                    <w:rPr>
                      <w:b/>
                      <w:color w:val="auto"/>
                      <w:kern w:val="0"/>
                      <w:sz w:val="21"/>
                      <w:szCs w:val="21"/>
                    </w:rPr>
                    <w:t>速率kg/h</w:t>
                  </w:r>
                </w:p>
              </w:tc>
              <w:tc>
                <w:tcPr>
                  <w:tcW w:w="383" w:type="pct"/>
                  <w:vAlign w:val="center"/>
                </w:tcPr>
                <w:p w14:paraId="6CE781A3">
                  <w:pPr>
                    <w:spacing w:line="240" w:lineRule="auto"/>
                    <w:ind w:firstLine="0" w:firstLineChars="0"/>
                    <w:jc w:val="center"/>
                    <w:rPr>
                      <w:b/>
                      <w:color w:val="auto"/>
                      <w:kern w:val="0"/>
                      <w:sz w:val="21"/>
                      <w:szCs w:val="21"/>
                    </w:rPr>
                  </w:pPr>
                  <w:r>
                    <w:rPr>
                      <w:b/>
                      <w:color w:val="auto"/>
                      <w:kern w:val="0"/>
                      <w:sz w:val="21"/>
                      <w:szCs w:val="21"/>
                    </w:rPr>
                    <w:t>排放量t/a</w:t>
                  </w:r>
                </w:p>
              </w:tc>
              <w:tc>
                <w:tcPr>
                  <w:tcW w:w="567" w:type="pct"/>
                  <w:vAlign w:val="center"/>
                </w:tcPr>
                <w:p w14:paraId="2D581406">
                  <w:pPr>
                    <w:spacing w:line="240" w:lineRule="auto"/>
                    <w:ind w:firstLine="0" w:firstLineChars="0"/>
                    <w:jc w:val="center"/>
                    <w:rPr>
                      <w:b/>
                      <w:color w:val="auto"/>
                      <w:kern w:val="0"/>
                      <w:sz w:val="21"/>
                      <w:szCs w:val="21"/>
                    </w:rPr>
                  </w:pPr>
                  <w:r>
                    <w:rPr>
                      <w:b/>
                      <w:color w:val="auto"/>
                      <w:kern w:val="0"/>
                      <w:sz w:val="21"/>
                      <w:szCs w:val="21"/>
                    </w:rPr>
                    <w:t>浓度mg/m</w:t>
                  </w:r>
                  <w:r>
                    <w:rPr>
                      <w:b/>
                      <w:color w:val="auto"/>
                      <w:kern w:val="0"/>
                      <w:sz w:val="21"/>
                      <w:szCs w:val="21"/>
                      <w:vertAlign w:val="superscript"/>
                    </w:rPr>
                    <w:t>3</w:t>
                  </w:r>
                </w:p>
              </w:tc>
              <w:tc>
                <w:tcPr>
                  <w:tcW w:w="975" w:type="pct"/>
                  <w:vAlign w:val="center"/>
                </w:tcPr>
                <w:p w14:paraId="4055D8C5">
                  <w:pPr>
                    <w:spacing w:line="240" w:lineRule="auto"/>
                    <w:ind w:firstLine="0" w:firstLineChars="0"/>
                    <w:jc w:val="center"/>
                    <w:rPr>
                      <w:b/>
                      <w:color w:val="auto"/>
                      <w:kern w:val="0"/>
                      <w:sz w:val="21"/>
                      <w:szCs w:val="21"/>
                    </w:rPr>
                  </w:pPr>
                  <w:r>
                    <w:rPr>
                      <w:rFonts w:hint="eastAsia"/>
                      <w:b/>
                      <w:color w:val="auto"/>
                      <w:kern w:val="0"/>
                      <w:sz w:val="21"/>
                      <w:szCs w:val="21"/>
                    </w:rPr>
                    <w:t>生产车间参数</w:t>
                  </w:r>
                </w:p>
              </w:tc>
              <w:tc>
                <w:tcPr>
                  <w:tcW w:w="350" w:type="pct"/>
                  <w:vMerge w:val="continue"/>
                  <w:vAlign w:val="center"/>
                </w:tcPr>
                <w:p w14:paraId="0A5C01FF">
                  <w:pPr>
                    <w:spacing w:line="240" w:lineRule="auto"/>
                    <w:ind w:firstLine="0" w:firstLineChars="0"/>
                    <w:jc w:val="center"/>
                    <w:rPr>
                      <w:color w:val="auto"/>
                      <w:kern w:val="0"/>
                      <w:sz w:val="21"/>
                      <w:szCs w:val="21"/>
                    </w:rPr>
                  </w:pPr>
                </w:p>
              </w:tc>
            </w:tr>
            <w:tr w14:paraId="2171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417" w:type="pct"/>
                  <w:shd w:val="clear" w:color="auto" w:fill="auto"/>
                  <w:vAlign w:val="center"/>
                </w:tcPr>
                <w:p w14:paraId="7B016083">
                  <w:pPr>
                    <w:keepNext w:val="0"/>
                    <w:keepLines w:val="0"/>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color w:val="auto"/>
                      <w:sz w:val="21"/>
                      <w:lang w:val="en-US" w:eastAsia="zh-CN"/>
                    </w:rPr>
                    <w:t>骨料生产线</w:t>
                  </w:r>
                </w:p>
              </w:tc>
              <w:tc>
                <w:tcPr>
                  <w:tcW w:w="536" w:type="pct"/>
                  <w:tcBorders>
                    <w:right w:val="single" w:color="auto" w:sz="4" w:space="0"/>
                  </w:tcBorders>
                  <w:shd w:val="clear" w:color="auto" w:fill="auto"/>
                  <w:vAlign w:val="center"/>
                </w:tcPr>
                <w:p w14:paraId="5DE24009">
                  <w:pPr>
                    <w:spacing w:line="240" w:lineRule="auto"/>
                    <w:ind w:firstLine="0" w:firstLineChars="0"/>
                    <w:jc w:val="center"/>
                    <w:rPr>
                      <w:rFonts w:hint="eastAsia" w:eastAsia="宋体"/>
                      <w:color w:val="auto"/>
                      <w:kern w:val="0"/>
                      <w:sz w:val="21"/>
                      <w:szCs w:val="21"/>
                      <w:lang w:eastAsia="zh-CN"/>
                    </w:rPr>
                  </w:pPr>
                  <w:r>
                    <w:rPr>
                      <w:rFonts w:hint="eastAsia" w:eastAsia="宋体"/>
                      <w:color w:val="auto"/>
                      <w:kern w:val="0"/>
                      <w:sz w:val="21"/>
                      <w:szCs w:val="21"/>
                      <w:lang w:eastAsia="zh-CN"/>
                    </w:rPr>
                    <w:t>粉尘</w:t>
                  </w:r>
                </w:p>
              </w:tc>
              <w:tc>
                <w:tcPr>
                  <w:tcW w:w="330" w:type="pct"/>
                  <w:tcBorders>
                    <w:top w:val="single" w:color="auto" w:sz="4" w:space="0"/>
                    <w:left w:val="nil"/>
                    <w:bottom w:val="single" w:color="auto" w:sz="4" w:space="0"/>
                    <w:right w:val="single" w:color="auto" w:sz="4" w:space="0"/>
                  </w:tcBorders>
                  <w:shd w:val="clear" w:color="auto" w:fill="auto"/>
                  <w:vAlign w:val="center"/>
                </w:tcPr>
                <w:p w14:paraId="418E392F">
                  <w:pPr>
                    <w:keepNext w:val="0"/>
                    <w:keepLines w:val="0"/>
                    <w:widowControl/>
                    <w:suppressLineNumbers w:val="0"/>
                    <w:spacing w:line="240" w:lineRule="auto"/>
                    <w:ind w:firstLine="0" w:firstLine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24.07</w:t>
                  </w:r>
                </w:p>
              </w:tc>
              <w:tc>
                <w:tcPr>
                  <w:tcW w:w="386" w:type="pct"/>
                  <w:tcBorders>
                    <w:top w:val="single" w:color="auto" w:sz="4" w:space="0"/>
                    <w:left w:val="single" w:color="auto" w:sz="4" w:space="0"/>
                    <w:bottom w:val="single" w:color="auto" w:sz="4" w:space="0"/>
                    <w:right w:val="nil"/>
                  </w:tcBorders>
                  <w:shd w:val="clear" w:color="auto" w:fill="auto"/>
                  <w:vAlign w:val="center"/>
                </w:tcPr>
                <w:p w14:paraId="65E04DFF">
                  <w:pPr>
                    <w:widowControl w:val="0"/>
                    <w:spacing w:after="0" w:line="240" w:lineRule="auto"/>
                    <w:ind w:left="-120" w:leftChars="-50" w:right="-120" w:rightChars="-5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51.63</w:t>
                  </w:r>
                </w:p>
              </w:tc>
              <w:tc>
                <w:tcPr>
                  <w:tcW w:w="379" w:type="pct"/>
                  <w:tcBorders>
                    <w:left w:val="single" w:color="auto" w:sz="4" w:space="0"/>
                  </w:tcBorders>
                  <w:shd w:val="clear" w:color="auto" w:fill="auto"/>
                  <w:vAlign w:val="center"/>
                </w:tcPr>
                <w:p w14:paraId="5CD9B91F">
                  <w:pPr>
                    <w:widowControl w:val="0"/>
                    <w:adjustRightInd w:val="0"/>
                    <w:snapToGrid w:val="0"/>
                    <w:spacing w:after="0" w:line="240" w:lineRule="auto"/>
                    <w:ind w:left="-120" w:leftChars="-50" w:right="-120" w:rightChars="-50" w:firstLine="0" w:firstLineChars="0"/>
                    <w:jc w:val="center"/>
                    <w:rPr>
                      <w:rFonts w:hint="eastAsia" w:eastAsia="宋体"/>
                      <w:color w:val="auto"/>
                      <w:kern w:val="0"/>
                      <w:sz w:val="21"/>
                      <w:szCs w:val="21"/>
                      <w:lang w:eastAsia="zh-CN"/>
                    </w:rPr>
                  </w:pPr>
                  <w:r>
                    <w:rPr>
                      <w:rFonts w:hint="eastAsia" w:cs="Times New Roman"/>
                      <w:color w:val="auto"/>
                      <w:kern w:val="2"/>
                      <w:sz w:val="21"/>
                      <w:szCs w:val="21"/>
                      <w:lang w:val="en-US" w:eastAsia="zh-CN" w:bidi="ar-SA"/>
                    </w:rPr>
                    <w:t>喷淋抑尘</w:t>
                  </w:r>
                </w:p>
              </w:tc>
              <w:tc>
                <w:tcPr>
                  <w:tcW w:w="265" w:type="pct"/>
                  <w:shd w:val="clear" w:color="auto" w:fill="auto"/>
                  <w:vAlign w:val="center"/>
                </w:tcPr>
                <w:p w14:paraId="320F62C2">
                  <w:pPr>
                    <w:spacing w:line="240" w:lineRule="auto"/>
                    <w:ind w:firstLine="0" w:firstLineChars="0"/>
                    <w:jc w:val="center"/>
                    <w:rPr>
                      <w:rFonts w:hint="default"/>
                      <w:color w:val="auto"/>
                      <w:kern w:val="0"/>
                      <w:sz w:val="21"/>
                      <w:szCs w:val="21"/>
                      <w:lang w:val="en-US"/>
                    </w:rPr>
                  </w:pPr>
                  <w:r>
                    <w:rPr>
                      <w:rFonts w:hint="eastAsia" w:hAnsi="宋体" w:cs="Times New Roman"/>
                      <w:color w:val="auto"/>
                      <w:sz w:val="21"/>
                      <w:szCs w:val="21"/>
                      <w:lang w:val="en-US" w:eastAsia="zh-CN"/>
                    </w:rPr>
                    <w:t>95</w:t>
                  </w:r>
                </w:p>
              </w:tc>
              <w:tc>
                <w:tcPr>
                  <w:tcW w:w="407" w:type="pct"/>
                  <w:tcBorders>
                    <w:top w:val="single" w:color="auto" w:sz="4" w:space="0"/>
                    <w:left w:val="nil"/>
                    <w:bottom w:val="single" w:color="auto" w:sz="4" w:space="0"/>
                    <w:right w:val="single" w:color="auto" w:sz="4" w:space="0"/>
                  </w:tcBorders>
                  <w:shd w:val="clear" w:color="auto" w:fill="auto"/>
                  <w:vAlign w:val="center"/>
                </w:tcPr>
                <w:p w14:paraId="65BAD088">
                  <w:pPr>
                    <w:keepNext w:val="0"/>
                    <w:keepLines w:val="0"/>
                    <w:widowControl/>
                    <w:suppressLineNumbers w:val="0"/>
                    <w:spacing w:line="240" w:lineRule="auto"/>
                    <w:ind w:firstLine="0" w:firstLineChars="0"/>
                    <w:jc w:val="center"/>
                    <w:textAlignment w:val="center"/>
                    <w:rPr>
                      <w:rFonts w:hint="default" w:eastAsia="宋体"/>
                      <w:color w:val="auto"/>
                      <w:sz w:val="21"/>
                      <w:szCs w:val="21"/>
                      <w:lang w:val="en-US" w:eastAsia="zh-CN"/>
                    </w:rPr>
                  </w:pPr>
                  <w:r>
                    <w:rPr>
                      <w:rFonts w:hint="eastAsia" w:cs="Times New Roman"/>
                      <w:color w:val="auto"/>
                      <w:sz w:val="21"/>
                      <w:szCs w:val="21"/>
                      <w:lang w:val="en-US" w:eastAsia="zh-CN"/>
                    </w:rPr>
                    <w:t>1.01</w:t>
                  </w:r>
                </w:p>
              </w:tc>
              <w:tc>
                <w:tcPr>
                  <w:tcW w:w="383" w:type="pct"/>
                  <w:tcBorders>
                    <w:top w:val="single" w:color="auto" w:sz="4" w:space="0"/>
                    <w:left w:val="single" w:color="auto" w:sz="4" w:space="0"/>
                    <w:bottom w:val="single" w:color="auto" w:sz="4" w:space="0"/>
                    <w:right w:val="nil"/>
                  </w:tcBorders>
                  <w:shd w:val="clear" w:color="auto" w:fill="auto"/>
                  <w:vAlign w:val="center"/>
                </w:tcPr>
                <w:p w14:paraId="61721F0D">
                  <w:pPr>
                    <w:widowControl w:val="0"/>
                    <w:spacing w:after="0" w:line="240" w:lineRule="auto"/>
                    <w:ind w:left="-120" w:leftChars="-50" w:right="-120" w:rightChars="-50" w:firstLine="0" w:firstLineChars="0"/>
                    <w:jc w:val="center"/>
                    <w:rPr>
                      <w:rFonts w:hint="default" w:eastAsia="宋体"/>
                      <w:color w:val="auto"/>
                      <w:sz w:val="21"/>
                      <w:szCs w:val="21"/>
                      <w:lang w:val="en-US" w:eastAsia="zh-CN"/>
                    </w:rPr>
                  </w:pPr>
                  <w:r>
                    <w:rPr>
                      <w:rFonts w:hint="eastAsia" w:cs="Times New Roman"/>
                      <w:color w:val="auto"/>
                      <w:kern w:val="2"/>
                      <w:sz w:val="21"/>
                      <w:szCs w:val="21"/>
                      <w:lang w:val="en-US" w:eastAsia="zh-CN" w:bidi="ar-SA"/>
                    </w:rPr>
                    <w:t>2.58</w:t>
                  </w:r>
                </w:p>
              </w:tc>
              <w:tc>
                <w:tcPr>
                  <w:tcW w:w="567" w:type="pct"/>
                  <w:vAlign w:val="center"/>
                </w:tcPr>
                <w:p w14:paraId="5CA38EF8">
                  <w:pPr>
                    <w:spacing w:line="240" w:lineRule="auto"/>
                    <w:ind w:firstLine="0" w:firstLineChars="0"/>
                    <w:jc w:val="center"/>
                    <w:rPr>
                      <w:rFonts w:hint="default" w:eastAsia="宋体"/>
                      <w:color w:val="auto"/>
                      <w:kern w:val="0"/>
                      <w:sz w:val="21"/>
                      <w:szCs w:val="21"/>
                      <w:lang w:val="en-US" w:eastAsia="zh-CN"/>
                    </w:rPr>
                  </w:pPr>
                  <w:r>
                    <w:rPr>
                      <w:rFonts w:hint="eastAsia" w:ascii="Times New Roman" w:eastAsia="宋体"/>
                      <w:color w:val="auto"/>
                      <w:kern w:val="0"/>
                      <w:sz w:val="21"/>
                      <w:szCs w:val="21"/>
                      <w:lang w:val="en-US" w:eastAsia="zh-CN"/>
                    </w:rPr>
                    <w:t>1.0</w:t>
                  </w:r>
                </w:p>
              </w:tc>
              <w:tc>
                <w:tcPr>
                  <w:tcW w:w="975" w:type="pct"/>
                  <w:vMerge w:val="restart"/>
                  <w:vAlign w:val="center"/>
                </w:tcPr>
                <w:p w14:paraId="7281DC0F">
                  <w:pPr>
                    <w:spacing w:line="240" w:lineRule="auto"/>
                    <w:ind w:firstLine="0" w:firstLineChars="0"/>
                    <w:jc w:val="center"/>
                    <w:rPr>
                      <w:color w:val="auto"/>
                      <w:kern w:val="0"/>
                      <w:sz w:val="21"/>
                      <w:szCs w:val="21"/>
                    </w:rPr>
                  </w:pPr>
                  <w:r>
                    <w:rPr>
                      <w:color w:val="auto"/>
                      <w:kern w:val="0"/>
                      <w:sz w:val="21"/>
                      <w:szCs w:val="21"/>
                    </w:rPr>
                    <w:t>L</w:t>
                  </w:r>
                  <w:r>
                    <w:rPr>
                      <w:rFonts w:hint="eastAsia"/>
                      <w:color w:val="auto"/>
                      <w:kern w:val="0"/>
                      <w:sz w:val="21"/>
                      <w:szCs w:val="21"/>
                      <w:lang w:val="en-US" w:eastAsia="zh-CN"/>
                    </w:rPr>
                    <w:t>63</w:t>
                  </w:r>
                  <w:r>
                    <w:rPr>
                      <w:color w:val="auto"/>
                      <w:kern w:val="0"/>
                      <w:sz w:val="21"/>
                      <w:szCs w:val="21"/>
                    </w:rPr>
                    <w:t>m×W</w:t>
                  </w:r>
                  <w:r>
                    <w:rPr>
                      <w:rFonts w:hint="eastAsia"/>
                      <w:color w:val="auto"/>
                      <w:kern w:val="0"/>
                      <w:sz w:val="21"/>
                      <w:szCs w:val="21"/>
                      <w:lang w:val="en-US" w:eastAsia="zh-CN"/>
                    </w:rPr>
                    <w:t>116.347</w:t>
                  </w:r>
                  <w:r>
                    <w:rPr>
                      <w:color w:val="auto"/>
                      <w:kern w:val="0"/>
                      <w:sz w:val="21"/>
                      <w:szCs w:val="21"/>
                    </w:rPr>
                    <w:t>m×H</w:t>
                  </w:r>
                  <w:r>
                    <w:rPr>
                      <w:rFonts w:hint="eastAsia" w:ascii="Times New Roman" w:eastAsia="宋体"/>
                      <w:color w:val="auto"/>
                      <w:kern w:val="0"/>
                      <w:sz w:val="21"/>
                      <w:szCs w:val="21"/>
                      <w:lang w:val="en-US" w:eastAsia="zh-CN"/>
                    </w:rPr>
                    <w:t>8</w:t>
                  </w:r>
                  <w:r>
                    <w:rPr>
                      <w:color w:val="auto"/>
                      <w:kern w:val="0"/>
                      <w:sz w:val="21"/>
                      <w:szCs w:val="21"/>
                    </w:rPr>
                    <w:t>m</w:t>
                  </w:r>
                </w:p>
              </w:tc>
              <w:tc>
                <w:tcPr>
                  <w:tcW w:w="350" w:type="pct"/>
                  <w:vMerge w:val="restart"/>
                  <w:vAlign w:val="center"/>
                </w:tcPr>
                <w:p w14:paraId="1CD74132">
                  <w:pPr>
                    <w:spacing w:line="240" w:lineRule="auto"/>
                    <w:ind w:firstLine="0" w:firstLineChars="0"/>
                    <w:jc w:val="center"/>
                    <w:rPr>
                      <w:rFonts w:hint="eastAsia" w:eastAsia="宋体"/>
                      <w:color w:val="auto"/>
                      <w:kern w:val="0"/>
                      <w:sz w:val="21"/>
                      <w:szCs w:val="21"/>
                      <w:lang w:eastAsia="zh-CN"/>
                    </w:rPr>
                  </w:pPr>
                  <w:r>
                    <w:rPr>
                      <w:rFonts w:hint="eastAsia" w:eastAsia="宋体"/>
                      <w:color w:val="auto"/>
                      <w:kern w:val="0"/>
                      <w:sz w:val="21"/>
                      <w:szCs w:val="21"/>
                      <w:lang w:eastAsia="zh-CN"/>
                    </w:rPr>
                    <w:t>无组织</w:t>
                  </w:r>
                </w:p>
              </w:tc>
            </w:tr>
            <w:tr w14:paraId="4E57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417" w:type="pct"/>
                  <w:shd w:val="clear" w:color="auto" w:fill="auto"/>
                  <w:vAlign w:val="center"/>
                </w:tcPr>
                <w:p w14:paraId="6A7F8B50">
                  <w:pPr>
                    <w:keepNext w:val="0"/>
                    <w:keepLines w:val="0"/>
                    <w:suppressLineNumbers w:val="0"/>
                    <w:spacing w:before="0" w:beforeAutospacing="0" w:after="0" w:afterAutospacing="0" w:line="240" w:lineRule="auto"/>
                    <w:ind w:left="0" w:leftChars="0" w:right="0" w:rightChars="0" w:firstLine="0" w:firstLineChars="0"/>
                    <w:jc w:val="center"/>
                    <w:rPr>
                      <w:rFonts w:hint="eastAsia"/>
                      <w:color w:val="auto"/>
                      <w:sz w:val="21"/>
                      <w:lang w:val="en-US" w:eastAsia="zh-CN"/>
                    </w:rPr>
                  </w:pPr>
                  <w:r>
                    <w:rPr>
                      <w:rFonts w:hint="eastAsia" w:hAnsi="宋体" w:cs="Times New Roman"/>
                      <w:color w:val="auto"/>
                      <w:sz w:val="21"/>
                      <w:szCs w:val="21"/>
                      <w:lang w:val="en-US" w:eastAsia="zh-CN"/>
                    </w:rPr>
                    <w:t>水稳生产线</w:t>
                  </w:r>
                </w:p>
              </w:tc>
              <w:tc>
                <w:tcPr>
                  <w:tcW w:w="536" w:type="pct"/>
                  <w:tcBorders>
                    <w:right w:val="single" w:color="auto" w:sz="4" w:space="0"/>
                  </w:tcBorders>
                  <w:shd w:val="clear" w:color="auto" w:fill="auto"/>
                  <w:vAlign w:val="center"/>
                </w:tcPr>
                <w:p w14:paraId="44CD01C9">
                  <w:pPr>
                    <w:spacing w:line="240" w:lineRule="auto"/>
                    <w:ind w:firstLine="0" w:firstLineChars="0"/>
                    <w:jc w:val="center"/>
                    <w:rPr>
                      <w:rFonts w:hint="eastAsia" w:eastAsia="宋体"/>
                      <w:color w:val="auto"/>
                      <w:kern w:val="0"/>
                      <w:sz w:val="21"/>
                      <w:szCs w:val="21"/>
                      <w:lang w:eastAsia="zh-CN"/>
                    </w:rPr>
                  </w:pPr>
                  <w:r>
                    <w:rPr>
                      <w:rFonts w:hint="eastAsia" w:eastAsia="宋体"/>
                      <w:color w:val="auto"/>
                      <w:kern w:val="0"/>
                      <w:sz w:val="21"/>
                      <w:szCs w:val="21"/>
                      <w:lang w:eastAsia="zh-CN"/>
                    </w:rPr>
                    <w:t>粉尘</w:t>
                  </w:r>
                </w:p>
              </w:tc>
              <w:tc>
                <w:tcPr>
                  <w:tcW w:w="330" w:type="pct"/>
                  <w:tcBorders>
                    <w:top w:val="single" w:color="auto" w:sz="4" w:space="0"/>
                    <w:left w:val="nil"/>
                    <w:bottom w:val="single" w:color="auto" w:sz="4" w:space="0"/>
                    <w:right w:val="single" w:color="auto" w:sz="4" w:space="0"/>
                  </w:tcBorders>
                  <w:shd w:val="clear" w:color="auto" w:fill="auto"/>
                  <w:vAlign w:val="center"/>
                </w:tcPr>
                <w:p w14:paraId="3C2E7462">
                  <w:pPr>
                    <w:keepNext w:val="0"/>
                    <w:keepLines w:val="0"/>
                    <w:widowControl/>
                    <w:suppressLineNumbers w:val="0"/>
                    <w:spacing w:line="240" w:lineRule="auto"/>
                    <w:ind w:firstLine="0" w:firstLineChars="0"/>
                    <w:jc w:val="center"/>
                    <w:textAlignment w:val="center"/>
                    <w:rPr>
                      <w:rFonts w:hint="eastAsia" w:cs="Times New Roman"/>
                      <w:color w:val="auto"/>
                      <w:sz w:val="21"/>
                      <w:szCs w:val="21"/>
                      <w:lang w:val="en-US" w:eastAsia="zh-CN"/>
                    </w:rPr>
                  </w:pPr>
                  <w:r>
                    <w:rPr>
                      <w:rFonts w:hint="eastAsia" w:cs="Times New Roman"/>
                      <w:color w:val="auto"/>
                      <w:sz w:val="21"/>
                      <w:szCs w:val="21"/>
                      <w:lang w:val="en-US" w:eastAsia="zh-CN"/>
                    </w:rPr>
                    <w:t>2.17</w:t>
                  </w:r>
                </w:p>
              </w:tc>
              <w:tc>
                <w:tcPr>
                  <w:tcW w:w="386" w:type="pct"/>
                  <w:tcBorders>
                    <w:top w:val="single" w:color="auto" w:sz="4" w:space="0"/>
                    <w:left w:val="single" w:color="auto" w:sz="4" w:space="0"/>
                    <w:bottom w:val="single" w:color="auto" w:sz="4" w:space="0"/>
                    <w:right w:val="nil"/>
                  </w:tcBorders>
                  <w:shd w:val="clear" w:color="auto" w:fill="auto"/>
                  <w:vAlign w:val="center"/>
                </w:tcPr>
                <w:p w14:paraId="187F4B4E">
                  <w:pPr>
                    <w:widowControl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5.55</w:t>
                  </w:r>
                </w:p>
              </w:tc>
              <w:tc>
                <w:tcPr>
                  <w:tcW w:w="379" w:type="pct"/>
                  <w:tcBorders>
                    <w:left w:val="single" w:color="auto" w:sz="4" w:space="0"/>
                  </w:tcBorders>
                  <w:shd w:val="clear" w:color="auto" w:fill="auto"/>
                  <w:vAlign w:val="center"/>
                </w:tcPr>
                <w:p w14:paraId="05085535">
                  <w:pPr>
                    <w:widowControl w:val="0"/>
                    <w:adjustRightInd w:val="0"/>
                    <w:snapToGrid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喷淋抑尘</w:t>
                  </w:r>
                </w:p>
              </w:tc>
              <w:tc>
                <w:tcPr>
                  <w:tcW w:w="265" w:type="pct"/>
                  <w:shd w:val="clear" w:color="auto" w:fill="auto"/>
                  <w:vAlign w:val="center"/>
                </w:tcPr>
                <w:p w14:paraId="7DAA3347">
                  <w:pPr>
                    <w:spacing w:line="240" w:lineRule="auto"/>
                    <w:ind w:firstLine="0" w:firstLineChars="0"/>
                    <w:jc w:val="center"/>
                    <w:rPr>
                      <w:rFonts w:hint="default" w:hAnsi="宋体" w:cs="Times New Roman"/>
                      <w:color w:val="auto"/>
                      <w:sz w:val="21"/>
                      <w:szCs w:val="21"/>
                      <w:lang w:val="en-US" w:eastAsia="zh-CN"/>
                    </w:rPr>
                  </w:pPr>
                  <w:r>
                    <w:rPr>
                      <w:rFonts w:hint="eastAsia" w:hAnsi="宋体" w:cs="Times New Roman"/>
                      <w:color w:val="auto"/>
                      <w:sz w:val="21"/>
                      <w:szCs w:val="21"/>
                      <w:lang w:val="en-US" w:eastAsia="zh-CN"/>
                    </w:rPr>
                    <w:t>95</w:t>
                  </w:r>
                </w:p>
              </w:tc>
              <w:tc>
                <w:tcPr>
                  <w:tcW w:w="407" w:type="pct"/>
                  <w:tcBorders>
                    <w:top w:val="single" w:color="auto" w:sz="4" w:space="0"/>
                    <w:left w:val="nil"/>
                    <w:bottom w:val="single" w:color="auto" w:sz="4" w:space="0"/>
                    <w:right w:val="single" w:color="auto" w:sz="4" w:space="0"/>
                  </w:tcBorders>
                  <w:shd w:val="clear" w:color="auto" w:fill="auto"/>
                  <w:vAlign w:val="center"/>
                </w:tcPr>
                <w:p w14:paraId="2B5104C7">
                  <w:pPr>
                    <w:keepNext w:val="0"/>
                    <w:keepLines w:val="0"/>
                    <w:widowControl/>
                    <w:suppressLineNumbers w:val="0"/>
                    <w:spacing w:line="240" w:lineRule="auto"/>
                    <w:ind w:firstLine="0" w:firstLineChars="0"/>
                    <w:jc w:val="center"/>
                    <w:textAlignment w:val="center"/>
                    <w:rPr>
                      <w:rFonts w:hint="eastAsia" w:cs="Times New Roman"/>
                      <w:color w:val="auto"/>
                      <w:sz w:val="21"/>
                      <w:szCs w:val="21"/>
                      <w:lang w:val="en-US" w:eastAsia="zh-CN"/>
                    </w:rPr>
                  </w:pPr>
                  <w:r>
                    <w:rPr>
                      <w:rFonts w:hint="eastAsia" w:cs="Times New Roman"/>
                      <w:color w:val="auto"/>
                      <w:sz w:val="21"/>
                      <w:szCs w:val="21"/>
                      <w:lang w:val="en-US" w:eastAsia="zh-CN"/>
                    </w:rPr>
                    <w:t>0.109</w:t>
                  </w:r>
                </w:p>
              </w:tc>
              <w:tc>
                <w:tcPr>
                  <w:tcW w:w="383" w:type="pct"/>
                  <w:tcBorders>
                    <w:top w:val="single" w:color="auto" w:sz="4" w:space="0"/>
                    <w:left w:val="single" w:color="auto" w:sz="4" w:space="0"/>
                    <w:bottom w:val="single" w:color="auto" w:sz="4" w:space="0"/>
                    <w:right w:val="nil"/>
                  </w:tcBorders>
                  <w:shd w:val="clear" w:color="auto" w:fill="auto"/>
                  <w:vAlign w:val="center"/>
                </w:tcPr>
                <w:p w14:paraId="747112C3">
                  <w:pPr>
                    <w:widowControl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0.28</w:t>
                  </w:r>
                </w:p>
              </w:tc>
              <w:tc>
                <w:tcPr>
                  <w:tcW w:w="567" w:type="pct"/>
                  <w:vAlign w:val="center"/>
                </w:tcPr>
                <w:p w14:paraId="5158A0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eastAsia="宋体"/>
                      <w:color w:val="auto"/>
                      <w:kern w:val="0"/>
                      <w:sz w:val="21"/>
                      <w:szCs w:val="21"/>
                      <w:lang w:val="en-US" w:eastAsia="zh-CN"/>
                    </w:rPr>
                  </w:pPr>
                  <w:r>
                    <w:rPr>
                      <w:rFonts w:hint="eastAsia" w:ascii="Times New Roman" w:eastAsia="宋体"/>
                      <w:color w:val="auto"/>
                      <w:kern w:val="0"/>
                      <w:sz w:val="21"/>
                      <w:szCs w:val="21"/>
                      <w:lang w:val="en-US" w:eastAsia="zh-CN"/>
                    </w:rPr>
                    <w:t>1.0</w:t>
                  </w:r>
                </w:p>
              </w:tc>
              <w:tc>
                <w:tcPr>
                  <w:tcW w:w="975" w:type="pct"/>
                  <w:vMerge w:val="continue"/>
                  <w:vAlign w:val="center"/>
                </w:tcPr>
                <w:p w14:paraId="7A90FF12">
                  <w:pPr>
                    <w:spacing w:line="240" w:lineRule="auto"/>
                    <w:ind w:firstLine="0" w:firstLineChars="0"/>
                    <w:jc w:val="center"/>
                    <w:rPr>
                      <w:color w:val="auto"/>
                      <w:kern w:val="0"/>
                      <w:sz w:val="21"/>
                      <w:szCs w:val="21"/>
                    </w:rPr>
                  </w:pPr>
                </w:p>
              </w:tc>
              <w:tc>
                <w:tcPr>
                  <w:tcW w:w="350" w:type="pct"/>
                  <w:vMerge w:val="continue"/>
                  <w:vAlign w:val="center"/>
                </w:tcPr>
                <w:p w14:paraId="23641E5E">
                  <w:pPr>
                    <w:spacing w:line="240" w:lineRule="auto"/>
                    <w:ind w:firstLine="0" w:firstLineChars="0"/>
                    <w:jc w:val="center"/>
                    <w:rPr>
                      <w:rFonts w:hint="eastAsia" w:eastAsia="宋体"/>
                      <w:color w:val="auto"/>
                      <w:kern w:val="0"/>
                      <w:sz w:val="21"/>
                      <w:szCs w:val="21"/>
                      <w:lang w:eastAsia="zh-CN"/>
                    </w:rPr>
                  </w:pPr>
                </w:p>
              </w:tc>
            </w:tr>
            <w:tr w14:paraId="5A19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417" w:type="pct"/>
                  <w:shd w:val="clear" w:color="auto" w:fill="auto"/>
                  <w:vAlign w:val="center"/>
                </w:tcPr>
                <w:p w14:paraId="6E916372">
                  <w:pPr>
                    <w:keepNext w:val="0"/>
                    <w:keepLines w:val="0"/>
                    <w:suppressLineNumbers w:val="0"/>
                    <w:spacing w:before="0" w:beforeAutospacing="0" w:after="0" w:afterAutospacing="0" w:line="240" w:lineRule="auto"/>
                    <w:ind w:left="0" w:leftChars="0" w:right="0" w:rightChars="0" w:firstLine="0" w:firstLineChars="0"/>
                    <w:jc w:val="center"/>
                    <w:rPr>
                      <w:rFonts w:hint="eastAsia"/>
                      <w:color w:val="auto"/>
                      <w:sz w:val="21"/>
                      <w:lang w:val="en-US" w:eastAsia="zh-CN"/>
                    </w:rPr>
                  </w:pPr>
                  <w:r>
                    <w:rPr>
                      <w:rFonts w:hint="eastAsia" w:hAnsi="宋体" w:cs="Times New Roman"/>
                      <w:color w:val="auto"/>
                      <w:sz w:val="21"/>
                      <w:szCs w:val="21"/>
                      <w:lang w:val="en-US" w:eastAsia="zh-CN"/>
                    </w:rPr>
                    <w:t>筒仓</w:t>
                  </w:r>
                </w:p>
              </w:tc>
              <w:tc>
                <w:tcPr>
                  <w:tcW w:w="536" w:type="pct"/>
                  <w:tcBorders>
                    <w:right w:val="single" w:color="auto" w:sz="4" w:space="0"/>
                  </w:tcBorders>
                  <w:shd w:val="clear" w:color="auto" w:fill="auto"/>
                  <w:vAlign w:val="center"/>
                </w:tcPr>
                <w:p w14:paraId="0A0944B2">
                  <w:pPr>
                    <w:spacing w:line="240" w:lineRule="auto"/>
                    <w:ind w:firstLine="0" w:firstLineChars="0"/>
                    <w:jc w:val="center"/>
                    <w:rPr>
                      <w:rFonts w:hint="eastAsia" w:eastAsia="宋体"/>
                      <w:color w:val="auto"/>
                      <w:kern w:val="0"/>
                      <w:sz w:val="21"/>
                      <w:szCs w:val="21"/>
                      <w:lang w:eastAsia="zh-CN"/>
                    </w:rPr>
                  </w:pPr>
                  <w:r>
                    <w:rPr>
                      <w:rFonts w:hint="eastAsia" w:eastAsia="宋体"/>
                      <w:color w:val="auto"/>
                      <w:kern w:val="0"/>
                      <w:sz w:val="21"/>
                      <w:szCs w:val="21"/>
                      <w:lang w:eastAsia="zh-CN"/>
                    </w:rPr>
                    <w:t>粉尘</w:t>
                  </w:r>
                </w:p>
              </w:tc>
              <w:tc>
                <w:tcPr>
                  <w:tcW w:w="330" w:type="pct"/>
                  <w:tcBorders>
                    <w:top w:val="single" w:color="auto" w:sz="4" w:space="0"/>
                    <w:left w:val="nil"/>
                    <w:bottom w:val="single" w:color="auto" w:sz="4" w:space="0"/>
                    <w:right w:val="single" w:color="auto" w:sz="4" w:space="0"/>
                  </w:tcBorders>
                  <w:shd w:val="clear" w:color="auto" w:fill="auto"/>
                  <w:vAlign w:val="center"/>
                </w:tcPr>
                <w:p w14:paraId="513BA64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cs="Times New Roman"/>
                      <w:color w:val="auto"/>
                      <w:sz w:val="21"/>
                      <w:szCs w:val="21"/>
                      <w:lang w:val="en-US" w:eastAsia="zh-CN"/>
                    </w:rPr>
                  </w:pPr>
                  <w:r>
                    <w:rPr>
                      <w:rFonts w:hint="eastAsia" w:hAnsi="宋体" w:cs="Times New Roman"/>
                      <w:color w:val="auto"/>
                      <w:sz w:val="21"/>
                      <w:szCs w:val="21"/>
                      <w:lang w:val="en-US" w:eastAsia="zh-CN"/>
                    </w:rPr>
                    <w:t>--</w:t>
                  </w:r>
                </w:p>
              </w:tc>
              <w:tc>
                <w:tcPr>
                  <w:tcW w:w="386" w:type="pct"/>
                  <w:tcBorders>
                    <w:top w:val="single" w:color="auto" w:sz="4" w:space="0"/>
                    <w:left w:val="single" w:color="auto" w:sz="4" w:space="0"/>
                    <w:bottom w:val="single" w:color="auto" w:sz="4" w:space="0"/>
                    <w:right w:val="nil"/>
                  </w:tcBorders>
                  <w:shd w:val="clear" w:color="auto" w:fill="auto"/>
                  <w:vAlign w:val="center"/>
                </w:tcPr>
                <w:p w14:paraId="65A69C35">
                  <w:pPr>
                    <w:keepNext w:val="0"/>
                    <w:keepLines w:val="0"/>
                    <w:pageBreakBefore w:val="0"/>
                    <w:widowControl w:val="0"/>
                    <w:kinsoku/>
                    <w:wordWrap/>
                    <w:overflowPunct/>
                    <w:topLinePunct w:val="0"/>
                    <w:autoSpaceDE/>
                    <w:autoSpaceDN/>
                    <w:bidi w:val="0"/>
                    <w:adjustRightInd/>
                    <w:snapToGrid/>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hAnsi="宋体" w:cs="Times New Roman"/>
                      <w:color w:val="auto"/>
                      <w:sz w:val="21"/>
                      <w:szCs w:val="21"/>
                      <w:lang w:val="en-US" w:eastAsia="zh-CN"/>
                    </w:rPr>
                    <w:t>--</w:t>
                  </w:r>
                </w:p>
              </w:tc>
              <w:tc>
                <w:tcPr>
                  <w:tcW w:w="379" w:type="pct"/>
                  <w:tcBorders>
                    <w:left w:val="single" w:color="auto" w:sz="4" w:space="0"/>
                  </w:tcBorders>
                  <w:shd w:val="clear" w:color="auto" w:fill="auto"/>
                  <w:vAlign w:val="center"/>
                </w:tcPr>
                <w:p w14:paraId="2E3ADD87">
                  <w:pPr>
                    <w:widowControl w:val="0"/>
                    <w:adjustRightInd w:val="0"/>
                    <w:snapToGrid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仓顶除尘器</w:t>
                  </w:r>
                </w:p>
              </w:tc>
              <w:tc>
                <w:tcPr>
                  <w:tcW w:w="265" w:type="pct"/>
                  <w:shd w:val="clear" w:color="auto" w:fill="auto"/>
                  <w:vAlign w:val="center"/>
                </w:tcPr>
                <w:p w14:paraId="78CDA9DF">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99</w:t>
                  </w:r>
                </w:p>
              </w:tc>
              <w:tc>
                <w:tcPr>
                  <w:tcW w:w="407" w:type="pct"/>
                  <w:tcBorders>
                    <w:top w:val="single" w:color="auto" w:sz="4" w:space="0"/>
                    <w:left w:val="nil"/>
                    <w:bottom w:val="single" w:color="auto" w:sz="4" w:space="0"/>
                    <w:right w:val="single" w:color="auto" w:sz="4" w:space="0"/>
                  </w:tcBorders>
                  <w:shd w:val="clear" w:color="auto" w:fill="auto"/>
                  <w:vAlign w:val="center"/>
                </w:tcPr>
                <w:p w14:paraId="1E4BD2C6">
                  <w:pPr>
                    <w:keepNext w:val="0"/>
                    <w:keepLines w:val="0"/>
                    <w:widowControl/>
                    <w:suppressLineNumbers w:val="0"/>
                    <w:spacing w:line="240" w:lineRule="auto"/>
                    <w:ind w:firstLine="0" w:firstLineChars="0"/>
                    <w:jc w:val="center"/>
                    <w:textAlignment w:val="center"/>
                    <w:rPr>
                      <w:rFonts w:hint="eastAsia" w:cs="Times New Roman"/>
                      <w:color w:val="auto"/>
                      <w:sz w:val="21"/>
                      <w:szCs w:val="21"/>
                      <w:lang w:val="en-US" w:eastAsia="zh-CN"/>
                    </w:rPr>
                  </w:pPr>
                  <w:r>
                    <w:rPr>
                      <w:rFonts w:hint="eastAsia" w:cs="Times New Roman"/>
                      <w:color w:val="auto"/>
                      <w:sz w:val="21"/>
                      <w:szCs w:val="21"/>
                      <w:lang w:val="en-US" w:eastAsia="zh-CN"/>
                    </w:rPr>
                    <w:t>0.021</w:t>
                  </w:r>
                </w:p>
              </w:tc>
              <w:tc>
                <w:tcPr>
                  <w:tcW w:w="383" w:type="pct"/>
                  <w:tcBorders>
                    <w:top w:val="single" w:color="auto" w:sz="4" w:space="0"/>
                    <w:left w:val="single" w:color="auto" w:sz="4" w:space="0"/>
                    <w:bottom w:val="single" w:color="auto" w:sz="4" w:space="0"/>
                    <w:right w:val="nil"/>
                  </w:tcBorders>
                  <w:shd w:val="clear" w:color="auto" w:fill="auto"/>
                  <w:vAlign w:val="center"/>
                </w:tcPr>
                <w:p w14:paraId="4580AED8">
                  <w:pPr>
                    <w:widowControl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0.017</w:t>
                  </w:r>
                </w:p>
              </w:tc>
              <w:tc>
                <w:tcPr>
                  <w:tcW w:w="567" w:type="pct"/>
                  <w:vAlign w:val="center"/>
                </w:tcPr>
                <w:p w14:paraId="671AF8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eastAsia="宋体"/>
                      <w:color w:val="auto"/>
                      <w:kern w:val="0"/>
                      <w:sz w:val="21"/>
                      <w:szCs w:val="21"/>
                      <w:lang w:val="en-US" w:eastAsia="zh-CN"/>
                    </w:rPr>
                  </w:pPr>
                  <w:r>
                    <w:rPr>
                      <w:rFonts w:hint="eastAsia" w:ascii="Times New Roman" w:eastAsia="宋体"/>
                      <w:color w:val="auto"/>
                      <w:kern w:val="0"/>
                      <w:sz w:val="21"/>
                      <w:szCs w:val="21"/>
                      <w:lang w:val="en-US" w:eastAsia="zh-CN"/>
                    </w:rPr>
                    <w:t>1.0</w:t>
                  </w:r>
                </w:p>
              </w:tc>
              <w:tc>
                <w:tcPr>
                  <w:tcW w:w="975" w:type="pct"/>
                  <w:vMerge w:val="continue"/>
                  <w:vAlign w:val="center"/>
                </w:tcPr>
                <w:p w14:paraId="321E76F0">
                  <w:pPr>
                    <w:spacing w:line="240" w:lineRule="auto"/>
                    <w:ind w:firstLine="0" w:firstLineChars="0"/>
                    <w:jc w:val="center"/>
                    <w:rPr>
                      <w:color w:val="auto"/>
                      <w:kern w:val="0"/>
                      <w:sz w:val="21"/>
                      <w:szCs w:val="21"/>
                    </w:rPr>
                  </w:pPr>
                </w:p>
              </w:tc>
              <w:tc>
                <w:tcPr>
                  <w:tcW w:w="350" w:type="pct"/>
                  <w:vMerge w:val="continue"/>
                  <w:vAlign w:val="center"/>
                </w:tcPr>
                <w:p w14:paraId="29EFFD46">
                  <w:pPr>
                    <w:spacing w:line="240" w:lineRule="auto"/>
                    <w:ind w:firstLine="0" w:firstLineChars="0"/>
                    <w:jc w:val="center"/>
                    <w:rPr>
                      <w:rFonts w:hint="eastAsia" w:eastAsia="宋体"/>
                      <w:color w:val="auto"/>
                      <w:kern w:val="0"/>
                      <w:sz w:val="21"/>
                      <w:szCs w:val="21"/>
                      <w:lang w:eastAsia="zh-CN"/>
                    </w:rPr>
                  </w:pPr>
                </w:p>
              </w:tc>
            </w:tr>
            <w:tr w14:paraId="07942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417" w:type="pct"/>
                  <w:vMerge w:val="restart"/>
                  <w:shd w:val="clear" w:color="auto" w:fill="auto"/>
                  <w:vAlign w:val="center"/>
                </w:tcPr>
                <w:p w14:paraId="7D97527D">
                  <w:pPr>
                    <w:keepNext w:val="0"/>
                    <w:keepLines w:val="0"/>
                    <w:suppressLineNumbers w:val="0"/>
                    <w:spacing w:before="0" w:beforeAutospacing="0" w:after="0" w:afterAutospacing="0" w:line="240" w:lineRule="auto"/>
                    <w:ind w:left="0" w:leftChars="0" w:right="0" w:rightChars="0" w:firstLine="0" w:firstLineChars="0"/>
                    <w:jc w:val="center"/>
                    <w:rPr>
                      <w:rFonts w:hint="eastAsia"/>
                      <w:color w:val="auto"/>
                      <w:sz w:val="21"/>
                      <w:lang w:val="en-US" w:eastAsia="zh-CN"/>
                    </w:rPr>
                  </w:pPr>
                  <w:r>
                    <w:rPr>
                      <w:rFonts w:hint="eastAsia" w:hAnsi="宋体" w:cs="Times New Roman"/>
                      <w:color w:val="auto"/>
                      <w:sz w:val="21"/>
                      <w:szCs w:val="21"/>
                      <w:lang w:val="en-US" w:eastAsia="zh-CN"/>
                    </w:rPr>
                    <w:t>RDF燃料生产线</w:t>
                  </w:r>
                </w:p>
              </w:tc>
              <w:tc>
                <w:tcPr>
                  <w:tcW w:w="536" w:type="pct"/>
                  <w:tcBorders>
                    <w:right w:val="single" w:color="auto" w:sz="4" w:space="0"/>
                  </w:tcBorders>
                  <w:shd w:val="clear" w:color="auto" w:fill="auto"/>
                  <w:vAlign w:val="center"/>
                </w:tcPr>
                <w:p w14:paraId="4CF2A94A">
                  <w:pPr>
                    <w:spacing w:line="240" w:lineRule="auto"/>
                    <w:ind w:firstLine="0" w:firstLineChars="0"/>
                    <w:jc w:val="center"/>
                    <w:rPr>
                      <w:rFonts w:hint="eastAsia" w:eastAsia="宋体"/>
                      <w:color w:val="auto"/>
                      <w:kern w:val="0"/>
                      <w:sz w:val="21"/>
                      <w:szCs w:val="21"/>
                      <w:lang w:eastAsia="zh-CN"/>
                    </w:rPr>
                  </w:pPr>
                  <w:r>
                    <w:rPr>
                      <w:rFonts w:hint="eastAsia" w:hAnsi="宋体" w:cs="Times New Roman"/>
                      <w:color w:val="auto"/>
                      <w:kern w:val="2"/>
                      <w:sz w:val="21"/>
                      <w:szCs w:val="21"/>
                      <w:lang w:val="en-US" w:eastAsia="zh-CN" w:bidi="ar-SA"/>
                    </w:rPr>
                    <w:t>粉尘</w:t>
                  </w:r>
                </w:p>
              </w:tc>
              <w:tc>
                <w:tcPr>
                  <w:tcW w:w="330" w:type="pct"/>
                  <w:tcBorders>
                    <w:top w:val="single" w:color="auto" w:sz="4" w:space="0"/>
                    <w:left w:val="nil"/>
                    <w:bottom w:val="single" w:color="auto" w:sz="4" w:space="0"/>
                    <w:right w:val="single" w:color="auto" w:sz="4" w:space="0"/>
                  </w:tcBorders>
                  <w:shd w:val="clear" w:color="auto" w:fill="auto"/>
                  <w:vAlign w:val="center"/>
                </w:tcPr>
                <w:p w14:paraId="19A57543">
                  <w:pPr>
                    <w:keepNext w:val="0"/>
                    <w:keepLines w:val="0"/>
                    <w:widowControl/>
                    <w:suppressLineNumbers w:val="0"/>
                    <w:spacing w:line="240" w:lineRule="auto"/>
                    <w:ind w:firstLine="0" w:firstLineChars="0"/>
                    <w:jc w:val="center"/>
                    <w:textAlignment w:val="center"/>
                    <w:rPr>
                      <w:rFonts w:hint="eastAsia" w:cs="Times New Roman"/>
                      <w:color w:val="auto"/>
                      <w:sz w:val="21"/>
                      <w:szCs w:val="21"/>
                      <w:lang w:val="en-US" w:eastAsia="zh-CN"/>
                    </w:rPr>
                  </w:pPr>
                  <w:r>
                    <w:rPr>
                      <w:rFonts w:hint="eastAsia" w:cs="Times New Roman"/>
                      <w:color w:val="auto"/>
                      <w:sz w:val="21"/>
                      <w:szCs w:val="21"/>
                      <w:lang w:val="en-US" w:eastAsia="zh-CN"/>
                    </w:rPr>
                    <w:t>2.17</w:t>
                  </w:r>
                </w:p>
              </w:tc>
              <w:tc>
                <w:tcPr>
                  <w:tcW w:w="386" w:type="pct"/>
                  <w:tcBorders>
                    <w:top w:val="single" w:color="auto" w:sz="4" w:space="0"/>
                    <w:left w:val="single" w:color="auto" w:sz="4" w:space="0"/>
                    <w:bottom w:val="single" w:color="auto" w:sz="4" w:space="0"/>
                    <w:right w:val="nil"/>
                  </w:tcBorders>
                  <w:shd w:val="clear" w:color="auto" w:fill="auto"/>
                  <w:vAlign w:val="center"/>
                </w:tcPr>
                <w:p w14:paraId="6A9BCE17">
                  <w:pPr>
                    <w:widowControl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13.38</w:t>
                  </w:r>
                </w:p>
              </w:tc>
              <w:tc>
                <w:tcPr>
                  <w:tcW w:w="379" w:type="pct"/>
                  <w:tcBorders>
                    <w:left w:val="single" w:color="auto" w:sz="4" w:space="0"/>
                  </w:tcBorders>
                  <w:shd w:val="clear" w:color="auto" w:fill="auto"/>
                  <w:vAlign w:val="center"/>
                </w:tcPr>
                <w:p w14:paraId="49DADC5E">
                  <w:pPr>
                    <w:widowControl w:val="0"/>
                    <w:adjustRightInd w:val="0"/>
                    <w:snapToGrid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喷淋抑尘</w:t>
                  </w:r>
                </w:p>
              </w:tc>
              <w:tc>
                <w:tcPr>
                  <w:tcW w:w="265" w:type="pct"/>
                  <w:shd w:val="clear" w:color="auto" w:fill="auto"/>
                  <w:vAlign w:val="center"/>
                </w:tcPr>
                <w:p w14:paraId="243E9007">
                  <w:pPr>
                    <w:spacing w:line="240" w:lineRule="auto"/>
                    <w:ind w:firstLine="0" w:firstLineChars="0"/>
                    <w:jc w:val="center"/>
                    <w:rPr>
                      <w:rFonts w:hint="eastAsia" w:hAnsi="宋体" w:cs="Times New Roman"/>
                      <w:color w:val="auto"/>
                      <w:sz w:val="21"/>
                      <w:szCs w:val="21"/>
                      <w:lang w:val="en-US" w:eastAsia="zh-CN"/>
                    </w:rPr>
                  </w:pPr>
                  <w:r>
                    <w:rPr>
                      <w:rFonts w:hint="eastAsia" w:hAnsi="宋体" w:cs="Times New Roman"/>
                      <w:color w:val="auto"/>
                      <w:sz w:val="21"/>
                      <w:szCs w:val="21"/>
                      <w:lang w:val="en-US" w:eastAsia="zh-CN"/>
                    </w:rPr>
                    <w:t>95</w:t>
                  </w:r>
                </w:p>
              </w:tc>
              <w:tc>
                <w:tcPr>
                  <w:tcW w:w="407" w:type="pct"/>
                  <w:tcBorders>
                    <w:top w:val="single" w:color="auto" w:sz="4" w:space="0"/>
                    <w:left w:val="nil"/>
                    <w:bottom w:val="single" w:color="auto" w:sz="4" w:space="0"/>
                    <w:right w:val="single" w:color="auto" w:sz="4" w:space="0"/>
                  </w:tcBorders>
                  <w:shd w:val="clear" w:color="auto" w:fill="auto"/>
                  <w:vAlign w:val="center"/>
                </w:tcPr>
                <w:p w14:paraId="3D4F6968">
                  <w:pPr>
                    <w:keepNext w:val="0"/>
                    <w:keepLines w:val="0"/>
                    <w:widowControl/>
                    <w:suppressLineNumbers w:val="0"/>
                    <w:spacing w:line="240" w:lineRule="auto"/>
                    <w:ind w:firstLine="0" w:firstLineChars="0"/>
                    <w:jc w:val="center"/>
                    <w:textAlignment w:val="center"/>
                    <w:rPr>
                      <w:rFonts w:hint="eastAsia" w:cs="Times New Roman"/>
                      <w:color w:val="auto"/>
                      <w:sz w:val="21"/>
                      <w:szCs w:val="21"/>
                      <w:lang w:val="en-US" w:eastAsia="zh-CN"/>
                    </w:rPr>
                  </w:pPr>
                  <w:r>
                    <w:rPr>
                      <w:rFonts w:hint="eastAsia" w:cs="Times New Roman"/>
                      <w:color w:val="auto"/>
                      <w:sz w:val="21"/>
                      <w:szCs w:val="21"/>
                      <w:lang w:val="en-US" w:eastAsia="zh-CN"/>
                    </w:rPr>
                    <w:t>0.26</w:t>
                  </w:r>
                </w:p>
              </w:tc>
              <w:tc>
                <w:tcPr>
                  <w:tcW w:w="383" w:type="pct"/>
                  <w:tcBorders>
                    <w:top w:val="single" w:color="auto" w:sz="4" w:space="0"/>
                    <w:left w:val="single" w:color="auto" w:sz="4" w:space="0"/>
                    <w:bottom w:val="single" w:color="auto" w:sz="4" w:space="0"/>
                    <w:right w:val="nil"/>
                  </w:tcBorders>
                  <w:shd w:val="clear" w:color="auto" w:fill="auto"/>
                  <w:vAlign w:val="center"/>
                </w:tcPr>
                <w:p w14:paraId="54863910">
                  <w:pPr>
                    <w:widowControl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0.67</w:t>
                  </w:r>
                </w:p>
              </w:tc>
              <w:tc>
                <w:tcPr>
                  <w:tcW w:w="567" w:type="pct"/>
                  <w:vAlign w:val="center"/>
                </w:tcPr>
                <w:p w14:paraId="68D112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eastAsia="宋体"/>
                      <w:color w:val="auto"/>
                      <w:kern w:val="0"/>
                      <w:sz w:val="21"/>
                      <w:szCs w:val="21"/>
                      <w:lang w:val="en-US" w:eastAsia="zh-CN"/>
                    </w:rPr>
                  </w:pPr>
                  <w:r>
                    <w:rPr>
                      <w:rFonts w:hint="eastAsia" w:ascii="Times New Roman" w:eastAsia="宋体"/>
                      <w:color w:val="auto"/>
                      <w:kern w:val="0"/>
                      <w:sz w:val="21"/>
                      <w:szCs w:val="21"/>
                      <w:lang w:val="en-US" w:eastAsia="zh-CN"/>
                    </w:rPr>
                    <w:t>1.0</w:t>
                  </w:r>
                </w:p>
              </w:tc>
              <w:tc>
                <w:tcPr>
                  <w:tcW w:w="975" w:type="pct"/>
                  <w:vMerge w:val="restart"/>
                  <w:vAlign w:val="center"/>
                </w:tcPr>
                <w:p w14:paraId="5C7C120D">
                  <w:pPr>
                    <w:spacing w:line="240" w:lineRule="auto"/>
                    <w:ind w:firstLine="0" w:firstLineChars="0"/>
                    <w:jc w:val="center"/>
                    <w:rPr>
                      <w:color w:val="auto"/>
                      <w:kern w:val="0"/>
                      <w:sz w:val="21"/>
                      <w:szCs w:val="21"/>
                    </w:rPr>
                  </w:pPr>
                  <w:r>
                    <w:rPr>
                      <w:color w:val="auto"/>
                      <w:kern w:val="0"/>
                      <w:sz w:val="21"/>
                      <w:szCs w:val="21"/>
                    </w:rPr>
                    <w:t>L</w:t>
                  </w:r>
                  <w:r>
                    <w:rPr>
                      <w:rFonts w:hint="eastAsia"/>
                      <w:color w:val="auto"/>
                      <w:kern w:val="0"/>
                      <w:sz w:val="21"/>
                      <w:szCs w:val="21"/>
                      <w:lang w:val="en-US" w:eastAsia="zh-CN"/>
                    </w:rPr>
                    <w:t>48</w:t>
                  </w:r>
                  <w:r>
                    <w:rPr>
                      <w:color w:val="auto"/>
                      <w:kern w:val="0"/>
                      <w:sz w:val="21"/>
                      <w:szCs w:val="21"/>
                    </w:rPr>
                    <w:t>m×W</w:t>
                  </w:r>
                  <w:r>
                    <w:rPr>
                      <w:rFonts w:hint="eastAsia"/>
                      <w:color w:val="auto"/>
                      <w:kern w:val="0"/>
                      <w:sz w:val="21"/>
                      <w:szCs w:val="21"/>
                      <w:lang w:val="en-US" w:eastAsia="zh-CN"/>
                    </w:rPr>
                    <w:t>120</w:t>
                  </w:r>
                  <w:r>
                    <w:rPr>
                      <w:color w:val="auto"/>
                      <w:kern w:val="0"/>
                      <w:sz w:val="21"/>
                      <w:szCs w:val="21"/>
                    </w:rPr>
                    <w:t>m×H</w:t>
                  </w:r>
                  <w:r>
                    <w:rPr>
                      <w:rFonts w:hint="eastAsia" w:ascii="Times New Roman" w:eastAsia="宋体"/>
                      <w:color w:val="auto"/>
                      <w:kern w:val="0"/>
                      <w:sz w:val="21"/>
                      <w:szCs w:val="21"/>
                      <w:lang w:val="en-US" w:eastAsia="zh-CN"/>
                    </w:rPr>
                    <w:t>8</w:t>
                  </w:r>
                  <w:r>
                    <w:rPr>
                      <w:color w:val="auto"/>
                      <w:kern w:val="0"/>
                      <w:sz w:val="21"/>
                      <w:szCs w:val="21"/>
                    </w:rPr>
                    <w:t>m</w:t>
                  </w:r>
                </w:p>
              </w:tc>
              <w:tc>
                <w:tcPr>
                  <w:tcW w:w="350" w:type="pct"/>
                  <w:vMerge w:val="continue"/>
                  <w:vAlign w:val="center"/>
                </w:tcPr>
                <w:p w14:paraId="43EC658F">
                  <w:pPr>
                    <w:spacing w:line="240" w:lineRule="auto"/>
                    <w:ind w:firstLine="0" w:firstLineChars="0"/>
                    <w:jc w:val="center"/>
                    <w:rPr>
                      <w:rFonts w:hint="eastAsia" w:eastAsia="宋体"/>
                      <w:color w:val="auto"/>
                      <w:kern w:val="0"/>
                      <w:sz w:val="21"/>
                      <w:szCs w:val="21"/>
                      <w:lang w:eastAsia="zh-CN"/>
                    </w:rPr>
                  </w:pPr>
                </w:p>
              </w:tc>
            </w:tr>
            <w:tr w14:paraId="3DD9B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17" w:type="pct"/>
                  <w:vMerge w:val="continue"/>
                  <w:shd w:val="clear" w:color="auto" w:fill="auto"/>
                  <w:vAlign w:val="center"/>
                </w:tcPr>
                <w:p w14:paraId="59EF5DDF">
                  <w:pPr>
                    <w:keepNext w:val="0"/>
                    <w:keepLines w:val="0"/>
                    <w:suppressLineNumbers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bCs/>
                      <w:color w:val="auto"/>
                      <w:kern w:val="2"/>
                      <w:sz w:val="21"/>
                      <w:szCs w:val="21"/>
                      <w:lang w:val="en-US" w:eastAsia="zh-CN" w:bidi="ar-SA"/>
                    </w:rPr>
                  </w:pPr>
                </w:p>
              </w:tc>
              <w:tc>
                <w:tcPr>
                  <w:tcW w:w="536" w:type="pct"/>
                  <w:tcBorders>
                    <w:right w:val="single" w:color="auto" w:sz="4" w:space="0"/>
                  </w:tcBorders>
                  <w:shd w:val="clear" w:color="auto" w:fill="auto"/>
                  <w:vAlign w:val="center"/>
                </w:tcPr>
                <w:p w14:paraId="29E95A53">
                  <w:pPr>
                    <w:spacing w:line="240" w:lineRule="auto"/>
                    <w:ind w:firstLine="0" w:firstLineChars="0"/>
                    <w:jc w:val="center"/>
                    <w:rPr>
                      <w:rFonts w:hint="eastAsia" w:eastAsia="宋体"/>
                      <w:color w:val="auto"/>
                      <w:kern w:val="0"/>
                      <w:sz w:val="21"/>
                      <w:szCs w:val="21"/>
                      <w:lang w:eastAsia="zh-CN"/>
                    </w:rPr>
                  </w:pPr>
                  <w:r>
                    <w:rPr>
                      <w:rFonts w:hint="eastAsia" w:eastAsia="宋体"/>
                      <w:color w:val="auto"/>
                      <w:kern w:val="0"/>
                      <w:sz w:val="21"/>
                      <w:szCs w:val="21"/>
                      <w:lang w:eastAsia="zh-CN"/>
                    </w:rPr>
                    <w:t>氨</w:t>
                  </w:r>
                </w:p>
              </w:tc>
              <w:tc>
                <w:tcPr>
                  <w:tcW w:w="330" w:type="pct"/>
                  <w:tcBorders>
                    <w:top w:val="single" w:color="auto" w:sz="4" w:space="0"/>
                    <w:left w:val="nil"/>
                    <w:bottom w:val="single" w:color="auto" w:sz="4" w:space="0"/>
                    <w:right w:val="single" w:color="auto" w:sz="4" w:space="0"/>
                  </w:tcBorders>
                  <w:shd w:val="clear" w:color="auto" w:fill="auto"/>
                  <w:vAlign w:val="center"/>
                </w:tcPr>
                <w:p w14:paraId="569ECD5A">
                  <w:pPr>
                    <w:widowControl/>
                    <w:adjustRightInd w:val="0"/>
                    <w:snapToGrid w:val="0"/>
                    <w:spacing w:line="240" w:lineRule="auto"/>
                    <w:ind w:left="-120" w:leftChars="-50" w:right="-120" w:rightChars="-50"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0.03</w:t>
                  </w:r>
                </w:p>
              </w:tc>
              <w:tc>
                <w:tcPr>
                  <w:tcW w:w="386" w:type="pct"/>
                  <w:tcBorders>
                    <w:top w:val="single" w:color="auto" w:sz="4" w:space="0"/>
                    <w:left w:val="single" w:color="auto" w:sz="4" w:space="0"/>
                    <w:bottom w:val="single" w:color="auto" w:sz="4" w:space="0"/>
                    <w:right w:val="nil"/>
                  </w:tcBorders>
                  <w:shd w:val="clear" w:color="auto" w:fill="auto"/>
                  <w:vAlign w:val="center"/>
                </w:tcPr>
                <w:p w14:paraId="78C76207">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0.072</w:t>
                  </w:r>
                </w:p>
              </w:tc>
              <w:tc>
                <w:tcPr>
                  <w:tcW w:w="379" w:type="pct"/>
                  <w:vMerge w:val="restart"/>
                  <w:tcBorders>
                    <w:left w:val="single" w:color="auto" w:sz="4" w:space="0"/>
                  </w:tcBorders>
                  <w:shd w:val="clear" w:color="auto" w:fill="auto"/>
                  <w:vAlign w:val="center"/>
                </w:tcPr>
                <w:p w14:paraId="7375E864">
                  <w:pPr>
                    <w:spacing w:line="240" w:lineRule="auto"/>
                    <w:ind w:firstLine="0" w:firstLineChars="0"/>
                    <w:jc w:val="center"/>
                    <w:rPr>
                      <w:rFonts w:hint="eastAsia" w:eastAsia="宋体"/>
                      <w:color w:val="auto"/>
                      <w:kern w:val="0"/>
                      <w:sz w:val="21"/>
                      <w:szCs w:val="21"/>
                      <w:lang w:eastAsia="zh-CN"/>
                    </w:rPr>
                  </w:pPr>
                  <w:r>
                    <w:rPr>
                      <w:rFonts w:hint="eastAsia" w:eastAsia="宋体"/>
                      <w:color w:val="auto"/>
                      <w:kern w:val="0"/>
                      <w:sz w:val="21"/>
                      <w:szCs w:val="21"/>
                      <w:lang w:eastAsia="zh-CN"/>
                    </w:rPr>
                    <w:t>喷洒除臭剂</w:t>
                  </w:r>
                </w:p>
              </w:tc>
              <w:tc>
                <w:tcPr>
                  <w:tcW w:w="265" w:type="pct"/>
                  <w:vMerge w:val="restart"/>
                  <w:shd w:val="clear" w:color="auto" w:fill="auto"/>
                  <w:vAlign w:val="center"/>
                </w:tcPr>
                <w:p w14:paraId="6FCA2493">
                  <w:pPr>
                    <w:spacing w:line="240" w:lineRule="auto"/>
                    <w:ind w:firstLine="0" w:firstLineChars="0"/>
                    <w:jc w:val="center"/>
                    <w:rPr>
                      <w:rFonts w:hint="eastAsia" w:eastAsia="宋体"/>
                      <w:color w:val="auto"/>
                      <w:kern w:val="0"/>
                      <w:sz w:val="21"/>
                      <w:szCs w:val="21"/>
                      <w:lang w:val="en-US" w:eastAsia="zh-CN"/>
                    </w:rPr>
                  </w:pPr>
                  <w:r>
                    <w:rPr>
                      <w:rFonts w:hint="eastAsia" w:ascii="Times New Roman" w:eastAsia="宋体"/>
                      <w:color w:val="auto"/>
                      <w:kern w:val="0"/>
                      <w:sz w:val="21"/>
                      <w:szCs w:val="21"/>
                      <w:lang w:val="en-US" w:eastAsia="zh-CN"/>
                    </w:rPr>
                    <w:t>/</w:t>
                  </w:r>
                </w:p>
              </w:tc>
              <w:tc>
                <w:tcPr>
                  <w:tcW w:w="407" w:type="pct"/>
                  <w:tcBorders>
                    <w:top w:val="single" w:color="auto" w:sz="4" w:space="0"/>
                    <w:left w:val="nil"/>
                    <w:bottom w:val="single" w:color="auto" w:sz="4" w:space="0"/>
                    <w:right w:val="single" w:color="auto" w:sz="4" w:space="0"/>
                  </w:tcBorders>
                  <w:shd w:val="clear" w:color="auto" w:fill="auto"/>
                  <w:vAlign w:val="center"/>
                </w:tcPr>
                <w:p w14:paraId="588580B2">
                  <w:pPr>
                    <w:widowControl/>
                    <w:adjustRightInd w:val="0"/>
                    <w:snapToGrid w:val="0"/>
                    <w:spacing w:line="240" w:lineRule="auto"/>
                    <w:ind w:left="-120" w:leftChars="-50" w:right="-120" w:rightChars="-50"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0.03</w:t>
                  </w:r>
                </w:p>
              </w:tc>
              <w:tc>
                <w:tcPr>
                  <w:tcW w:w="383" w:type="pct"/>
                  <w:tcBorders>
                    <w:top w:val="single" w:color="auto" w:sz="4" w:space="0"/>
                    <w:left w:val="single" w:color="auto" w:sz="4" w:space="0"/>
                    <w:bottom w:val="single" w:color="auto" w:sz="4" w:space="0"/>
                    <w:right w:val="nil"/>
                  </w:tcBorders>
                  <w:shd w:val="clear" w:color="auto" w:fill="auto"/>
                  <w:vAlign w:val="center"/>
                </w:tcPr>
                <w:p w14:paraId="34E4EF07">
                  <w:pPr>
                    <w:widowControl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0.072</w:t>
                  </w:r>
                </w:p>
              </w:tc>
              <w:tc>
                <w:tcPr>
                  <w:tcW w:w="567" w:type="pct"/>
                  <w:vAlign w:val="center"/>
                </w:tcPr>
                <w:p w14:paraId="4178D4F9">
                  <w:pPr>
                    <w:spacing w:line="240" w:lineRule="auto"/>
                    <w:ind w:firstLine="0" w:firstLineChars="0"/>
                    <w:jc w:val="center"/>
                    <w:rPr>
                      <w:rFonts w:hint="default"/>
                      <w:color w:val="auto"/>
                      <w:kern w:val="0"/>
                      <w:sz w:val="21"/>
                      <w:szCs w:val="21"/>
                      <w:lang w:val="en-US" w:eastAsia="zh-CN"/>
                    </w:rPr>
                  </w:pPr>
                  <w:r>
                    <w:rPr>
                      <w:rFonts w:hint="eastAsia" w:ascii="Times New Roman" w:eastAsia="宋体"/>
                      <w:color w:val="auto"/>
                      <w:kern w:val="0"/>
                      <w:sz w:val="21"/>
                      <w:szCs w:val="21"/>
                      <w:lang w:val="en-US" w:eastAsia="zh-CN"/>
                    </w:rPr>
                    <w:t>1.5</w:t>
                  </w:r>
                </w:p>
              </w:tc>
              <w:tc>
                <w:tcPr>
                  <w:tcW w:w="975" w:type="pct"/>
                  <w:vMerge w:val="continue"/>
                  <w:vAlign w:val="center"/>
                </w:tcPr>
                <w:p w14:paraId="5C557F28">
                  <w:pPr>
                    <w:spacing w:line="240" w:lineRule="auto"/>
                    <w:ind w:firstLine="0" w:firstLineChars="0"/>
                    <w:jc w:val="center"/>
                    <w:rPr>
                      <w:color w:val="auto"/>
                      <w:kern w:val="0"/>
                      <w:sz w:val="21"/>
                      <w:szCs w:val="21"/>
                    </w:rPr>
                  </w:pPr>
                </w:p>
              </w:tc>
              <w:tc>
                <w:tcPr>
                  <w:tcW w:w="350" w:type="pct"/>
                  <w:vMerge w:val="continue"/>
                  <w:vAlign w:val="center"/>
                </w:tcPr>
                <w:p w14:paraId="11E084E9">
                  <w:pPr>
                    <w:spacing w:line="240" w:lineRule="auto"/>
                    <w:ind w:firstLine="0" w:firstLineChars="0"/>
                    <w:jc w:val="center"/>
                    <w:rPr>
                      <w:rFonts w:hint="eastAsia"/>
                      <w:color w:val="auto"/>
                      <w:kern w:val="0"/>
                      <w:sz w:val="21"/>
                      <w:szCs w:val="21"/>
                      <w:lang w:eastAsia="zh-CN"/>
                    </w:rPr>
                  </w:pPr>
                </w:p>
              </w:tc>
            </w:tr>
            <w:tr w14:paraId="25DE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17" w:type="pct"/>
                  <w:vMerge w:val="continue"/>
                  <w:shd w:val="clear" w:color="auto" w:fill="auto"/>
                  <w:vAlign w:val="center"/>
                </w:tcPr>
                <w:p w14:paraId="0F88C265">
                  <w:pPr>
                    <w:spacing w:line="240" w:lineRule="auto"/>
                    <w:ind w:firstLine="0" w:firstLineChars="0"/>
                    <w:jc w:val="center"/>
                    <w:rPr>
                      <w:rFonts w:hint="eastAsia"/>
                      <w:color w:val="auto"/>
                      <w:kern w:val="0"/>
                      <w:sz w:val="21"/>
                      <w:szCs w:val="21"/>
                    </w:rPr>
                  </w:pPr>
                </w:p>
              </w:tc>
              <w:tc>
                <w:tcPr>
                  <w:tcW w:w="536" w:type="pct"/>
                  <w:tcBorders>
                    <w:right w:val="single" w:color="auto" w:sz="4" w:space="0"/>
                  </w:tcBorders>
                  <w:shd w:val="clear" w:color="auto" w:fill="auto"/>
                  <w:vAlign w:val="center"/>
                </w:tcPr>
                <w:p w14:paraId="5F36128F">
                  <w:pPr>
                    <w:spacing w:line="240" w:lineRule="auto"/>
                    <w:ind w:firstLine="0" w:firstLineChars="0"/>
                    <w:jc w:val="center"/>
                    <w:rPr>
                      <w:rFonts w:hint="eastAsia" w:eastAsia="宋体"/>
                      <w:color w:val="auto"/>
                      <w:kern w:val="0"/>
                      <w:sz w:val="21"/>
                      <w:szCs w:val="21"/>
                      <w:lang w:eastAsia="zh-CN"/>
                    </w:rPr>
                  </w:pPr>
                  <w:r>
                    <w:rPr>
                      <w:rFonts w:hint="eastAsia" w:eastAsia="宋体"/>
                      <w:color w:val="auto"/>
                      <w:kern w:val="0"/>
                      <w:sz w:val="21"/>
                      <w:szCs w:val="21"/>
                      <w:lang w:eastAsia="zh-CN"/>
                    </w:rPr>
                    <w:t>硫化氢</w:t>
                  </w:r>
                </w:p>
              </w:tc>
              <w:tc>
                <w:tcPr>
                  <w:tcW w:w="330" w:type="pct"/>
                  <w:tcBorders>
                    <w:top w:val="single" w:color="auto" w:sz="4" w:space="0"/>
                    <w:left w:val="nil"/>
                    <w:bottom w:val="single" w:color="auto" w:sz="4" w:space="0"/>
                    <w:right w:val="single" w:color="auto" w:sz="4" w:space="0"/>
                  </w:tcBorders>
                  <w:shd w:val="clear" w:color="auto" w:fill="auto"/>
                  <w:vAlign w:val="center"/>
                </w:tcPr>
                <w:p w14:paraId="03AF39FC">
                  <w:pPr>
                    <w:widowControl/>
                    <w:adjustRightInd w:val="0"/>
                    <w:snapToGrid w:val="0"/>
                    <w:spacing w:line="240" w:lineRule="auto"/>
                    <w:ind w:left="-120" w:leftChars="-50" w:right="-120" w:rightChars="-50"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0.0008</w:t>
                  </w:r>
                </w:p>
              </w:tc>
              <w:tc>
                <w:tcPr>
                  <w:tcW w:w="386" w:type="pct"/>
                  <w:tcBorders>
                    <w:top w:val="single" w:color="auto" w:sz="4" w:space="0"/>
                    <w:left w:val="single" w:color="auto" w:sz="4" w:space="0"/>
                    <w:bottom w:val="single" w:color="auto" w:sz="4" w:space="0"/>
                    <w:right w:val="nil"/>
                  </w:tcBorders>
                  <w:shd w:val="clear" w:color="auto" w:fill="auto"/>
                  <w:vAlign w:val="center"/>
                </w:tcPr>
                <w:p w14:paraId="78FB13F1">
                  <w:pPr>
                    <w:widowControl w:val="0"/>
                    <w:spacing w:after="0" w:line="240" w:lineRule="auto"/>
                    <w:ind w:left="-120" w:leftChars="-50" w:right="-120" w:rightChars="-50"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0.002</w:t>
                  </w:r>
                </w:p>
              </w:tc>
              <w:tc>
                <w:tcPr>
                  <w:tcW w:w="379" w:type="pct"/>
                  <w:vMerge w:val="continue"/>
                  <w:tcBorders>
                    <w:left w:val="single" w:color="auto" w:sz="4" w:space="0"/>
                  </w:tcBorders>
                  <w:shd w:val="clear" w:color="auto" w:fill="auto"/>
                  <w:vAlign w:val="center"/>
                </w:tcPr>
                <w:p w14:paraId="786BE30E">
                  <w:pPr>
                    <w:spacing w:line="240" w:lineRule="auto"/>
                    <w:ind w:firstLine="0" w:firstLineChars="0"/>
                    <w:jc w:val="center"/>
                    <w:rPr>
                      <w:rFonts w:hint="eastAsia"/>
                      <w:color w:val="auto"/>
                      <w:kern w:val="0"/>
                      <w:sz w:val="21"/>
                      <w:szCs w:val="21"/>
                    </w:rPr>
                  </w:pPr>
                </w:p>
              </w:tc>
              <w:tc>
                <w:tcPr>
                  <w:tcW w:w="265" w:type="pct"/>
                  <w:vMerge w:val="continue"/>
                  <w:shd w:val="clear" w:color="auto" w:fill="auto"/>
                  <w:vAlign w:val="center"/>
                </w:tcPr>
                <w:p w14:paraId="28D6A5A6">
                  <w:pPr>
                    <w:spacing w:line="240" w:lineRule="auto"/>
                    <w:ind w:firstLine="0" w:firstLineChars="0"/>
                    <w:jc w:val="center"/>
                    <w:rPr>
                      <w:rFonts w:hint="eastAsia"/>
                      <w:color w:val="auto"/>
                      <w:kern w:val="0"/>
                      <w:sz w:val="21"/>
                      <w:szCs w:val="21"/>
                    </w:rPr>
                  </w:pPr>
                </w:p>
              </w:tc>
              <w:tc>
                <w:tcPr>
                  <w:tcW w:w="407" w:type="pct"/>
                  <w:tcBorders>
                    <w:top w:val="single" w:color="auto" w:sz="4" w:space="0"/>
                    <w:left w:val="nil"/>
                    <w:bottom w:val="single" w:color="auto" w:sz="4" w:space="0"/>
                    <w:right w:val="single" w:color="auto" w:sz="4" w:space="0"/>
                  </w:tcBorders>
                  <w:shd w:val="clear" w:color="auto" w:fill="auto"/>
                  <w:vAlign w:val="center"/>
                </w:tcPr>
                <w:p w14:paraId="0508E97E">
                  <w:pPr>
                    <w:widowControl/>
                    <w:adjustRightInd w:val="0"/>
                    <w:snapToGrid w:val="0"/>
                    <w:spacing w:line="240" w:lineRule="auto"/>
                    <w:ind w:left="-120" w:leftChars="-50" w:right="-120" w:rightChars="-50" w:firstLine="0" w:firstLineChars="0"/>
                    <w:jc w:val="center"/>
                    <w:rPr>
                      <w:rFonts w:hint="eastAsia" w:cs="Times New Roman"/>
                      <w:color w:val="auto"/>
                      <w:sz w:val="21"/>
                      <w:szCs w:val="21"/>
                      <w:lang w:val="en-US" w:eastAsia="zh-CN"/>
                    </w:rPr>
                  </w:pPr>
                  <w:r>
                    <w:rPr>
                      <w:rFonts w:hint="eastAsia" w:cs="Times New Roman"/>
                      <w:color w:val="auto"/>
                      <w:sz w:val="21"/>
                      <w:szCs w:val="21"/>
                      <w:lang w:val="en-US" w:eastAsia="zh-CN"/>
                    </w:rPr>
                    <w:t>0.0008</w:t>
                  </w:r>
                </w:p>
              </w:tc>
              <w:tc>
                <w:tcPr>
                  <w:tcW w:w="383" w:type="pct"/>
                  <w:tcBorders>
                    <w:top w:val="single" w:color="auto" w:sz="4" w:space="0"/>
                    <w:left w:val="single" w:color="auto" w:sz="4" w:space="0"/>
                    <w:bottom w:val="single" w:color="auto" w:sz="4" w:space="0"/>
                    <w:right w:val="nil"/>
                  </w:tcBorders>
                  <w:shd w:val="clear" w:color="auto" w:fill="auto"/>
                  <w:vAlign w:val="center"/>
                </w:tcPr>
                <w:p w14:paraId="213F774B">
                  <w:pPr>
                    <w:widowControl w:val="0"/>
                    <w:spacing w:after="0" w:line="240" w:lineRule="auto"/>
                    <w:ind w:left="-120" w:leftChars="-50" w:right="-120" w:rightChars="-50" w:firstLine="0" w:firstLineChars="0"/>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0.002</w:t>
                  </w:r>
                </w:p>
              </w:tc>
              <w:tc>
                <w:tcPr>
                  <w:tcW w:w="567" w:type="pct"/>
                  <w:vAlign w:val="center"/>
                </w:tcPr>
                <w:p w14:paraId="7DC0E5E7">
                  <w:pPr>
                    <w:spacing w:line="240" w:lineRule="auto"/>
                    <w:ind w:firstLine="0" w:firstLineChars="0"/>
                    <w:jc w:val="center"/>
                    <w:rPr>
                      <w:rFonts w:hint="default"/>
                      <w:color w:val="auto"/>
                      <w:kern w:val="0"/>
                      <w:sz w:val="21"/>
                      <w:szCs w:val="21"/>
                      <w:lang w:val="en-US" w:eastAsia="zh-CN"/>
                    </w:rPr>
                  </w:pPr>
                  <w:r>
                    <w:rPr>
                      <w:rFonts w:hint="eastAsia" w:ascii="Times New Roman" w:eastAsia="宋体"/>
                      <w:color w:val="auto"/>
                      <w:kern w:val="0"/>
                      <w:sz w:val="21"/>
                      <w:szCs w:val="21"/>
                      <w:lang w:val="en-US" w:eastAsia="zh-CN"/>
                    </w:rPr>
                    <w:t>0.06</w:t>
                  </w:r>
                </w:p>
              </w:tc>
              <w:tc>
                <w:tcPr>
                  <w:tcW w:w="975" w:type="pct"/>
                  <w:vMerge w:val="continue"/>
                  <w:vAlign w:val="center"/>
                </w:tcPr>
                <w:p w14:paraId="3D329DBA">
                  <w:pPr>
                    <w:spacing w:line="240" w:lineRule="auto"/>
                    <w:ind w:firstLine="0" w:firstLineChars="0"/>
                    <w:jc w:val="center"/>
                    <w:rPr>
                      <w:color w:val="auto"/>
                      <w:kern w:val="0"/>
                      <w:sz w:val="21"/>
                      <w:szCs w:val="21"/>
                    </w:rPr>
                  </w:pPr>
                </w:p>
              </w:tc>
              <w:tc>
                <w:tcPr>
                  <w:tcW w:w="350" w:type="pct"/>
                  <w:vMerge w:val="continue"/>
                  <w:vAlign w:val="center"/>
                </w:tcPr>
                <w:p w14:paraId="22ECA77E">
                  <w:pPr>
                    <w:spacing w:line="240" w:lineRule="auto"/>
                    <w:ind w:firstLine="0" w:firstLineChars="0"/>
                    <w:jc w:val="center"/>
                    <w:rPr>
                      <w:rFonts w:hint="eastAsia"/>
                      <w:color w:val="auto"/>
                      <w:kern w:val="0"/>
                      <w:sz w:val="21"/>
                      <w:szCs w:val="21"/>
                      <w:lang w:eastAsia="zh-CN"/>
                    </w:rPr>
                  </w:pPr>
                </w:p>
              </w:tc>
            </w:tr>
          </w:tbl>
          <w:p w14:paraId="4CB3110C">
            <w:pPr>
              <w:adjustRightInd w:val="0"/>
              <w:spacing w:line="360" w:lineRule="auto"/>
              <w:ind w:firstLine="420" w:firstLineChars="200"/>
              <w:rPr>
                <w:rFonts w:hint="eastAsia"/>
                <w:color w:val="auto"/>
                <w:sz w:val="21"/>
                <w:lang w:val="en-US" w:eastAsia="zh-CN"/>
              </w:rPr>
            </w:pPr>
          </w:p>
          <w:p w14:paraId="0A4FA3B1">
            <w:pPr>
              <w:widowControl w:val="0"/>
              <w:adjustRightInd w:val="0"/>
              <w:snapToGrid w:val="0"/>
              <w:spacing w:line="360" w:lineRule="auto"/>
              <w:ind w:firstLine="480" w:firstLineChars="200"/>
              <w:jc w:val="both"/>
              <w:rPr>
                <w:rFonts w:ascii="Times New Roman" w:hAnsi="Times New Roman" w:eastAsia="Times New Roman" w:cs="Times New Roman"/>
                <w:color w:val="FF0000"/>
                <w:kern w:val="0"/>
                <w:sz w:val="24"/>
                <w:szCs w:val="24"/>
                <w:lang w:val="en-US" w:eastAsia="zh-CN" w:bidi="ar-SA"/>
              </w:rPr>
            </w:pPr>
          </w:p>
        </w:tc>
      </w:tr>
    </w:tbl>
    <w:p w14:paraId="4D2FC5DC">
      <w:pPr>
        <w:adjustRightInd w:val="0"/>
        <w:snapToGrid w:val="0"/>
        <w:spacing w:line="240" w:lineRule="auto"/>
        <w:ind w:firstLine="0" w:firstLineChars="0"/>
        <w:jc w:val="center"/>
        <w:rPr>
          <w:bCs/>
          <w:color w:val="auto"/>
          <w:szCs w:val="21"/>
        </w:rPr>
        <w:sectPr>
          <w:pgSz w:w="16840" w:h="11907" w:orient="landscape"/>
          <w:pgMar w:top="1417" w:right="1587" w:bottom="1417" w:left="1587" w:header="851" w:footer="851" w:gutter="0"/>
          <w:pgBorders>
            <w:top w:val="none" w:sz="0" w:space="0"/>
            <w:left w:val="none" w:sz="0" w:space="0"/>
            <w:bottom w:val="none" w:sz="0" w:space="0"/>
            <w:right w:val="none" w:sz="0" w:space="0"/>
          </w:pgBorders>
          <w:cols w:space="720" w:num="1"/>
          <w:docGrid w:linePitch="312" w:charSpace="0"/>
        </w:sectPr>
      </w:pPr>
    </w:p>
    <w:tbl>
      <w:tblPr>
        <w:tblStyle w:val="34"/>
        <w:tblW w:w="5042"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84"/>
        <w:gridCol w:w="8902"/>
      </w:tblGrid>
      <w:tr w14:paraId="75F534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64" w:hRule="atLeast"/>
          <w:jc w:val="center"/>
        </w:trPr>
        <w:tc>
          <w:tcPr>
            <w:tcW w:w="207" w:type="pct"/>
            <w:tcMar>
              <w:left w:w="28" w:type="dxa"/>
              <w:right w:w="28" w:type="dxa"/>
            </w:tcMar>
            <w:vAlign w:val="center"/>
          </w:tcPr>
          <w:p w14:paraId="47925C5C">
            <w:pPr>
              <w:adjustRightInd w:val="0"/>
              <w:snapToGrid w:val="0"/>
              <w:spacing w:line="240" w:lineRule="auto"/>
              <w:ind w:firstLine="0" w:firstLineChars="0"/>
              <w:jc w:val="center"/>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运营期环境影响和保护措施</w:t>
            </w:r>
          </w:p>
        </w:tc>
        <w:tc>
          <w:tcPr>
            <w:tcW w:w="4792" w:type="pct"/>
          </w:tcPr>
          <w:p w14:paraId="6E35136D">
            <w:pPr>
              <w:numPr>
                <w:ilvl w:val="0"/>
                <w:numId w:val="0"/>
              </w:numPr>
              <w:adjustRightInd w:val="0"/>
              <w:snapToGrid w:val="0"/>
              <w:ind w:leftChars="0"/>
              <w:rPr>
                <w:rFonts w:hint="default" w:ascii="Times New Roman" w:hAnsi="Times New Roman" w:eastAsia="宋体" w:cs="Times New Roman"/>
                <w:b/>
                <w:bCs/>
                <w:color w:val="auto"/>
              </w:rPr>
            </w:pPr>
            <w:r>
              <w:rPr>
                <w:rFonts w:hint="default" w:ascii="Times New Roman" w:hAnsi="Times New Roman" w:eastAsia="宋体" w:cs="Times New Roman"/>
                <w:b/>
                <w:bCs/>
                <w:color w:val="auto"/>
                <w:lang w:val="en-US" w:eastAsia="zh-CN"/>
              </w:rPr>
              <w:t>2.</w:t>
            </w:r>
            <w:r>
              <w:rPr>
                <w:rFonts w:hint="default" w:ascii="Times New Roman" w:hAnsi="Times New Roman" w:eastAsia="宋体" w:cs="Times New Roman"/>
                <w:b/>
                <w:bCs/>
                <w:color w:val="auto"/>
              </w:rPr>
              <w:t>废气源强核算</w:t>
            </w:r>
          </w:p>
          <w:p w14:paraId="32F1CE1A">
            <w:pPr>
              <w:keepNext w:val="0"/>
              <w:keepLines w:val="0"/>
              <w:pageBreakBefore w:val="0"/>
              <w:widowControl w:val="0"/>
              <w:numPr>
                <w:ilvl w:val="0"/>
                <w:numId w:val="0"/>
              </w:numPr>
              <w:kinsoku/>
              <w:wordWrap/>
              <w:overflowPunct/>
              <w:topLinePunct w:val="0"/>
              <w:autoSpaceDE/>
              <w:autoSpaceDN/>
              <w:bidi w:val="0"/>
              <w:adjustRightInd w:val="0"/>
              <w:snapToGrid w:val="0"/>
              <w:ind w:leftChars="0" w:firstLine="482" w:firstLineChars="200"/>
              <w:textAlignment w:val="auto"/>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一、骨料生产线</w:t>
            </w:r>
          </w:p>
          <w:p w14:paraId="72557ED5">
            <w:pPr>
              <w:widowControl w:val="0"/>
              <w:spacing w:line="348" w:lineRule="auto"/>
              <w:ind w:firstLine="482" w:firstLineChars="200"/>
              <w:jc w:val="both"/>
              <w:rPr>
                <w:rFonts w:hint="default" w:ascii="Times New Roman" w:hAnsi="Times New Roman" w:eastAsia="宋体" w:cs="Times New Roman"/>
                <w:b/>
                <w:bCs w:val="0"/>
                <w:color w:val="auto"/>
                <w:kern w:val="2"/>
                <w:sz w:val="24"/>
                <w:szCs w:val="24"/>
                <w:lang w:val="en-US" w:eastAsia="zh-CN" w:bidi="ar-SA"/>
              </w:rPr>
            </w:pPr>
            <w:bookmarkStart w:id="73" w:name="_Hlk176820428"/>
            <w:r>
              <w:rPr>
                <w:rFonts w:hint="default" w:ascii="Times New Roman" w:hAnsi="Times New Roman" w:eastAsia="宋体" w:cs="Times New Roman"/>
                <w:b/>
                <w:bCs w:val="0"/>
                <w:color w:val="auto"/>
                <w:kern w:val="2"/>
                <w:sz w:val="24"/>
                <w:szCs w:val="24"/>
                <w:lang w:val="en-US" w:eastAsia="zh-CN" w:bidi="ar-SA"/>
              </w:rPr>
              <w:t>（1）原料入库粉尘</w:t>
            </w:r>
          </w:p>
          <w:p w14:paraId="23C54FF8">
            <w:pPr>
              <w:keepNext w:val="0"/>
              <w:keepLines w:val="0"/>
              <w:pageBreakBefore w:val="0"/>
              <w:widowControl w:val="0"/>
              <w:tabs>
                <w:tab w:val="left" w:pos="6720"/>
              </w:tabs>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r>
              <w:rPr>
                <w:rFonts w:hint="default" w:ascii="Times New Roman" w:hAnsi="Times New Roman" w:eastAsia="宋体" w:cs="Times New Roman"/>
                <w:bCs/>
                <w:color w:val="auto"/>
                <w:kern w:val="2"/>
                <w:sz w:val="24"/>
                <w:szCs w:val="24"/>
                <w:lang w:val="en-US" w:eastAsia="zh-CN" w:bidi="ar-SA"/>
              </w:rPr>
              <w:t>项目设置</w:t>
            </w:r>
            <w:r>
              <w:rPr>
                <w:rFonts w:hint="default" w:ascii="Times New Roman" w:hAnsi="Times New Roman" w:eastAsia="宋体" w:cs="Times New Roman"/>
                <w:color w:val="auto"/>
                <w:sz w:val="24"/>
              </w:rPr>
              <w:t>一座</w:t>
            </w:r>
            <w:r>
              <w:rPr>
                <w:rFonts w:hint="default" w:ascii="Times New Roman" w:hAnsi="Times New Roman" w:eastAsia="宋体" w:cs="Times New Roman"/>
                <w:color w:val="auto"/>
                <w:sz w:val="24"/>
                <w:lang w:eastAsia="zh-CN"/>
              </w:rPr>
              <w:t>封闭式建筑垃圾存储车间，</w:t>
            </w:r>
            <w:r>
              <w:rPr>
                <w:rFonts w:hint="default" w:ascii="Times New Roman" w:hAnsi="Times New Roman" w:eastAsia="宋体" w:cs="Times New Roman"/>
                <w:bCs/>
                <w:color w:val="auto"/>
                <w:kern w:val="2"/>
                <w:sz w:val="24"/>
                <w:szCs w:val="24"/>
                <w:lang w:val="en-US" w:eastAsia="zh-CN" w:bidi="ar-SA"/>
              </w:rPr>
              <w:t>采用自卸汽车进行建筑垃圾原料进行卸料，参照《逸散性工业粉尘控制技术》，物料装卸过程颗粒物产生量为0.02kg/t。项目年处理建筑垃圾50万吨，则粉尘产生量为10t/a，通过密闭车间、设置喷淋降尘等防尘措施，粉尘控制效率可达到95%，经降尘处理后的无组织粉尘量为0.5t/a，排放速率为0.2kg/h。</w:t>
            </w:r>
          </w:p>
          <w:p w14:paraId="6B65FE0E">
            <w:pPr>
              <w:spacing w:line="360" w:lineRule="auto"/>
              <w:ind w:firstLine="470"/>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（2）给料粉尘</w:t>
            </w:r>
          </w:p>
          <w:p w14:paraId="42B55D8E">
            <w:pPr>
              <w:keepNext w:val="0"/>
              <w:keepLines w:val="0"/>
              <w:pageBreakBefore w:val="0"/>
              <w:widowControl w:val="0"/>
              <w:tabs>
                <w:tab w:val="left" w:pos="6720"/>
              </w:tabs>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Cs/>
                <w:color w:val="auto"/>
                <w:sz w:val="24"/>
                <w:szCs w:val="32"/>
              </w:rPr>
            </w:pPr>
            <w:r>
              <w:rPr>
                <w:rFonts w:hint="default" w:ascii="Times New Roman" w:hAnsi="Times New Roman" w:eastAsia="宋体" w:cs="Times New Roman"/>
                <w:bCs/>
                <w:color w:val="auto"/>
                <w:sz w:val="24"/>
                <w:szCs w:val="32"/>
              </w:rPr>
              <w:t>项目建筑垃圾采用铲车运至</w:t>
            </w:r>
            <w:r>
              <w:rPr>
                <w:rFonts w:hint="default" w:ascii="Times New Roman" w:hAnsi="Times New Roman" w:eastAsia="宋体" w:cs="Times New Roman"/>
                <w:bCs/>
                <w:color w:val="auto"/>
                <w:sz w:val="24"/>
                <w:szCs w:val="32"/>
                <w:lang w:eastAsia="zh-CN"/>
              </w:rPr>
              <w:t>给料</w:t>
            </w:r>
            <w:r>
              <w:rPr>
                <w:rFonts w:hint="default" w:ascii="Times New Roman" w:hAnsi="Times New Roman" w:eastAsia="宋体" w:cs="Times New Roman"/>
                <w:bCs/>
                <w:color w:val="auto"/>
                <w:sz w:val="24"/>
                <w:szCs w:val="32"/>
              </w:rPr>
              <w:t>机，</w:t>
            </w:r>
            <w:r>
              <w:rPr>
                <w:rFonts w:hint="default" w:ascii="Times New Roman" w:hAnsi="Times New Roman" w:eastAsia="宋体" w:cs="Times New Roman"/>
                <w:bCs/>
                <w:color w:val="auto"/>
                <w:sz w:val="24"/>
                <w:szCs w:val="32"/>
                <w:lang w:eastAsia="zh-CN"/>
              </w:rPr>
              <w:t>给料</w:t>
            </w:r>
            <w:r>
              <w:rPr>
                <w:rFonts w:hint="default" w:ascii="Times New Roman" w:hAnsi="Times New Roman" w:eastAsia="宋体" w:cs="Times New Roman"/>
                <w:bCs/>
                <w:color w:val="auto"/>
                <w:sz w:val="24"/>
                <w:szCs w:val="32"/>
              </w:rPr>
              <w:t>过程会有粉尘产生，</w:t>
            </w:r>
            <w:r>
              <w:rPr>
                <w:rFonts w:hint="default" w:ascii="Times New Roman" w:hAnsi="Times New Roman" w:eastAsia="宋体" w:cs="Times New Roman"/>
                <w:bCs/>
                <w:color w:val="auto"/>
                <w:sz w:val="24"/>
                <w:szCs w:val="32"/>
                <w:lang w:val="en-US" w:eastAsia="zh-CN"/>
              </w:rPr>
              <w:t>参照《逸散性工业粉尘控制技术》，给料过程</w:t>
            </w:r>
            <w:r>
              <w:rPr>
                <w:rFonts w:hint="default" w:ascii="Times New Roman" w:hAnsi="Times New Roman" w:eastAsia="宋体" w:cs="Times New Roman"/>
                <w:bCs/>
                <w:color w:val="auto"/>
                <w:sz w:val="24"/>
                <w:szCs w:val="32"/>
              </w:rPr>
              <w:t>颗粒物产生量为0.</w:t>
            </w:r>
            <w:r>
              <w:rPr>
                <w:rFonts w:hint="default" w:ascii="Times New Roman" w:hAnsi="Times New Roman" w:eastAsia="宋体" w:cs="Times New Roman"/>
                <w:bCs/>
                <w:color w:val="auto"/>
                <w:sz w:val="24"/>
                <w:szCs w:val="32"/>
                <w:lang w:val="en-US" w:eastAsia="zh-CN"/>
              </w:rPr>
              <w:t>0</w:t>
            </w:r>
            <w:r>
              <w:rPr>
                <w:rFonts w:hint="default" w:ascii="Times New Roman" w:hAnsi="Times New Roman" w:eastAsia="宋体" w:cs="Times New Roman"/>
                <w:bCs/>
                <w:color w:val="auto"/>
                <w:sz w:val="24"/>
                <w:szCs w:val="32"/>
              </w:rPr>
              <w:t>2kg/t，建筑垃圾量为</w:t>
            </w:r>
            <w:r>
              <w:rPr>
                <w:rFonts w:hint="default" w:ascii="Times New Roman" w:hAnsi="Times New Roman" w:eastAsia="宋体" w:cs="Times New Roman"/>
                <w:bCs/>
                <w:color w:val="auto"/>
                <w:sz w:val="24"/>
                <w:szCs w:val="32"/>
                <w:lang w:val="en-US" w:eastAsia="zh-CN"/>
              </w:rPr>
              <w:t>50万</w:t>
            </w:r>
            <w:r>
              <w:rPr>
                <w:rFonts w:hint="default" w:ascii="Times New Roman" w:hAnsi="Times New Roman" w:eastAsia="宋体" w:cs="Times New Roman"/>
                <w:bCs/>
                <w:color w:val="auto"/>
                <w:sz w:val="24"/>
                <w:szCs w:val="32"/>
              </w:rPr>
              <w:t>t/a，则</w:t>
            </w:r>
            <w:r>
              <w:rPr>
                <w:rFonts w:hint="default" w:ascii="Times New Roman" w:hAnsi="Times New Roman" w:eastAsia="宋体" w:cs="Times New Roman"/>
                <w:bCs/>
                <w:color w:val="auto"/>
                <w:sz w:val="24"/>
                <w:szCs w:val="32"/>
                <w:lang w:eastAsia="zh-CN"/>
              </w:rPr>
              <w:t>给料</w:t>
            </w:r>
            <w:r>
              <w:rPr>
                <w:rFonts w:hint="default" w:ascii="Times New Roman" w:hAnsi="Times New Roman" w:eastAsia="宋体" w:cs="Times New Roman"/>
                <w:bCs/>
                <w:color w:val="auto"/>
                <w:sz w:val="24"/>
                <w:szCs w:val="32"/>
              </w:rPr>
              <w:t>粉尘产生量</w:t>
            </w:r>
            <w:r>
              <w:rPr>
                <w:rFonts w:hint="default" w:ascii="Times New Roman" w:hAnsi="Times New Roman" w:eastAsia="宋体" w:cs="Times New Roman"/>
                <w:bCs/>
                <w:color w:val="auto"/>
                <w:sz w:val="24"/>
                <w:szCs w:val="32"/>
                <w:lang w:val="en-US" w:eastAsia="zh-CN"/>
              </w:rPr>
              <w:t>10.0</w:t>
            </w:r>
            <w:r>
              <w:rPr>
                <w:rFonts w:hint="default" w:ascii="Times New Roman" w:hAnsi="Times New Roman" w:eastAsia="宋体" w:cs="Times New Roman"/>
                <w:bCs/>
                <w:color w:val="auto"/>
                <w:sz w:val="24"/>
                <w:szCs w:val="32"/>
              </w:rPr>
              <w:t>t/a</w:t>
            </w:r>
            <w:r>
              <w:rPr>
                <w:rFonts w:hint="default" w:ascii="Times New Roman" w:hAnsi="Times New Roman" w:eastAsia="宋体" w:cs="Times New Roman"/>
                <w:bCs/>
                <w:color w:val="auto"/>
                <w:sz w:val="24"/>
                <w:szCs w:val="32"/>
                <w:lang w:eastAsia="zh-CN"/>
              </w:rPr>
              <w:t>。拟在给料</w:t>
            </w:r>
            <w:r>
              <w:rPr>
                <w:rFonts w:hint="default" w:ascii="Times New Roman" w:hAnsi="Times New Roman" w:eastAsia="宋体" w:cs="Times New Roman"/>
                <w:bCs/>
                <w:color w:val="auto"/>
                <w:sz w:val="24"/>
                <w:szCs w:val="32"/>
              </w:rPr>
              <w:t>机上方设置</w:t>
            </w:r>
            <w:r>
              <w:rPr>
                <w:rFonts w:hint="default" w:ascii="Times New Roman" w:hAnsi="Times New Roman" w:eastAsia="宋体" w:cs="Times New Roman"/>
                <w:bCs/>
                <w:color w:val="auto"/>
                <w:sz w:val="24"/>
                <w:szCs w:val="32"/>
                <w:lang w:val="en-US" w:eastAsia="zh-CN"/>
              </w:rPr>
              <w:t>集气罩收集，收集效率90%，粉尘收集后同破碎、筛分等废气经一套布袋除尘器处理后通过15m高排气筒（DA001）排放</w:t>
            </w:r>
            <w:r>
              <w:rPr>
                <w:rFonts w:hint="default" w:ascii="Times New Roman" w:hAnsi="Times New Roman" w:eastAsia="宋体" w:cs="Times New Roman"/>
                <w:bCs/>
                <w:color w:val="auto"/>
                <w:sz w:val="24"/>
                <w:szCs w:val="32"/>
              </w:rPr>
              <w:t>。</w:t>
            </w:r>
          </w:p>
          <w:p w14:paraId="52BD02DC">
            <w:pPr>
              <w:keepNext w:val="0"/>
              <w:keepLines w:val="0"/>
              <w:pageBreakBefore w:val="0"/>
              <w:widowControl w:val="0"/>
              <w:tabs>
                <w:tab w:val="left" w:pos="6720"/>
              </w:tabs>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未收集粉尘量为</w:t>
            </w:r>
            <w:r>
              <w:rPr>
                <w:rFonts w:hint="default" w:ascii="Times New Roman" w:hAnsi="Times New Roman" w:eastAsia="宋体" w:cs="Times New Roman"/>
                <w:b w:val="0"/>
                <w:bCs w:val="0"/>
                <w:color w:val="auto"/>
                <w:sz w:val="24"/>
                <w:szCs w:val="24"/>
                <w:lang w:val="en-US" w:eastAsia="zh-CN"/>
              </w:rPr>
              <w:t>0.96</w:t>
            </w:r>
            <w:r>
              <w:rPr>
                <w:rFonts w:hint="default" w:ascii="Times New Roman" w:hAnsi="Times New Roman" w:eastAsia="宋体" w:cs="Times New Roman"/>
                <w:b w:val="0"/>
                <w:bCs w:val="0"/>
                <w:color w:val="auto"/>
                <w:kern w:val="2"/>
                <w:sz w:val="24"/>
                <w:szCs w:val="24"/>
                <w:lang w:val="en-US" w:eastAsia="zh-CN" w:bidi="ar-SA"/>
              </w:rPr>
              <w:t>t/a，通过骨料生产车间密闭生产，并加装喷淋降尘设施，</w:t>
            </w:r>
            <w:r>
              <w:rPr>
                <w:rFonts w:hint="default" w:ascii="Times New Roman" w:hAnsi="Times New Roman" w:eastAsia="宋体" w:cs="Times New Roman"/>
                <w:bCs/>
                <w:color w:val="auto"/>
                <w:kern w:val="2"/>
                <w:sz w:val="24"/>
                <w:szCs w:val="24"/>
                <w:lang w:val="en-US" w:eastAsia="zh-CN" w:bidi="ar-SA"/>
              </w:rPr>
              <w:t>粉尘控制效率可达到95%，经降尘处理后的无组织粉尘量为0.048t/a，排放速率为0.02kg/h。</w:t>
            </w:r>
          </w:p>
          <w:p w14:paraId="0FC0830D">
            <w:pPr>
              <w:spacing w:line="360" w:lineRule="auto"/>
              <w:ind w:firstLine="470"/>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（3）破碎、筛分粉尘</w:t>
            </w:r>
          </w:p>
          <w:p w14:paraId="2C03C852">
            <w:pPr>
              <w:keepNext w:val="0"/>
              <w:keepLines w:val="0"/>
              <w:pageBreakBefore w:val="0"/>
              <w:widowControl w:val="0"/>
              <w:tabs>
                <w:tab w:val="left" w:pos="6720"/>
              </w:tabs>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Cs/>
                <w:color w:val="auto"/>
                <w:sz w:val="24"/>
                <w:szCs w:val="32"/>
              </w:rPr>
            </w:pPr>
            <w:r>
              <w:rPr>
                <w:rFonts w:hint="default" w:ascii="Times New Roman" w:hAnsi="Times New Roman" w:eastAsia="宋体" w:cs="Times New Roman"/>
                <w:bCs/>
                <w:color w:val="auto"/>
                <w:sz w:val="24"/>
                <w:szCs w:val="32"/>
                <w:lang w:eastAsia="zh-CN"/>
              </w:rPr>
              <w:t>建筑垃圾破碎、筛分过程会产生粉尘，</w:t>
            </w:r>
            <w:r>
              <w:rPr>
                <w:rFonts w:hint="default" w:ascii="Times New Roman" w:hAnsi="Times New Roman" w:eastAsia="宋体" w:cs="Times New Roman"/>
                <w:bCs/>
                <w:color w:val="auto"/>
                <w:sz w:val="24"/>
                <w:szCs w:val="32"/>
              </w:rPr>
              <w:t>参考《排放源统计调查产排污核算方法和系数手册》中30</w:t>
            </w:r>
            <w:r>
              <w:rPr>
                <w:rFonts w:hint="default" w:ascii="Times New Roman" w:hAnsi="Times New Roman" w:eastAsia="宋体" w:cs="Times New Roman"/>
                <w:bCs/>
                <w:color w:val="auto"/>
                <w:sz w:val="24"/>
                <w:szCs w:val="32"/>
                <w:lang w:val="en-US" w:eastAsia="zh-CN"/>
              </w:rPr>
              <w:t>39其他建筑材料制造行业</w:t>
            </w:r>
            <w:r>
              <w:rPr>
                <w:rFonts w:hint="default" w:ascii="Times New Roman" w:hAnsi="Times New Roman" w:eastAsia="宋体" w:cs="Times New Roman"/>
                <w:bCs/>
                <w:color w:val="auto"/>
                <w:sz w:val="24"/>
                <w:szCs w:val="32"/>
              </w:rPr>
              <w:t>产排污系数</w:t>
            </w:r>
            <w:r>
              <w:rPr>
                <w:rFonts w:hint="default" w:ascii="Times New Roman" w:hAnsi="Times New Roman" w:eastAsia="宋体" w:cs="Times New Roman"/>
                <w:bCs/>
                <w:color w:val="auto"/>
                <w:sz w:val="24"/>
                <w:szCs w:val="32"/>
                <w:lang w:eastAsia="zh-CN"/>
              </w:rPr>
              <w:t>，建筑固体废弃物破碎、筛分颗粒物产生量为</w:t>
            </w:r>
            <w:r>
              <w:rPr>
                <w:rFonts w:hint="default" w:ascii="Times New Roman" w:hAnsi="Times New Roman" w:eastAsia="宋体" w:cs="Times New Roman"/>
                <w:bCs/>
                <w:color w:val="auto"/>
                <w:sz w:val="24"/>
                <w:szCs w:val="32"/>
                <w:lang w:val="en-US" w:eastAsia="zh-CN"/>
              </w:rPr>
              <w:t>1.89kg/t产品，项目年产骨料量约26.79万吨，则粉尘产生量为506.33t/a，拟在反击式破碎机、振动筛产尘点设置集气罩对废气进行收集，粉尘收集后同给料等废气经一套布袋除尘器处理后通过15m高排气筒（DA001）排放</w:t>
            </w:r>
            <w:r>
              <w:rPr>
                <w:rFonts w:hint="default" w:ascii="Times New Roman" w:hAnsi="Times New Roman" w:eastAsia="宋体" w:cs="Times New Roman"/>
                <w:bCs/>
                <w:color w:val="auto"/>
                <w:sz w:val="24"/>
                <w:szCs w:val="32"/>
              </w:rPr>
              <w:t>。</w:t>
            </w:r>
          </w:p>
          <w:p w14:paraId="59ADBBE7">
            <w:pPr>
              <w:keepNext w:val="0"/>
              <w:keepLines w:val="0"/>
              <w:pageBreakBefore w:val="0"/>
              <w:widowControl w:val="0"/>
              <w:tabs>
                <w:tab w:val="left" w:pos="6720"/>
              </w:tabs>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未收集粉尘量为</w:t>
            </w:r>
            <w:r>
              <w:rPr>
                <w:rFonts w:hint="default" w:ascii="Times New Roman" w:hAnsi="Times New Roman" w:eastAsia="宋体" w:cs="Times New Roman"/>
                <w:b w:val="0"/>
                <w:bCs w:val="0"/>
                <w:color w:val="auto"/>
                <w:sz w:val="24"/>
                <w:szCs w:val="24"/>
                <w:lang w:val="en-US" w:eastAsia="zh-CN"/>
              </w:rPr>
              <w:t>51.63</w:t>
            </w:r>
            <w:r>
              <w:rPr>
                <w:rFonts w:hint="default" w:ascii="Times New Roman" w:hAnsi="Times New Roman" w:eastAsia="宋体" w:cs="Times New Roman"/>
                <w:b w:val="0"/>
                <w:bCs w:val="0"/>
                <w:color w:val="auto"/>
                <w:kern w:val="2"/>
                <w:sz w:val="24"/>
                <w:szCs w:val="24"/>
                <w:lang w:val="en-US" w:eastAsia="zh-CN" w:bidi="ar-SA"/>
              </w:rPr>
              <w:t>t/a，通过车间密闭生产，并加装喷淋降尘设施，</w:t>
            </w:r>
            <w:r>
              <w:rPr>
                <w:rFonts w:hint="default" w:ascii="Times New Roman" w:hAnsi="Times New Roman" w:eastAsia="宋体" w:cs="Times New Roman"/>
                <w:bCs/>
                <w:color w:val="auto"/>
                <w:kern w:val="2"/>
                <w:sz w:val="24"/>
                <w:szCs w:val="24"/>
                <w:lang w:val="en-US" w:eastAsia="zh-CN" w:bidi="ar-SA"/>
              </w:rPr>
              <w:t>粉尘控制效率可达到95%，经降尘处理后的无组织粉尘量为2.58t/a，排放速率为1.01kg/h。</w:t>
            </w:r>
          </w:p>
          <w:p w14:paraId="7E6F401F">
            <w:pPr>
              <w:keepNext w:val="0"/>
              <w:keepLines w:val="0"/>
              <w:pageBreakBefore w:val="0"/>
              <w:widowControl w:val="0"/>
              <w:tabs>
                <w:tab w:val="left" w:pos="3094"/>
              </w:tabs>
              <w:kinsoku/>
              <w:wordWrap/>
              <w:overflowPunct/>
              <w:topLinePunct w:val="0"/>
              <w:autoSpaceDE/>
              <w:autoSpaceDN/>
              <w:bidi w:val="0"/>
              <w:adjustRightInd w:val="0"/>
              <w:snapToGrid w:val="0"/>
              <w:spacing w:before="0" w:line="240" w:lineRule="auto"/>
              <w:ind w:left="0" w:right="0" w:firstLine="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表4-4  原料破碎、筛分生产线废气风量核算一览表</w:t>
            </w:r>
          </w:p>
          <w:tbl>
            <w:tblPr>
              <w:tblStyle w:val="35"/>
              <w:tblW w:w="8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798"/>
              <w:gridCol w:w="808"/>
              <w:gridCol w:w="914"/>
              <w:gridCol w:w="786"/>
              <w:gridCol w:w="677"/>
              <w:gridCol w:w="3505"/>
              <w:gridCol w:w="1360"/>
            </w:tblGrid>
            <w:tr w14:paraId="7B490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9" w:hRule="atLeast"/>
              </w:trPr>
              <w:tc>
                <w:tcPr>
                  <w:tcW w:w="450" w:type="pct"/>
                  <w:noWrap w:val="0"/>
                  <w:vAlign w:val="center"/>
                </w:tcPr>
                <w:p w14:paraId="0CB63E0A">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生产单元</w:t>
                  </w:r>
                </w:p>
              </w:tc>
              <w:tc>
                <w:tcPr>
                  <w:tcW w:w="456" w:type="pct"/>
                  <w:noWrap w:val="0"/>
                  <w:vAlign w:val="center"/>
                </w:tcPr>
                <w:p w14:paraId="1552E65D">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污染源</w:t>
                  </w:r>
                </w:p>
              </w:tc>
              <w:tc>
                <w:tcPr>
                  <w:tcW w:w="516" w:type="pct"/>
                  <w:noWrap w:val="0"/>
                  <w:vAlign w:val="center"/>
                </w:tcPr>
                <w:p w14:paraId="09D81B12">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排气筒编号</w:t>
                  </w:r>
                </w:p>
              </w:tc>
              <w:tc>
                <w:tcPr>
                  <w:tcW w:w="444" w:type="pct"/>
                  <w:noWrap w:val="0"/>
                  <w:vAlign w:val="center"/>
                </w:tcPr>
                <w:p w14:paraId="09664CCA">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排气筒内径（m）</w:t>
                  </w:r>
                </w:p>
              </w:tc>
              <w:tc>
                <w:tcPr>
                  <w:tcW w:w="382" w:type="pct"/>
                  <w:noWrap w:val="0"/>
                  <w:vAlign w:val="center"/>
                </w:tcPr>
                <w:p w14:paraId="0E677BCF">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收集措施</w:t>
                  </w:r>
                </w:p>
              </w:tc>
              <w:tc>
                <w:tcPr>
                  <w:tcW w:w="1980" w:type="pct"/>
                  <w:noWrap w:val="0"/>
                  <w:vAlign w:val="center"/>
                </w:tcPr>
                <w:p w14:paraId="494B6EE4">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风量（m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/h）</w:t>
                  </w:r>
                </w:p>
              </w:tc>
              <w:tc>
                <w:tcPr>
                  <w:tcW w:w="768" w:type="pct"/>
                  <w:noWrap w:val="0"/>
                  <w:vAlign w:val="center"/>
                </w:tcPr>
                <w:p w14:paraId="5A63743B">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处理措施</w:t>
                  </w:r>
                </w:p>
              </w:tc>
            </w:tr>
            <w:tr w14:paraId="0B2D9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2" w:hRule="atLeast"/>
              </w:trPr>
              <w:tc>
                <w:tcPr>
                  <w:tcW w:w="450" w:type="pct"/>
                  <w:vMerge w:val="restart"/>
                  <w:noWrap w:val="0"/>
                  <w:vAlign w:val="center"/>
                </w:tcPr>
                <w:p w14:paraId="10AA01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r>
                    <w:rPr>
                      <w:rFonts w:hint="default" w:ascii="Times New Roman" w:hAnsi="Times New Roman" w:eastAsia="宋体" w:cs="Times New Roman"/>
                      <w:b w:val="0"/>
                      <w:bCs w:val="0"/>
                      <w:color w:val="auto"/>
                      <w:kern w:val="0"/>
                      <w:sz w:val="21"/>
                      <w:szCs w:val="21"/>
                      <w:vertAlign w:val="baseline"/>
                      <w:lang w:val="en-US" w:eastAsia="zh-CN"/>
                    </w:rPr>
                    <w:t>骨料生产车间</w:t>
                  </w:r>
                </w:p>
              </w:tc>
              <w:tc>
                <w:tcPr>
                  <w:tcW w:w="456" w:type="pct"/>
                  <w:noWrap w:val="0"/>
                  <w:vAlign w:val="center"/>
                </w:tcPr>
                <w:p w14:paraId="7ADA83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vertAlign w:val="baseline"/>
                      <w:lang w:val="en-US" w:eastAsia="zh-CN"/>
                    </w:rPr>
                    <w:t>给料</w:t>
                  </w:r>
                </w:p>
              </w:tc>
              <w:tc>
                <w:tcPr>
                  <w:tcW w:w="516" w:type="pct"/>
                  <w:vMerge w:val="restart"/>
                  <w:noWrap w:val="0"/>
                  <w:vAlign w:val="center"/>
                </w:tcPr>
                <w:p w14:paraId="333F83EC">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DA001（15m）</w:t>
                  </w:r>
                </w:p>
              </w:tc>
              <w:tc>
                <w:tcPr>
                  <w:tcW w:w="444" w:type="pct"/>
                  <w:vMerge w:val="restart"/>
                  <w:noWrap w:val="0"/>
                  <w:vAlign w:val="center"/>
                </w:tcPr>
                <w:p w14:paraId="3A53CA66">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382" w:type="pct"/>
                  <w:noWrap w:val="0"/>
                  <w:vAlign w:val="center"/>
                </w:tcPr>
                <w:p w14:paraId="58EBEED1">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集气罩</w:t>
                  </w:r>
                </w:p>
              </w:tc>
              <w:tc>
                <w:tcPr>
                  <w:tcW w:w="1980" w:type="pct"/>
                  <w:noWrap w:val="0"/>
                  <w:vAlign w:val="center"/>
                </w:tcPr>
                <w:p w14:paraId="6C6A97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在</w:t>
                  </w:r>
                  <w:r>
                    <w:rPr>
                      <w:rFonts w:hint="default" w:ascii="Times New Roman" w:hAnsi="Times New Roman" w:eastAsia="宋体" w:cs="Times New Roman"/>
                      <w:color w:val="auto"/>
                      <w:sz w:val="21"/>
                      <w:szCs w:val="21"/>
                      <w:lang w:eastAsia="zh-CN" w:bidi="ar"/>
                    </w:rPr>
                    <w:t>给料口</w:t>
                  </w:r>
                  <w:r>
                    <w:rPr>
                      <w:rFonts w:hint="default" w:ascii="Times New Roman" w:hAnsi="Times New Roman" w:eastAsia="宋体" w:cs="Times New Roman"/>
                      <w:color w:val="auto"/>
                      <w:sz w:val="21"/>
                      <w:szCs w:val="21"/>
                      <w:lang w:bidi="ar"/>
                    </w:rPr>
                    <w:t>上方设置</w:t>
                  </w:r>
                  <w:r>
                    <w:rPr>
                      <w:rFonts w:hint="default" w:ascii="Times New Roman" w:hAnsi="Times New Roman" w:eastAsia="宋体" w:cs="Times New Roman"/>
                      <w:color w:val="auto"/>
                      <w:sz w:val="21"/>
                      <w:szCs w:val="21"/>
                      <w:lang w:val="en-US" w:eastAsia="zh-CN" w:bidi="ar"/>
                    </w:rPr>
                    <w:t>1个</w:t>
                  </w:r>
                  <w:r>
                    <w:rPr>
                      <w:rFonts w:hint="default" w:ascii="Times New Roman" w:hAnsi="Times New Roman" w:eastAsia="宋体" w:cs="Times New Roman"/>
                      <w:color w:val="auto"/>
                      <w:sz w:val="21"/>
                      <w:szCs w:val="21"/>
                      <w:lang w:bidi="ar"/>
                    </w:rPr>
                    <w:t>集气罩</w:t>
                  </w:r>
                  <w:r>
                    <w:rPr>
                      <w:rFonts w:hint="default" w:ascii="Times New Roman" w:hAnsi="Times New Roman" w:eastAsia="宋体" w:cs="Times New Roman"/>
                      <w:color w:val="auto"/>
                      <w:sz w:val="21"/>
                      <w:szCs w:val="21"/>
                      <w:lang w:eastAsia="zh-CN" w:bidi="ar"/>
                    </w:rPr>
                    <w:t>，</w:t>
                  </w:r>
                  <w:r>
                    <w:rPr>
                      <w:rFonts w:hint="default" w:ascii="Times New Roman" w:hAnsi="Times New Roman" w:eastAsia="宋体" w:cs="Times New Roman"/>
                      <w:color w:val="auto"/>
                      <w:sz w:val="21"/>
                      <w:szCs w:val="21"/>
                      <w:lang w:bidi="ar"/>
                    </w:rPr>
                    <w:t>大小为</w:t>
                  </w:r>
                  <w:r>
                    <w:rPr>
                      <w:rFonts w:hint="default" w:ascii="Times New Roman" w:hAnsi="Times New Roman" w:eastAsia="宋体" w:cs="Times New Roman"/>
                      <w:color w:val="auto"/>
                      <w:sz w:val="21"/>
                      <w:szCs w:val="21"/>
                      <w:lang w:val="en-US" w:eastAsia="zh-CN" w:bidi="ar"/>
                    </w:rPr>
                    <w:t>1.5</w:t>
                  </w:r>
                  <w:r>
                    <w:rPr>
                      <w:rFonts w:hint="default" w:ascii="Times New Roman" w:hAnsi="Times New Roman" w:eastAsia="宋体" w:cs="Times New Roman"/>
                      <w:color w:val="auto"/>
                      <w:sz w:val="21"/>
                      <w:szCs w:val="21"/>
                      <w:lang w:bidi="ar"/>
                    </w:rPr>
                    <w:t>m×</w:t>
                  </w:r>
                  <w:r>
                    <w:rPr>
                      <w:rFonts w:hint="default" w:ascii="Times New Roman" w:hAnsi="Times New Roman" w:eastAsia="宋体" w:cs="Times New Roman"/>
                      <w:color w:val="auto"/>
                      <w:sz w:val="21"/>
                      <w:szCs w:val="21"/>
                      <w:lang w:val="en-US" w:eastAsia="zh-CN" w:bidi="ar"/>
                    </w:rPr>
                    <w:t>1.0</w:t>
                  </w:r>
                  <w:r>
                    <w:rPr>
                      <w:rFonts w:hint="default" w:ascii="Times New Roman" w:hAnsi="Times New Roman" w:eastAsia="宋体" w:cs="Times New Roman"/>
                      <w:color w:val="auto"/>
                      <w:sz w:val="21"/>
                      <w:szCs w:val="21"/>
                      <w:lang w:bidi="ar"/>
                    </w:rPr>
                    <w:t>m，</w:t>
                  </w:r>
                  <w:r>
                    <w:rPr>
                      <w:rFonts w:hint="default" w:ascii="Times New Roman" w:hAnsi="Times New Roman" w:eastAsia="宋体" w:cs="Times New Roman"/>
                      <w:color w:val="auto"/>
                      <w:sz w:val="21"/>
                      <w:szCs w:val="21"/>
                      <w:lang w:val="en-US" w:eastAsia="zh-CN" w:bidi="ar"/>
                    </w:rPr>
                    <w:t>参照《排风罩的分类及技术条件》（GB/T16758-2008）、《局部排风设施控 制风速检测与评估技术规范》（AQ/T4274），粉尘收集风速以1.1m/s考虑。集气风量核算方法：集气罩面积（1.5×1.0）×平均风速1.1m/s×3600s=7920m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w:t>
                  </w:r>
                </w:p>
              </w:tc>
              <w:tc>
                <w:tcPr>
                  <w:tcW w:w="768" w:type="pct"/>
                  <w:vMerge w:val="restart"/>
                  <w:noWrap w:val="0"/>
                  <w:vAlign w:val="center"/>
                </w:tcPr>
                <w:p w14:paraId="2EA5856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vertAlign w:val="baseline"/>
                      <w:lang w:val="en-US" w:eastAsia="zh-CN"/>
                    </w:rPr>
                    <w:t>布袋除尘器+15m排气筒DA001，</w:t>
                  </w:r>
                  <w:r>
                    <w:rPr>
                      <w:rFonts w:hint="default" w:ascii="Times New Roman" w:hAnsi="Times New Roman" w:eastAsia="宋体" w:cs="Times New Roman"/>
                      <w:color w:val="auto"/>
                      <w:kern w:val="0"/>
                      <w:sz w:val="21"/>
                      <w:szCs w:val="21"/>
                      <w:lang w:val="en-US" w:eastAsia="zh-CN" w:bidi="ar"/>
                    </w:rPr>
                    <w:t>考虑风量损失，设计风量为25000</w:t>
                  </w:r>
                  <w:r>
                    <w:rPr>
                      <w:rFonts w:hint="default" w:ascii="Times New Roman" w:hAnsi="Times New Roman" w:eastAsia="宋体" w:cs="Times New Roman"/>
                      <w:b w:val="0"/>
                      <w:bCs/>
                      <w:color w:val="auto"/>
                      <w:sz w:val="21"/>
                      <w:szCs w:val="21"/>
                      <w:highlight w:val="none"/>
                      <w:lang w:val="en-US" w:eastAsia="zh-CN"/>
                    </w:rPr>
                    <w:t>m</w:t>
                  </w:r>
                  <w:r>
                    <w:rPr>
                      <w:rFonts w:hint="default" w:ascii="Times New Roman" w:hAnsi="Times New Roman" w:eastAsia="宋体" w:cs="Times New Roman"/>
                      <w:b w:val="0"/>
                      <w:bCs/>
                      <w:color w:val="auto"/>
                      <w:sz w:val="21"/>
                      <w:szCs w:val="21"/>
                      <w:highlight w:val="none"/>
                      <w:vertAlign w:val="superscript"/>
                      <w:lang w:val="en-US" w:eastAsia="zh-CN"/>
                    </w:rPr>
                    <w:t>3</w:t>
                  </w:r>
                  <w:r>
                    <w:rPr>
                      <w:rFonts w:hint="default" w:ascii="Times New Roman" w:hAnsi="Times New Roman" w:eastAsia="宋体" w:cs="Times New Roman"/>
                      <w:color w:val="auto"/>
                      <w:kern w:val="0"/>
                      <w:sz w:val="21"/>
                      <w:szCs w:val="21"/>
                      <w:lang w:val="en-US" w:eastAsia="zh-CN" w:bidi="ar"/>
                    </w:rPr>
                    <w:t xml:space="preserve"> /h</w:t>
                  </w:r>
                </w:p>
              </w:tc>
            </w:tr>
            <w:tr w14:paraId="39690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12" w:hRule="atLeast"/>
              </w:trPr>
              <w:tc>
                <w:tcPr>
                  <w:tcW w:w="450" w:type="pct"/>
                  <w:vMerge w:val="continue"/>
                  <w:noWrap w:val="0"/>
                  <w:vAlign w:val="center"/>
                </w:tcPr>
                <w:p w14:paraId="6FAC548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p>
              </w:tc>
              <w:tc>
                <w:tcPr>
                  <w:tcW w:w="456" w:type="pct"/>
                  <w:noWrap w:val="0"/>
                  <w:vAlign w:val="center"/>
                </w:tcPr>
                <w:p w14:paraId="7246124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default" w:ascii="Times New Roman" w:hAnsi="Times New Roman" w:eastAsia="宋体" w:cs="Times New Roman"/>
                      <w:b w:val="0"/>
                      <w:bCs w:val="0"/>
                      <w:color w:val="auto"/>
                      <w:kern w:val="0"/>
                      <w:sz w:val="21"/>
                      <w:szCs w:val="21"/>
                      <w:vertAlign w:val="baseline"/>
                      <w:lang w:val="en-US" w:eastAsia="zh-CN"/>
                    </w:rPr>
                    <w:t>破碎、筛分</w:t>
                  </w:r>
                </w:p>
              </w:tc>
              <w:tc>
                <w:tcPr>
                  <w:tcW w:w="516" w:type="pct"/>
                  <w:vMerge w:val="continue"/>
                  <w:noWrap w:val="0"/>
                  <w:vAlign w:val="center"/>
                </w:tcPr>
                <w:p w14:paraId="121070B0">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444" w:type="pct"/>
                  <w:vMerge w:val="continue"/>
                  <w:noWrap w:val="0"/>
                  <w:vAlign w:val="center"/>
                </w:tcPr>
                <w:p w14:paraId="09298C6F">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382" w:type="pct"/>
                  <w:noWrap w:val="0"/>
                  <w:vAlign w:val="center"/>
                </w:tcPr>
                <w:p w14:paraId="757152EF">
                  <w:pPr>
                    <w:pStyle w:val="6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集气罩</w:t>
                  </w:r>
                </w:p>
              </w:tc>
              <w:tc>
                <w:tcPr>
                  <w:tcW w:w="1980" w:type="pct"/>
                  <w:noWrap w:val="0"/>
                  <w:vAlign w:val="center"/>
                </w:tcPr>
                <w:p w14:paraId="562DB66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sz w:val="21"/>
                      <w:szCs w:val="21"/>
                      <w:lang w:bidi="ar"/>
                    </w:rPr>
                    <w:t>在</w:t>
                  </w:r>
                  <w:r>
                    <w:rPr>
                      <w:rFonts w:hint="default" w:ascii="Times New Roman" w:hAnsi="Times New Roman" w:eastAsia="宋体" w:cs="Times New Roman"/>
                      <w:color w:val="auto"/>
                      <w:sz w:val="21"/>
                      <w:szCs w:val="21"/>
                      <w:lang w:val="en-US" w:eastAsia="zh-CN" w:bidi="ar"/>
                    </w:rPr>
                    <w:t>破碎机入料口、振动筛</w:t>
                  </w:r>
                  <w:r>
                    <w:rPr>
                      <w:rFonts w:hint="default" w:ascii="Times New Roman" w:hAnsi="Times New Roman" w:eastAsia="宋体" w:cs="Times New Roman"/>
                      <w:color w:val="auto"/>
                      <w:sz w:val="21"/>
                      <w:szCs w:val="21"/>
                      <w:lang w:bidi="ar"/>
                    </w:rPr>
                    <w:t>上方</w:t>
                  </w:r>
                  <w:r>
                    <w:rPr>
                      <w:rFonts w:hint="default" w:ascii="Times New Roman" w:hAnsi="Times New Roman" w:eastAsia="宋体" w:cs="Times New Roman"/>
                      <w:color w:val="auto"/>
                      <w:sz w:val="21"/>
                      <w:szCs w:val="21"/>
                      <w:lang w:val="en-US" w:eastAsia="zh-CN" w:bidi="ar"/>
                    </w:rPr>
                    <w:t>分别</w:t>
                  </w:r>
                  <w:r>
                    <w:rPr>
                      <w:rFonts w:hint="default" w:ascii="Times New Roman" w:hAnsi="Times New Roman" w:eastAsia="宋体" w:cs="Times New Roman"/>
                      <w:color w:val="auto"/>
                      <w:sz w:val="21"/>
                      <w:szCs w:val="21"/>
                      <w:lang w:bidi="ar"/>
                    </w:rPr>
                    <w:t>设置</w:t>
                  </w:r>
                  <w:r>
                    <w:rPr>
                      <w:rFonts w:hint="default" w:ascii="Times New Roman" w:hAnsi="Times New Roman" w:eastAsia="宋体" w:cs="Times New Roman"/>
                      <w:color w:val="auto"/>
                      <w:sz w:val="21"/>
                      <w:szCs w:val="21"/>
                      <w:lang w:val="en-US" w:eastAsia="zh-CN" w:bidi="ar"/>
                    </w:rPr>
                    <w:t>1个</w:t>
                  </w:r>
                  <w:r>
                    <w:rPr>
                      <w:rFonts w:hint="default" w:ascii="Times New Roman" w:hAnsi="Times New Roman" w:eastAsia="宋体" w:cs="Times New Roman"/>
                      <w:color w:val="auto"/>
                      <w:sz w:val="21"/>
                      <w:szCs w:val="21"/>
                      <w:lang w:bidi="ar"/>
                    </w:rPr>
                    <w:t>集气罩</w:t>
                  </w:r>
                  <w:r>
                    <w:rPr>
                      <w:rFonts w:hint="default" w:ascii="Times New Roman" w:hAnsi="Times New Roman" w:eastAsia="宋体" w:cs="Times New Roman"/>
                      <w:color w:val="auto"/>
                      <w:sz w:val="21"/>
                      <w:szCs w:val="21"/>
                      <w:lang w:eastAsia="zh-CN" w:bidi="ar"/>
                    </w:rPr>
                    <w:t>，</w:t>
                  </w:r>
                  <w:r>
                    <w:rPr>
                      <w:rFonts w:hint="default" w:ascii="Times New Roman" w:hAnsi="Times New Roman" w:eastAsia="宋体" w:cs="Times New Roman"/>
                      <w:color w:val="auto"/>
                      <w:sz w:val="21"/>
                      <w:szCs w:val="21"/>
                      <w:lang w:bidi="ar"/>
                    </w:rPr>
                    <w:t>大小为</w:t>
                  </w:r>
                  <w:r>
                    <w:rPr>
                      <w:rFonts w:hint="default" w:ascii="Times New Roman" w:hAnsi="Times New Roman" w:eastAsia="宋体" w:cs="Times New Roman"/>
                      <w:color w:val="auto"/>
                      <w:sz w:val="21"/>
                      <w:szCs w:val="21"/>
                      <w:lang w:val="en-US" w:eastAsia="zh-CN" w:bidi="ar"/>
                    </w:rPr>
                    <w:t>1.5</w:t>
                  </w:r>
                  <w:r>
                    <w:rPr>
                      <w:rFonts w:hint="default" w:ascii="Times New Roman" w:hAnsi="Times New Roman" w:eastAsia="宋体" w:cs="Times New Roman"/>
                      <w:color w:val="auto"/>
                      <w:sz w:val="21"/>
                      <w:szCs w:val="21"/>
                      <w:lang w:bidi="ar"/>
                    </w:rPr>
                    <w:t>m×</w:t>
                  </w:r>
                  <w:r>
                    <w:rPr>
                      <w:rFonts w:hint="default" w:ascii="Times New Roman" w:hAnsi="Times New Roman" w:eastAsia="宋体" w:cs="Times New Roman"/>
                      <w:color w:val="auto"/>
                      <w:sz w:val="21"/>
                      <w:szCs w:val="21"/>
                      <w:lang w:val="en-US" w:eastAsia="zh-CN" w:bidi="ar"/>
                    </w:rPr>
                    <w:t>1.0</w:t>
                  </w:r>
                  <w:r>
                    <w:rPr>
                      <w:rFonts w:hint="default" w:ascii="Times New Roman" w:hAnsi="Times New Roman" w:eastAsia="宋体" w:cs="Times New Roman"/>
                      <w:color w:val="auto"/>
                      <w:sz w:val="21"/>
                      <w:szCs w:val="21"/>
                      <w:lang w:bidi="ar"/>
                    </w:rPr>
                    <w:t>m，</w:t>
                  </w:r>
                  <w:r>
                    <w:rPr>
                      <w:rFonts w:hint="default" w:ascii="Times New Roman" w:hAnsi="Times New Roman" w:eastAsia="宋体" w:cs="Times New Roman"/>
                      <w:color w:val="auto"/>
                      <w:sz w:val="21"/>
                      <w:szCs w:val="21"/>
                      <w:lang w:val="en-US" w:eastAsia="zh-CN" w:bidi="ar"/>
                    </w:rPr>
                    <w:t>参照《排风罩的分类及技术条件》（GB/T16758-2008）、《局部排风设施控 制风速检测与评估技术规范》（AQ/T4274），粉尘收集风速以1.1m/s考虑。集气风量核算方法：集气罩面积（1.5×1.0）×平均风速1.1m/s×3600s=6534m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/h；共设两个集气罩6534m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/h×2=13068m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w:t>
                  </w:r>
                </w:p>
              </w:tc>
              <w:tc>
                <w:tcPr>
                  <w:tcW w:w="768" w:type="pct"/>
                  <w:vMerge w:val="continue"/>
                  <w:noWrap w:val="0"/>
                  <w:vAlign w:val="center"/>
                </w:tcPr>
                <w:p w14:paraId="1BD4888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p>
              </w:tc>
            </w:tr>
          </w:tbl>
          <w:p w14:paraId="052B7CF2">
            <w:pPr>
              <w:spacing w:line="360" w:lineRule="auto"/>
              <w:ind w:firstLine="480"/>
              <w:rPr>
                <w:rFonts w:hint="default" w:ascii="Times New Roman" w:hAnsi="Times New Roman" w:eastAsia="宋体" w:cs="Times New Roman"/>
                <w:b/>
                <w:color w:val="auto"/>
                <w:sz w:val="24"/>
                <w:szCs w:val="32"/>
              </w:rPr>
            </w:pPr>
            <w:r>
              <w:rPr>
                <w:rFonts w:hint="default" w:ascii="Times New Roman" w:hAnsi="Times New Roman" w:eastAsia="宋体" w:cs="Times New Roman"/>
                <w:bCs/>
                <w:color w:val="auto"/>
                <w:sz w:val="24"/>
                <w:szCs w:val="32"/>
                <w:lang w:eastAsia="zh-CN"/>
              </w:rPr>
              <w:t>由上表可知，项目</w:t>
            </w:r>
            <w:r>
              <w:rPr>
                <w:rFonts w:hint="default" w:ascii="Times New Roman" w:hAnsi="Times New Roman" w:eastAsia="宋体" w:cs="Times New Roman"/>
                <w:bCs/>
                <w:color w:val="auto"/>
                <w:sz w:val="24"/>
                <w:szCs w:val="32"/>
                <w:lang w:val="en-US" w:eastAsia="zh-CN"/>
              </w:rPr>
              <w:t>骨料生产</w:t>
            </w:r>
            <w:r>
              <w:rPr>
                <w:rFonts w:hint="default" w:ascii="Times New Roman" w:hAnsi="Times New Roman" w:eastAsia="宋体" w:cs="Times New Roman"/>
                <w:bCs/>
                <w:color w:val="auto"/>
                <w:sz w:val="24"/>
                <w:szCs w:val="32"/>
                <w:lang w:eastAsia="zh-CN"/>
              </w:rPr>
              <w:t>车间废气处理设施风机风量需设计</w:t>
            </w:r>
            <w:r>
              <w:rPr>
                <w:rFonts w:hint="default" w:ascii="Times New Roman" w:hAnsi="Times New Roman" w:eastAsia="宋体" w:cs="Times New Roman"/>
                <w:bCs/>
                <w:color w:val="auto"/>
                <w:sz w:val="24"/>
                <w:szCs w:val="32"/>
                <w:lang w:val="en-US" w:eastAsia="zh-CN"/>
              </w:rPr>
              <w:t>25000</w:t>
            </w:r>
            <w:r>
              <w:rPr>
                <w:rFonts w:hint="default" w:ascii="Times New Roman" w:hAnsi="Times New Roman" w:eastAsia="宋体" w:cs="Times New Roman"/>
                <w:b w:val="0"/>
                <w:bCs/>
                <w:color w:val="auto"/>
                <w:sz w:val="24"/>
                <w:szCs w:val="24"/>
                <w:highlight w:val="none"/>
                <w:lang w:val="en-US" w:eastAsia="zh-CN"/>
              </w:rPr>
              <w:t>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default" w:ascii="Times New Roman" w:hAnsi="Times New Roman" w:eastAsia="宋体" w:cs="Times New Roman"/>
                <w:color w:val="auto"/>
                <w:kern w:val="0"/>
                <w:sz w:val="24"/>
                <w:szCs w:val="24"/>
                <w:lang w:val="en-US" w:eastAsia="zh-CN" w:bidi="ar"/>
              </w:rPr>
              <w:t>/h，</w:t>
            </w:r>
            <w:r>
              <w:rPr>
                <w:rFonts w:hint="default" w:ascii="Times New Roman" w:hAnsi="Times New Roman" w:eastAsia="宋体" w:cs="Times New Roman"/>
                <w:bCs/>
                <w:color w:val="auto"/>
                <w:sz w:val="24"/>
                <w:szCs w:val="32"/>
                <w:lang w:eastAsia="zh-CN"/>
              </w:rPr>
              <w:t>给料口、</w:t>
            </w:r>
            <w:r>
              <w:rPr>
                <w:rFonts w:hint="default" w:ascii="Times New Roman" w:hAnsi="Times New Roman" w:eastAsia="宋体" w:cs="Times New Roman"/>
                <w:bCs/>
                <w:color w:val="auto"/>
                <w:sz w:val="24"/>
                <w:szCs w:val="32"/>
                <w:lang w:val="en-US" w:eastAsia="zh-CN"/>
              </w:rPr>
              <w:t>破碎和筛分</w:t>
            </w:r>
            <w:r>
              <w:rPr>
                <w:rFonts w:hint="default" w:ascii="Times New Roman" w:hAnsi="Times New Roman" w:eastAsia="宋体" w:cs="Times New Roman"/>
                <w:bCs/>
                <w:color w:val="auto"/>
                <w:sz w:val="24"/>
                <w:szCs w:val="32"/>
              </w:rPr>
              <w:t>集气罩收集效率</w:t>
            </w:r>
            <w:r>
              <w:rPr>
                <w:rFonts w:hint="default" w:ascii="Times New Roman" w:hAnsi="Times New Roman" w:eastAsia="宋体" w:cs="Times New Roman"/>
                <w:bCs/>
                <w:color w:val="auto"/>
                <w:sz w:val="24"/>
                <w:szCs w:val="32"/>
                <w:lang w:val="en-US" w:eastAsia="zh-CN"/>
              </w:rPr>
              <w:t>90</w:t>
            </w:r>
            <w:r>
              <w:rPr>
                <w:rFonts w:hint="default" w:ascii="Times New Roman" w:hAnsi="Times New Roman" w:eastAsia="宋体" w:cs="Times New Roman"/>
                <w:bCs/>
                <w:color w:val="auto"/>
                <w:sz w:val="24"/>
                <w:szCs w:val="32"/>
              </w:rPr>
              <w:t>%</w:t>
            </w:r>
            <w:r>
              <w:rPr>
                <w:rFonts w:hint="default" w:ascii="Times New Roman" w:hAnsi="Times New Roman" w:eastAsia="宋体" w:cs="Times New Roman"/>
                <w:bCs/>
                <w:color w:val="auto"/>
                <w:sz w:val="24"/>
                <w:szCs w:val="32"/>
                <w:lang w:val="en-US" w:eastAsia="zh-CN"/>
              </w:rPr>
              <w:t>，</w:t>
            </w:r>
            <w:r>
              <w:rPr>
                <w:rFonts w:hint="default" w:ascii="Times New Roman" w:hAnsi="Times New Roman" w:eastAsia="宋体" w:cs="Times New Roman"/>
                <w:color w:val="auto"/>
                <w:sz w:val="24"/>
                <w:szCs w:val="24"/>
              </w:rPr>
              <w:t>根据</w:t>
            </w:r>
            <w:r>
              <w:rPr>
                <w:rFonts w:hint="default" w:ascii="Times New Roman" w:hAnsi="Times New Roman" w:eastAsia="宋体" w:cs="Times New Roman"/>
                <w:color w:val="auto"/>
                <w:sz w:val="24"/>
                <w:szCs w:val="24"/>
                <w:lang w:eastAsia="zh-CN"/>
              </w:rPr>
              <w:t>布袋</w:t>
            </w:r>
            <w:r>
              <w:rPr>
                <w:rFonts w:hint="default" w:ascii="Times New Roman" w:hAnsi="Times New Roman" w:eastAsia="宋体" w:cs="Times New Roman"/>
                <w:color w:val="auto"/>
                <w:sz w:val="24"/>
                <w:szCs w:val="24"/>
              </w:rPr>
              <w:t>除尘器设计参数，除尘效率可达99%以上</w:t>
            </w:r>
            <w:r>
              <w:rPr>
                <w:rFonts w:hint="default" w:ascii="Times New Roman" w:hAnsi="Times New Roman" w:eastAsia="宋体" w:cs="Times New Roman"/>
                <w:color w:val="auto"/>
                <w:sz w:val="24"/>
                <w:szCs w:val="24"/>
                <w:lang w:eastAsia="zh-CN"/>
              </w:rPr>
              <w:t>（本项目取</w:t>
            </w:r>
            <w:r>
              <w:rPr>
                <w:rFonts w:hint="default" w:ascii="Times New Roman" w:hAnsi="Times New Roman" w:eastAsia="宋体" w:cs="Times New Roman"/>
                <w:color w:val="auto"/>
                <w:sz w:val="24"/>
                <w:szCs w:val="24"/>
                <w:lang w:val="en-US" w:eastAsia="zh-CN"/>
              </w:rPr>
              <w:t>99.5%</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32"/>
              </w:rPr>
              <w:t>，</w:t>
            </w:r>
            <w:r>
              <w:rPr>
                <w:rFonts w:hint="default" w:ascii="Times New Roman" w:hAnsi="Times New Roman" w:eastAsia="宋体" w:cs="Times New Roman"/>
                <w:bCs/>
                <w:color w:val="auto"/>
                <w:sz w:val="24"/>
                <w:szCs w:val="32"/>
                <w:lang w:eastAsia="zh-CN"/>
              </w:rPr>
              <w:t>年工作时间</w:t>
            </w:r>
            <w:r>
              <w:rPr>
                <w:rFonts w:hint="default" w:ascii="Times New Roman" w:hAnsi="Times New Roman" w:eastAsia="宋体" w:cs="Times New Roman"/>
                <w:bCs/>
                <w:color w:val="auto"/>
                <w:sz w:val="24"/>
                <w:szCs w:val="32"/>
                <w:lang w:val="en-US" w:eastAsia="zh-CN"/>
              </w:rPr>
              <w:t>2560h，</w:t>
            </w:r>
            <w:r>
              <w:rPr>
                <w:rFonts w:hint="default" w:ascii="Times New Roman" w:hAnsi="Times New Roman" w:eastAsia="宋体" w:cs="Times New Roman"/>
                <w:bCs/>
                <w:color w:val="auto"/>
                <w:sz w:val="24"/>
                <w:szCs w:val="32"/>
                <w:lang w:eastAsia="zh-CN"/>
              </w:rPr>
              <w:t>则</w:t>
            </w:r>
            <w:r>
              <w:rPr>
                <w:rFonts w:hint="default" w:ascii="Times New Roman" w:hAnsi="Times New Roman" w:eastAsia="宋体" w:cs="Times New Roman"/>
                <w:bCs/>
                <w:color w:val="auto"/>
                <w:sz w:val="24"/>
                <w:szCs w:val="32"/>
                <w:lang w:val="en-US" w:eastAsia="zh-CN"/>
              </w:rPr>
              <w:t>给料、破碎、筛分</w:t>
            </w:r>
            <w:r>
              <w:rPr>
                <w:rFonts w:hint="default" w:ascii="Times New Roman" w:hAnsi="Times New Roman" w:eastAsia="宋体" w:cs="Times New Roman"/>
                <w:bCs/>
                <w:color w:val="auto"/>
                <w:sz w:val="24"/>
                <w:szCs w:val="32"/>
                <w:lang w:eastAsia="zh-CN"/>
              </w:rPr>
              <w:t>过程有组织粉尘排放量为</w:t>
            </w:r>
            <w:r>
              <w:rPr>
                <w:rFonts w:hint="default" w:ascii="Times New Roman" w:hAnsi="Times New Roman" w:eastAsia="宋体" w:cs="Times New Roman"/>
                <w:bCs/>
                <w:color w:val="auto"/>
                <w:sz w:val="24"/>
                <w:szCs w:val="32"/>
                <w:lang w:val="en-US" w:eastAsia="zh-CN"/>
              </w:rPr>
              <w:t>2.32t/a，排放速率为0.91kg/h，排放浓度为36.3mg/m</w:t>
            </w:r>
            <w:r>
              <w:rPr>
                <w:rFonts w:hint="default" w:ascii="Times New Roman" w:hAnsi="Times New Roman" w:eastAsia="宋体" w:cs="Times New Roman"/>
                <w:bCs/>
                <w:color w:val="auto"/>
                <w:sz w:val="24"/>
                <w:szCs w:val="32"/>
                <w:vertAlign w:val="superscript"/>
                <w:lang w:val="en-US" w:eastAsia="zh-CN"/>
              </w:rPr>
              <w:t>3</w:t>
            </w:r>
            <w:r>
              <w:rPr>
                <w:rFonts w:hint="default" w:ascii="Times New Roman" w:hAnsi="Times New Roman" w:eastAsia="宋体" w:cs="Times New Roman"/>
                <w:bCs/>
                <w:color w:val="auto"/>
                <w:sz w:val="24"/>
                <w:szCs w:val="32"/>
              </w:rPr>
              <w:t>。</w:t>
            </w:r>
          </w:p>
          <w:p w14:paraId="5DB8DEA0">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二、水稳生产线</w:t>
            </w:r>
          </w:p>
          <w:p w14:paraId="10DD0AB6">
            <w:pPr>
              <w:widowControl w:val="0"/>
              <w:spacing w:line="348" w:lineRule="auto"/>
              <w:ind w:firstLine="482" w:firstLineChars="200"/>
              <w:jc w:val="both"/>
              <w:rPr>
                <w:rFonts w:hint="default" w:ascii="Times New Roman" w:hAnsi="Times New Roman" w:eastAsia="宋体" w:cs="Times New Roman"/>
                <w:b/>
                <w:bCs w:val="0"/>
                <w:color w:val="auto"/>
                <w:kern w:val="2"/>
                <w:sz w:val="24"/>
                <w:szCs w:val="24"/>
                <w:lang w:val="en-US" w:eastAsia="zh-CN" w:bidi="ar-SA"/>
              </w:rPr>
            </w:pPr>
            <w:r>
              <w:rPr>
                <w:rFonts w:hint="default" w:ascii="Times New Roman" w:hAnsi="Times New Roman" w:eastAsia="宋体" w:cs="Times New Roman"/>
                <w:b/>
                <w:bCs w:val="0"/>
                <w:color w:val="auto"/>
                <w:kern w:val="2"/>
                <w:sz w:val="24"/>
                <w:szCs w:val="24"/>
                <w:lang w:val="en-US" w:eastAsia="zh-CN" w:bidi="ar-SA"/>
              </w:rPr>
              <w:t>（1）骨料入库粉尘</w:t>
            </w:r>
          </w:p>
          <w:p w14:paraId="2BFA9EEA">
            <w:pPr>
              <w:keepNext w:val="0"/>
              <w:keepLines w:val="0"/>
              <w:pageBreakBefore w:val="0"/>
              <w:widowControl w:val="0"/>
              <w:tabs>
                <w:tab w:val="left" w:pos="6720"/>
              </w:tabs>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r>
              <w:rPr>
                <w:rFonts w:hint="default" w:ascii="Times New Roman" w:hAnsi="Times New Roman" w:eastAsia="宋体" w:cs="Times New Roman"/>
                <w:bCs/>
                <w:color w:val="auto"/>
                <w:kern w:val="2"/>
                <w:sz w:val="24"/>
                <w:szCs w:val="24"/>
                <w:lang w:val="en-US" w:eastAsia="zh-CN" w:bidi="ar-SA"/>
              </w:rPr>
              <w:t>项目设置</w:t>
            </w:r>
            <w:r>
              <w:rPr>
                <w:rFonts w:hint="default" w:ascii="Times New Roman" w:hAnsi="Times New Roman" w:eastAsia="宋体" w:cs="Times New Roman"/>
                <w:color w:val="auto"/>
                <w:sz w:val="24"/>
              </w:rPr>
              <w:t>一座</w:t>
            </w:r>
            <w:r>
              <w:rPr>
                <w:rFonts w:hint="default" w:ascii="Times New Roman" w:hAnsi="Times New Roman" w:eastAsia="宋体" w:cs="Times New Roman"/>
                <w:color w:val="auto"/>
                <w:sz w:val="24"/>
                <w:lang w:eastAsia="zh-CN"/>
              </w:rPr>
              <w:t>封闭式骨料仓库，骨料生产线生产的骨料经铲车进行装卸入库，</w:t>
            </w:r>
            <w:r>
              <w:rPr>
                <w:rFonts w:hint="default" w:ascii="Times New Roman" w:hAnsi="Times New Roman" w:eastAsia="宋体" w:cs="Times New Roman"/>
                <w:bCs/>
                <w:color w:val="auto"/>
                <w:kern w:val="2"/>
                <w:sz w:val="24"/>
                <w:szCs w:val="24"/>
                <w:lang w:val="en-US" w:eastAsia="zh-CN" w:bidi="ar-SA"/>
              </w:rPr>
              <w:t>参照《逸散性工业粉尘控制技术》，物料装卸过程颗粒物产生量为0.02kg/t。项目年产骨料量约26.79万吨，则粉尘产生量为5.36t/a，通过密闭车间、设置喷淋降尘等防尘措施，粉尘控制效率可达到95%，经降尘处理后的无组织粉尘量为0.268t/a，排放速率为0.105kg/h。</w:t>
            </w:r>
          </w:p>
          <w:p w14:paraId="5BDFAD4A">
            <w:pPr>
              <w:keepNext w:val="0"/>
              <w:keepLines w:val="0"/>
              <w:pageBreakBefore w:val="0"/>
              <w:widowControl w:val="0"/>
              <w:kinsoku/>
              <w:wordWrap/>
              <w:overflowPunct/>
              <w:topLinePunct w:val="0"/>
              <w:autoSpaceDE/>
              <w:autoSpaceDN/>
              <w:bidi w:val="0"/>
              <w:adjustRightInd/>
              <w:spacing w:line="360" w:lineRule="auto"/>
              <w:ind w:firstLine="482" w:firstLineChars="200"/>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（2）投料、搅拌粉尘</w:t>
            </w:r>
          </w:p>
          <w:p w14:paraId="1F79C971">
            <w:pPr>
              <w:adjustRightInd w:val="0"/>
              <w:snapToGrid w:val="0"/>
              <w:spacing w:line="360" w:lineRule="auto"/>
              <w:ind w:firstLine="480"/>
              <w:rPr>
                <w:rFonts w:hint="default" w:ascii="Times New Roman" w:hAnsi="Times New Roman" w:eastAsia="宋体" w:cs="Times New Roman"/>
                <w:bCs/>
                <w:color w:val="auto"/>
                <w:sz w:val="24"/>
                <w:szCs w:val="32"/>
                <w:highlight w:val="yellow"/>
              </w:rPr>
            </w:pPr>
            <w:r>
              <w:rPr>
                <w:rFonts w:hint="default" w:ascii="Times New Roman" w:hAnsi="Times New Roman" w:eastAsia="宋体" w:cs="Times New Roman"/>
                <w:bCs/>
                <w:color w:val="auto"/>
                <w:sz w:val="24"/>
                <w:szCs w:val="32"/>
              </w:rPr>
              <w:t>本项目水稳</w:t>
            </w:r>
            <w:r>
              <w:rPr>
                <w:rFonts w:hint="default" w:ascii="Times New Roman" w:hAnsi="Times New Roman" w:eastAsia="宋体" w:cs="Times New Roman"/>
                <w:bCs/>
                <w:color w:val="auto"/>
                <w:sz w:val="24"/>
                <w:szCs w:val="32"/>
                <w:lang w:eastAsia="zh-CN"/>
              </w:rPr>
              <w:t>生产线</w:t>
            </w:r>
            <w:r>
              <w:rPr>
                <w:rFonts w:hint="default" w:ascii="Times New Roman" w:hAnsi="Times New Roman" w:eastAsia="宋体" w:cs="Times New Roman"/>
                <w:bCs/>
                <w:color w:val="auto"/>
                <w:sz w:val="24"/>
                <w:szCs w:val="32"/>
              </w:rPr>
              <w:t>设置一套搅拌系统以及三个</w:t>
            </w:r>
            <w:r>
              <w:rPr>
                <w:rFonts w:hint="default" w:ascii="Times New Roman" w:hAnsi="Times New Roman" w:eastAsia="宋体" w:cs="Times New Roman"/>
                <w:color w:val="auto"/>
                <w:sz w:val="24"/>
                <w:lang w:eastAsia="zh-CN"/>
              </w:rPr>
              <w:t>投料</w:t>
            </w:r>
            <w:r>
              <w:rPr>
                <w:rFonts w:hint="default" w:ascii="Times New Roman" w:hAnsi="Times New Roman" w:eastAsia="宋体" w:cs="Times New Roman"/>
                <w:bCs/>
                <w:color w:val="auto"/>
                <w:sz w:val="24"/>
                <w:szCs w:val="32"/>
                <w:lang w:eastAsia="zh-CN"/>
              </w:rPr>
              <w:t>口</w:t>
            </w:r>
            <w:r>
              <w:rPr>
                <w:rFonts w:hint="default" w:ascii="Times New Roman" w:hAnsi="Times New Roman" w:eastAsia="宋体" w:cs="Times New Roman"/>
                <w:bCs/>
                <w:color w:val="auto"/>
                <w:sz w:val="24"/>
                <w:szCs w:val="32"/>
              </w:rPr>
              <w:t>（</w:t>
            </w:r>
            <w:r>
              <w:rPr>
                <w:rFonts w:hint="default" w:ascii="Times New Roman" w:hAnsi="Times New Roman" w:eastAsia="宋体" w:cs="Times New Roman"/>
                <w:bCs/>
                <w:color w:val="auto"/>
                <w:sz w:val="24"/>
                <w:szCs w:val="32"/>
                <w:lang w:val="en-US" w:eastAsia="zh-CN"/>
              </w:rPr>
              <w:t>3种规格骨料</w:t>
            </w:r>
            <w:r>
              <w:rPr>
                <w:rFonts w:hint="default" w:ascii="Times New Roman" w:hAnsi="Times New Roman" w:eastAsia="宋体" w:cs="Times New Roman"/>
                <w:bCs/>
                <w:color w:val="auto"/>
                <w:sz w:val="24"/>
                <w:szCs w:val="32"/>
              </w:rPr>
              <w:t>）</w:t>
            </w:r>
            <w:r>
              <w:rPr>
                <w:rFonts w:hint="default" w:ascii="Times New Roman" w:hAnsi="Times New Roman" w:eastAsia="宋体" w:cs="Times New Roman"/>
                <w:bCs/>
                <w:color w:val="auto"/>
                <w:sz w:val="24"/>
                <w:szCs w:val="32"/>
                <w:lang w:eastAsia="zh-CN"/>
              </w:rPr>
              <w:t>，计量</w:t>
            </w:r>
            <w:r>
              <w:rPr>
                <w:rFonts w:hint="default" w:ascii="Times New Roman" w:hAnsi="Times New Roman" w:eastAsia="宋体" w:cs="Times New Roman"/>
                <w:color w:val="auto"/>
                <w:sz w:val="24"/>
                <w:lang w:eastAsia="zh-CN"/>
              </w:rPr>
              <w:t>投料</w:t>
            </w:r>
            <w:r>
              <w:rPr>
                <w:rFonts w:hint="default" w:ascii="Times New Roman" w:hAnsi="Times New Roman" w:eastAsia="宋体" w:cs="Times New Roman"/>
                <w:bCs/>
                <w:color w:val="auto"/>
                <w:sz w:val="24"/>
                <w:szCs w:val="32"/>
                <w:lang w:eastAsia="zh-CN"/>
              </w:rPr>
              <w:t>、物料输送及</w:t>
            </w:r>
            <w:r>
              <w:rPr>
                <w:rFonts w:hint="default" w:ascii="Times New Roman" w:hAnsi="Times New Roman" w:eastAsia="宋体" w:cs="Times New Roman"/>
                <w:bCs/>
                <w:color w:val="auto"/>
                <w:sz w:val="24"/>
                <w:szCs w:val="32"/>
              </w:rPr>
              <w:t>混合搅拌过程会有粉尘产生；参考《排放源统计调查产排污核算方法和系数手册》中3021水泥制品制造产排污系数，物料输送储存颗粒物产生量为0.12kg/t产品，物料混合搅拌颗粒物产生量为0.13kg/t产品，水稳</w:t>
            </w:r>
            <w:r>
              <w:rPr>
                <w:rFonts w:hint="default" w:ascii="Times New Roman" w:hAnsi="Times New Roman" w:eastAsia="宋体" w:cs="Times New Roman"/>
                <w:bCs/>
                <w:color w:val="auto"/>
                <w:sz w:val="24"/>
                <w:szCs w:val="32"/>
                <w:lang w:eastAsia="zh-CN"/>
              </w:rPr>
              <w:t>材料</w:t>
            </w:r>
            <w:r>
              <w:rPr>
                <w:rFonts w:hint="default" w:ascii="Times New Roman" w:hAnsi="Times New Roman" w:eastAsia="宋体" w:cs="Times New Roman"/>
                <w:bCs/>
                <w:color w:val="auto"/>
                <w:sz w:val="24"/>
                <w:szCs w:val="32"/>
                <w:lang w:val="en-US" w:eastAsia="zh-CN"/>
              </w:rPr>
              <w:t>年产量30万</w:t>
            </w:r>
            <w:r>
              <w:rPr>
                <w:rFonts w:hint="default" w:ascii="Times New Roman" w:hAnsi="Times New Roman" w:eastAsia="宋体" w:cs="Times New Roman"/>
                <w:bCs/>
                <w:color w:val="auto"/>
                <w:sz w:val="24"/>
                <w:szCs w:val="32"/>
              </w:rPr>
              <w:t>吨/a，</w:t>
            </w:r>
            <w:r>
              <w:rPr>
                <w:rFonts w:hint="default" w:ascii="Times New Roman" w:hAnsi="Times New Roman" w:eastAsia="宋体" w:cs="Times New Roman"/>
                <w:bCs/>
                <w:color w:val="auto"/>
                <w:sz w:val="24"/>
                <w:szCs w:val="32"/>
                <w:highlight w:val="none"/>
              </w:rPr>
              <w:t>则</w:t>
            </w:r>
            <w:r>
              <w:rPr>
                <w:rFonts w:hint="default" w:ascii="Times New Roman" w:hAnsi="Times New Roman" w:eastAsia="宋体" w:cs="Times New Roman"/>
                <w:color w:val="auto"/>
                <w:sz w:val="24"/>
                <w:lang w:eastAsia="zh-CN"/>
              </w:rPr>
              <w:t>投料</w:t>
            </w:r>
            <w:r>
              <w:rPr>
                <w:rFonts w:hint="default" w:ascii="Times New Roman" w:hAnsi="Times New Roman" w:eastAsia="宋体" w:cs="Times New Roman"/>
                <w:bCs/>
                <w:color w:val="auto"/>
                <w:sz w:val="24"/>
                <w:szCs w:val="32"/>
                <w:highlight w:val="none"/>
              </w:rPr>
              <w:t>粉尘</w:t>
            </w:r>
            <w:r>
              <w:rPr>
                <w:rFonts w:hint="default" w:ascii="Times New Roman" w:hAnsi="Times New Roman" w:eastAsia="宋体" w:cs="Times New Roman"/>
                <w:bCs/>
                <w:color w:val="auto"/>
                <w:sz w:val="24"/>
                <w:szCs w:val="32"/>
                <w:highlight w:val="none"/>
                <w:lang w:eastAsia="zh-CN"/>
              </w:rPr>
              <w:t>产生</w:t>
            </w:r>
            <w:r>
              <w:rPr>
                <w:rFonts w:hint="default" w:ascii="Times New Roman" w:hAnsi="Times New Roman" w:eastAsia="宋体" w:cs="Times New Roman"/>
                <w:bCs/>
                <w:color w:val="auto"/>
                <w:sz w:val="24"/>
                <w:szCs w:val="32"/>
                <w:highlight w:val="none"/>
              </w:rPr>
              <w:t>量为</w:t>
            </w:r>
            <w:r>
              <w:rPr>
                <w:rFonts w:hint="default" w:ascii="Times New Roman" w:hAnsi="Times New Roman" w:eastAsia="宋体" w:cs="Times New Roman"/>
                <w:bCs/>
                <w:color w:val="auto"/>
                <w:sz w:val="24"/>
                <w:szCs w:val="32"/>
                <w:highlight w:val="none"/>
                <w:lang w:val="en-US" w:eastAsia="zh-CN"/>
              </w:rPr>
              <w:t>36</w:t>
            </w:r>
            <w:r>
              <w:rPr>
                <w:rFonts w:hint="default" w:ascii="Times New Roman" w:hAnsi="Times New Roman" w:eastAsia="宋体" w:cs="Times New Roman"/>
                <w:bCs/>
                <w:color w:val="auto"/>
                <w:sz w:val="24"/>
                <w:szCs w:val="32"/>
                <w:highlight w:val="none"/>
              </w:rPr>
              <w:t>t/a</w:t>
            </w:r>
            <w:r>
              <w:rPr>
                <w:rFonts w:hint="default" w:ascii="Times New Roman" w:hAnsi="Times New Roman" w:eastAsia="宋体" w:cs="Times New Roman"/>
                <w:bCs/>
                <w:color w:val="auto"/>
                <w:sz w:val="24"/>
                <w:szCs w:val="32"/>
                <w:highlight w:val="none"/>
                <w:lang w:eastAsia="zh-CN"/>
              </w:rPr>
              <w:t>，搅拌粉尘产生量为</w:t>
            </w:r>
            <w:r>
              <w:rPr>
                <w:rFonts w:hint="default" w:ascii="Times New Roman" w:hAnsi="Times New Roman" w:eastAsia="宋体" w:cs="Times New Roman"/>
                <w:bCs/>
                <w:color w:val="auto"/>
                <w:sz w:val="24"/>
                <w:szCs w:val="32"/>
                <w:highlight w:val="none"/>
                <w:lang w:val="en-US" w:eastAsia="zh-CN"/>
              </w:rPr>
              <w:t>39t/a</w:t>
            </w:r>
            <w:r>
              <w:rPr>
                <w:rFonts w:hint="default" w:ascii="Times New Roman" w:hAnsi="Times New Roman" w:eastAsia="宋体" w:cs="Times New Roman"/>
                <w:bCs/>
                <w:color w:val="auto"/>
                <w:sz w:val="24"/>
                <w:szCs w:val="32"/>
                <w:highlight w:val="none"/>
              </w:rPr>
              <w:t>。</w:t>
            </w:r>
          </w:p>
          <w:p w14:paraId="18B2676E">
            <w:pPr>
              <w:adjustRightInd w:val="0"/>
              <w:snapToGrid w:val="0"/>
              <w:spacing w:line="360" w:lineRule="auto"/>
              <w:ind w:firstLine="480"/>
              <w:rPr>
                <w:rFonts w:hint="default" w:ascii="Times New Roman" w:hAnsi="Times New Roman" w:eastAsia="宋体" w:cs="Times New Roman"/>
                <w:bCs/>
                <w:color w:val="auto"/>
                <w:sz w:val="21"/>
                <w:szCs w:val="24"/>
              </w:rPr>
            </w:pPr>
            <w:r>
              <w:rPr>
                <w:rFonts w:hint="default" w:ascii="Times New Roman" w:hAnsi="Times New Roman" w:eastAsia="宋体" w:cs="Times New Roman"/>
                <w:bCs/>
                <w:color w:val="auto"/>
                <w:sz w:val="24"/>
                <w:szCs w:val="32"/>
              </w:rPr>
              <w:t>各</w:t>
            </w:r>
            <w:r>
              <w:rPr>
                <w:rFonts w:hint="default" w:ascii="Times New Roman" w:hAnsi="Times New Roman" w:eastAsia="宋体" w:cs="Times New Roman"/>
                <w:color w:val="auto"/>
                <w:sz w:val="24"/>
                <w:lang w:eastAsia="zh-CN"/>
              </w:rPr>
              <w:t>投料</w:t>
            </w:r>
            <w:r>
              <w:rPr>
                <w:rFonts w:hint="default" w:ascii="Times New Roman" w:hAnsi="Times New Roman" w:eastAsia="宋体" w:cs="Times New Roman"/>
                <w:bCs/>
                <w:color w:val="auto"/>
                <w:sz w:val="24"/>
                <w:szCs w:val="32"/>
              </w:rPr>
              <w:t>斗上方设置集气罩，搅拌机为密闭立式搅拌机，搅拌粉尘通过密闭管道和集气罩收集</w:t>
            </w:r>
            <w:r>
              <w:rPr>
                <w:rFonts w:hint="default" w:ascii="Times New Roman" w:hAnsi="Times New Roman" w:eastAsia="宋体" w:cs="Times New Roman"/>
                <w:bCs/>
                <w:color w:val="auto"/>
                <w:sz w:val="24"/>
                <w:szCs w:val="32"/>
                <w:lang w:eastAsia="zh-CN"/>
              </w:rPr>
              <w:t>，</w:t>
            </w:r>
            <w:r>
              <w:rPr>
                <w:rFonts w:hint="default" w:ascii="Times New Roman" w:hAnsi="Times New Roman" w:eastAsia="宋体" w:cs="Times New Roman"/>
                <w:bCs/>
                <w:color w:val="auto"/>
                <w:sz w:val="24"/>
                <w:szCs w:val="32"/>
                <w:lang w:val="en-US" w:eastAsia="zh-CN"/>
              </w:rPr>
              <w:t>收集效率90%，</w:t>
            </w:r>
            <w:r>
              <w:rPr>
                <w:rFonts w:hint="default" w:ascii="Times New Roman" w:hAnsi="Times New Roman" w:eastAsia="宋体" w:cs="Times New Roman"/>
                <w:bCs/>
                <w:color w:val="auto"/>
                <w:sz w:val="24"/>
                <w:szCs w:val="32"/>
              </w:rPr>
              <w:t>粉尘通过一套布袋除尘器处理后通过15m高排气筒（DA002）排放。</w:t>
            </w:r>
          </w:p>
          <w:p w14:paraId="0341F75D">
            <w:pPr>
              <w:keepNext w:val="0"/>
              <w:keepLines w:val="0"/>
              <w:pageBreakBefore w:val="0"/>
              <w:widowControl w:val="0"/>
              <w:tabs>
                <w:tab w:val="left" w:pos="3094"/>
              </w:tabs>
              <w:kinsoku/>
              <w:wordWrap/>
              <w:overflowPunct/>
              <w:topLinePunct w:val="0"/>
              <w:autoSpaceDE/>
              <w:autoSpaceDN/>
              <w:bidi w:val="0"/>
              <w:adjustRightInd w:val="0"/>
              <w:snapToGrid w:val="0"/>
              <w:spacing w:before="0" w:line="240" w:lineRule="auto"/>
              <w:ind w:left="0" w:right="0" w:firstLine="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表4-5  水稳材料生产车间废气风量核算一览表</w:t>
            </w:r>
          </w:p>
          <w:tbl>
            <w:tblPr>
              <w:tblStyle w:val="35"/>
              <w:tblW w:w="8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791"/>
              <w:gridCol w:w="800"/>
              <w:gridCol w:w="797"/>
              <w:gridCol w:w="809"/>
              <w:gridCol w:w="795"/>
              <w:gridCol w:w="3500"/>
              <w:gridCol w:w="1356"/>
            </w:tblGrid>
            <w:tr w14:paraId="1C9BC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9" w:hRule="atLeast"/>
              </w:trPr>
              <w:tc>
                <w:tcPr>
                  <w:tcW w:w="447" w:type="pct"/>
                  <w:noWrap w:val="0"/>
                  <w:vAlign w:val="center"/>
                </w:tcPr>
                <w:p w14:paraId="7CCBC9CA">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生产单元</w:t>
                  </w:r>
                </w:p>
              </w:tc>
              <w:tc>
                <w:tcPr>
                  <w:tcW w:w="452" w:type="pct"/>
                  <w:noWrap w:val="0"/>
                  <w:vAlign w:val="center"/>
                </w:tcPr>
                <w:p w14:paraId="290A966E">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污染源</w:t>
                  </w:r>
                </w:p>
              </w:tc>
              <w:tc>
                <w:tcPr>
                  <w:tcW w:w="450" w:type="pct"/>
                  <w:noWrap w:val="0"/>
                  <w:vAlign w:val="center"/>
                </w:tcPr>
                <w:p w14:paraId="3154284B">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排气筒编号</w:t>
                  </w:r>
                </w:p>
              </w:tc>
              <w:tc>
                <w:tcPr>
                  <w:tcW w:w="457" w:type="pct"/>
                  <w:noWrap w:val="0"/>
                  <w:vAlign w:val="center"/>
                </w:tcPr>
                <w:p w14:paraId="0E91C59A">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排气筒内径（m）</w:t>
                  </w:r>
                </w:p>
              </w:tc>
              <w:tc>
                <w:tcPr>
                  <w:tcW w:w="449" w:type="pct"/>
                  <w:noWrap w:val="0"/>
                  <w:vAlign w:val="center"/>
                </w:tcPr>
                <w:p w14:paraId="040B6D74">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收集措施</w:t>
                  </w:r>
                </w:p>
              </w:tc>
              <w:tc>
                <w:tcPr>
                  <w:tcW w:w="1977" w:type="pct"/>
                  <w:noWrap w:val="0"/>
                  <w:vAlign w:val="center"/>
                </w:tcPr>
                <w:p w14:paraId="4D92B0BF">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风量（m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/h）</w:t>
                  </w:r>
                </w:p>
              </w:tc>
              <w:tc>
                <w:tcPr>
                  <w:tcW w:w="765" w:type="pct"/>
                  <w:noWrap w:val="0"/>
                  <w:vAlign w:val="center"/>
                </w:tcPr>
                <w:p w14:paraId="54213E81">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处理措施</w:t>
                  </w:r>
                </w:p>
              </w:tc>
            </w:tr>
            <w:tr w14:paraId="06B70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2" w:hRule="atLeast"/>
              </w:trPr>
              <w:tc>
                <w:tcPr>
                  <w:tcW w:w="447" w:type="pct"/>
                  <w:vMerge w:val="restart"/>
                  <w:noWrap w:val="0"/>
                  <w:vAlign w:val="center"/>
                </w:tcPr>
                <w:p w14:paraId="477E825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r>
                    <w:rPr>
                      <w:rFonts w:hint="default" w:ascii="Times New Roman" w:hAnsi="Times New Roman" w:eastAsia="宋体" w:cs="Times New Roman"/>
                      <w:b w:val="0"/>
                      <w:bCs w:val="0"/>
                      <w:color w:val="auto"/>
                      <w:kern w:val="0"/>
                      <w:sz w:val="21"/>
                      <w:szCs w:val="21"/>
                      <w:vertAlign w:val="baseline"/>
                      <w:lang w:val="en-US" w:eastAsia="zh-CN"/>
                    </w:rPr>
                    <w:t>水稳材料生产车间</w:t>
                  </w:r>
                </w:p>
              </w:tc>
              <w:tc>
                <w:tcPr>
                  <w:tcW w:w="452" w:type="pct"/>
                  <w:noWrap w:val="0"/>
                  <w:vAlign w:val="center"/>
                </w:tcPr>
                <w:p w14:paraId="7691D5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vertAlign w:val="baseline"/>
                      <w:lang w:val="en-US" w:eastAsia="zh-CN"/>
                    </w:rPr>
                    <w:t>计量投料</w:t>
                  </w:r>
                </w:p>
              </w:tc>
              <w:tc>
                <w:tcPr>
                  <w:tcW w:w="450" w:type="pct"/>
                  <w:vMerge w:val="restart"/>
                  <w:noWrap w:val="0"/>
                  <w:vAlign w:val="center"/>
                </w:tcPr>
                <w:p w14:paraId="26F10228">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DA002（15m）</w:t>
                  </w:r>
                </w:p>
              </w:tc>
              <w:tc>
                <w:tcPr>
                  <w:tcW w:w="457" w:type="pct"/>
                  <w:vMerge w:val="restart"/>
                  <w:noWrap w:val="0"/>
                  <w:vAlign w:val="center"/>
                </w:tcPr>
                <w:p w14:paraId="0A86074D">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449" w:type="pct"/>
                  <w:noWrap w:val="0"/>
                  <w:vAlign w:val="center"/>
                </w:tcPr>
                <w:p w14:paraId="26679E7E">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集气罩</w:t>
                  </w:r>
                </w:p>
              </w:tc>
              <w:tc>
                <w:tcPr>
                  <w:tcW w:w="1977" w:type="pct"/>
                  <w:noWrap w:val="0"/>
                  <w:vAlign w:val="center"/>
                </w:tcPr>
                <w:p w14:paraId="0D47BA3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在</w:t>
                  </w:r>
                  <w:r>
                    <w:rPr>
                      <w:rFonts w:hint="default" w:ascii="Times New Roman" w:hAnsi="Times New Roman" w:eastAsia="宋体" w:cs="Times New Roman"/>
                      <w:color w:val="auto"/>
                      <w:sz w:val="21"/>
                      <w:szCs w:val="21"/>
                      <w:lang w:eastAsia="zh-CN"/>
                    </w:rPr>
                    <w:t>投料</w:t>
                  </w:r>
                  <w:r>
                    <w:rPr>
                      <w:rFonts w:hint="default" w:ascii="Times New Roman" w:hAnsi="Times New Roman" w:eastAsia="宋体" w:cs="Times New Roman"/>
                      <w:color w:val="auto"/>
                      <w:sz w:val="21"/>
                      <w:szCs w:val="21"/>
                      <w:lang w:eastAsia="zh-CN" w:bidi="ar"/>
                    </w:rPr>
                    <w:t>口</w:t>
                  </w:r>
                  <w:r>
                    <w:rPr>
                      <w:rFonts w:hint="default" w:ascii="Times New Roman" w:hAnsi="Times New Roman" w:eastAsia="宋体" w:cs="Times New Roman"/>
                      <w:color w:val="auto"/>
                      <w:sz w:val="21"/>
                      <w:szCs w:val="21"/>
                      <w:lang w:bidi="ar"/>
                    </w:rPr>
                    <w:t>上方设置集气罩大小为</w:t>
                  </w:r>
                  <w:r>
                    <w:rPr>
                      <w:rFonts w:hint="default" w:ascii="Times New Roman" w:hAnsi="Times New Roman" w:eastAsia="宋体" w:cs="Times New Roman"/>
                      <w:color w:val="auto"/>
                      <w:sz w:val="21"/>
                      <w:szCs w:val="21"/>
                      <w:lang w:val="en-US" w:eastAsia="zh-CN" w:bidi="ar"/>
                    </w:rPr>
                    <w:t>1.5</w:t>
                  </w:r>
                  <w:r>
                    <w:rPr>
                      <w:rFonts w:hint="default" w:ascii="Times New Roman" w:hAnsi="Times New Roman" w:eastAsia="宋体" w:cs="Times New Roman"/>
                      <w:color w:val="auto"/>
                      <w:sz w:val="21"/>
                      <w:szCs w:val="21"/>
                      <w:lang w:bidi="ar"/>
                    </w:rPr>
                    <w:t>m×</w:t>
                  </w:r>
                  <w:r>
                    <w:rPr>
                      <w:rFonts w:hint="default" w:ascii="Times New Roman" w:hAnsi="Times New Roman" w:eastAsia="宋体" w:cs="Times New Roman"/>
                      <w:color w:val="auto"/>
                      <w:sz w:val="21"/>
                      <w:szCs w:val="21"/>
                      <w:lang w:val="en-US" w:eastAsia="zh-CN" w:bidi="ar"/>
                    </w:rPr>
                    <w:t>1.2</w:t>
                  </w:r>
                  <w:r>
                    <w:rPr>
                      <w:rFonts w:hint="default" w:ascii="Times New Roman" w:hAnsi="Times New Roman" w:eastAsia="宋体" w:cs="Times New Roman"/>
                      <w:color w:val="auto"/>
                      <w:sz w:val="21"/>
                      <w:szCs w:val="21"/>
                      <w:lang w:bidi="ar"/>
                    </w:rPr>
                    <w:t>m，</w:t>
                  </w:r>
                  <w:r>
                    <w:rPr>
                      <w:rFonts w:hint="default" w:ascii="Times New Roman" w:hAnsi="Times New Roman" w:eastAsia="宋体" w:cs="Times New Roman"/>
                      <w:color w:val="auto"/>
                      <w:sz w:val="21"/>
                      <w:szCs w:val="21"/>
                      <w:lang w:val="en-US" w:eastAsia="zh-CN" w:bidi="ar"/>
                    </w:rPr>
                    <w:t>参照《排风罩的分类及技术条件》（GB/T16758-2008）、《局部排风设施控 制风速检测与评估技术规范》（AQ/T4274），粉尘收集风速以1.1m/s考虑。集气风量核算方法：集气罩面积（1.5×1.2）×平均风速1.1m/s×3600s=7128m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w:t>
                  </w:r>
                </w:p>
                <w:p w14:paraId="3BE7C9C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val="en-US" w:eastAsia="zh-CN" w:bidi="ar"/>
                    </w:rPr>
                    <w:t>共设置3个集气罩，则7128m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/h×3=21384m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w:t>
                  </w:r>
                </w:p>
              </w:tc>
              <w:tc>
                <w:tcPr>
                  <w:tcW w:w="765" w:type="pct"/>
                  <w:vMerge w:val="restart"/>
                  <w:noWrap w:val="0"/>
                  <w:vAlign w:val="center"/>
                </w:tcPr>
                <w:p w14:paraId="63937F0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vertAlign w:val="baseline"/>
                      <w:lang w:val="en-US" w:eastAsia="zh-CN"/>
                    </w:rPr>
                    <w:t>布袋除尘器+15m排气筒DA002，</w:t>
                  </w:r>
                  <w:r>
                    <w:rPr>
                      <w:rFonts w:hint="default" w:ascii="Times New Roman" w:hAnsi="Times New Roman" w:eastAsia="宋体" w:cs="Times New Roman"/>
                      <w:color w:val="auto"/>
                      <w:kern w:val="0"/>
                      <w:sz w:val="21"/>
                      <w:szCs w:val="21"/>
                      <w:lang w:val="en-US" w:eastAsia="zh-CN" w:bidi="ar"/>
                    </w:rPr>
                    <w:t>考虑风量损失，设计风量为30000</w:t>
                  </w:r>
                  <w:r>
                    <w:rPr>
                      <w:rFonts w:hint="default" w:ascii="Times New Roman" w:hAnsi="Times New Roman" w:eastAsia="宋体" w:cs="Times New Roman"/>
                      <w:b w:val="0"/>
                      <w:bCs/>
                      <w:color w:val="auto"/>
                      <w:sz w:val="21"/>
                      <w:szCs w:val="21"/>
                      <w:highlight w:val="none"/>
                      <w:lang w:val="en-US" w:eastAsia="zh-CN"/>
                    </w:rPr>
                    <w:t>m</w:t>
                  </w:r>
                  <w:r>
                    <w:rPr>
                      <w:rFonts w:hint="default" w:ascii="Times New Roman" w:hAnsi="Times New Roman" w:eastAsia="宋体" w:cs="Times New Roman"/>
                      <w:b w:val="0"/>
                      <w:bCs/>
                      <w:color w:val="auto"/>
                      <w:sz w:val="21"/>
                      <w:szCs w:val="21"/>
                      <w:highlight w:val="none"/>
                      <w:vertAlign w:val="superscript"/>
                      <w:lang w:val="en-US" w:eastAsia="zh-CN"/>
                    </w:rPr>
                    <w:t>3</w:t>
                  </w:r>
                  <w:r>
                    <w:rPr>
                      <w:rFonts w:hint="default" w:ascii="Times New Roman" w:hAnsi="Times New Roman" w:eastAsia="宋体" w:cs="Times New Roman"/>
                      <w:color w:val="auto"/>
                      <w:kern w:val="0"/>
                      <w:sz w:val="21"/>
                      <w:szCs w:val="21"/>
                      <w:lang w:val="en-US" w:eastAsia="zh-CN" w:bidi="ar"/>
                    </w:rPr>
                    <w:t xml:space="preserve"> /h</w:t>
                  </w:r>
                </w:p>
              </w:tc>
            </w:tr>
            <w:tr w14:paraId="3B4A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312" w:hRule="atLeast"/>
              </w:trPr>
              <w:tc>
                <w:tcPr>
                  <w:tcW w:w="447" w:type="pct"/>
                  <w:vMerge w:val="continue"/>
                  <w:noWrap w:val="0"/>
                  <w:vAlign w:val="center"/>
                </w:tcPr>
                <w:p w14:paraId="1B740F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p>
              </w:tc>
              <w:tc>
                <w:tcPr>
                  <w:tcW w:w="452" w:type="pct"/>
                  <w:noWrap w:val="0"/>
                  <w:vAlign w:val="center"/>
                </w:tcPr>
                <w:p w14:paraId="15ED60E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r>
                    <w:rPr>
                      <w:rFonts w:hint="default" w:ascii="Times New Roman" w:hAnsi="Times New Roman" w:eastAsia="宋体" w:cs="Times New Roman"/>
                      <w:b w:val="0"/>
                      <w:bCs w:val="0"/>
                      <w:color w:val="auto"/>
                      <w:kern w:val="0"/>
                      <w:sz w:val="21"/>
                      <w:szCs w:val="21"/>
                      <w:vertAlign w:val="baseline"/>
                      <w:lang w:val="en-US" w:eastAsia="zh-CN"/>
                    </w:rPr>
                    <w:t>搅拌</w:t>
                  </w:r>
                </w:p>
              </w:tc>
              <w:tc>
                <w:tcPr>
                  <w:tcW w:w="450" w:type="pct"/>
                  <w:vMerge w:val="continue"/>
                  <w:noWrap w:val="0"/>
                  <w:vAlign w:val="center"/>
                </w:tcPr>
                <w:p w14:paraId="567D156F">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457" w:type="pct"/>
                  <w:vMerge w:val="continue"/>
                  <w:noWrap w:val="0"/>
                  <w:vAlign w:val="center"/>
                </w:tcPr>
                <w:p w14:paraId="264956E6">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449" w:type="pct"/>
                  <w:noWrap w:val="0"/>
                  <w:vAlign w:val="center"/>
                </w:tcPr>
                <w:p w14:paraId="7E4FAC83">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负压收集</w:t>
                  </w:r>
                </w:p>
              </w:tc>
              <w:tc>
                <w:tcPr>
                  <w:tcW w:w="1977" w:type="pct"/>
                  <w:noWrap w:val="0"/>
                  <w:vAlign w:val="center"/>
                </w:tcPr>
                <w:p w14:paraId="69D276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据厂商提供的设备资料：本项目水稳搅拌仓及出料口放料通道规格约为100</w:t>
                  </w:r>
                  <w:r>
                    <w:rPr>
                      <w:rFonts w:hint="default" w:ascii="Times New Roman" w:hAnsi="Times New Roman" w:eastAsia="宋体" w:cs="Times New Roman"/>
                      <w:b w:val="0"/>
                      <w:bCs/>
                      <w:color w:val="auto"/>
                      <w:sz w:val="21"/>
                      <w:szCs w:val="21"/>
                      <w:highlight w:val="none"/>
                      <w:lang w:val="en-US" w:eastAsia="zh-CN"/>
                    </w:rPr>
                    <w:t>m</w:t>
                  </w:r>
                  <w:r>
                    <w:rPr>
                      <w:rFonts w:hint="default" w:ascii="Times New Roman" w:hAnsi="Times New Roman" w:eastAsia="宋体" w:cs="Times New Roman"/>
                      <w:b w:val="0"/>
                      <w:bCs/>
                      <w:color w:val="auto"/>
                      <w:sz w:val="21"/>
                      <w:szCs w:val="21"/>
                      <w:highlight w:val="none"/>
                      <w:vertAlign w:val="superscript"/>
                      <w:lang w:val="en-US" w:eastAsia="zh-CN"/>
                    </w:rPr>
                    <w:t>3</w:t>
                  </w:r>
                  <w:r>
                    <w:rPr>
                      <w:rFonts w:hint="default" w:ascii="Times New Roman" w:hAnsi="Times New Roman" w:eastAsia="宋体" w:cs="Times New Roman"/>
                      <w:color w:val="auto"/>
                      <w:kern w:val="0"/>
                      <w:sz w:val="21"/>
                      <w:szCs w:val="21"/>
                      <w:lang w:val="en-US" w:eastAsia="zh-CN" w:bidi="ar"/>
                    </w:rPr>
                    <w:t>。换气次80次/小时，则本项目产品</w:t>
                  </w:r>
                  <w:r>
                    <w:rPr>
                      <w:rFonts w:hint="eastAsia" w:ascii="Times New Roman" w:hAnsi="Times New Roman" w:eastAsia="宋体" w:cs="Times New Roman"/>
                      <w:color w:val="auto"/>
                      <w:kern w:val="0"/>
                      <w:sz w:val="21"/>
                      <w:szCs w:val="21"/>
                      <w:lang w:val="en-US" w:eastAsia="zh-CN" w:bidi="ar"/>
                    </w:rPr>
                    <w:t>搅拌</w:t>
                  </w:r>
                  <w:r>
                    <w:rPr>
                      <w:rFonts w:hint="default" w:ascii="Times New Roman" w:hAnsi="Times New Roman" w:eastAsia="宋体" w:cs="Times New Roman"/>
                      <w:color w:val="auto"/>
                      <w:kern w:val="0"/>
                      <w:sz w:val="21"/>
                      <w:szCs w:val="21"/>
                      <w:lang w:val="en-US" w:eastAsia="zh-CN" w:bidi="ar"/>
                    </w:rPr>
                    <w:t>废气收集风量需大于8000</w:t>
                  </w:r>
                  <w:r>
                    <w:rPr>
                      <w:rFonts w:hint="default" w:ascii="Times New Roman" w:hAnsi="Times New Roman" w:eastAsia="宋体" w:cs="Times New Roman"/>
                      <w:b w:val="0"/>
                      <w:bCs/>
                      <w:color w:val="auto"/>
                      <w:sz w:val="21"/>
                      <w:szCs w:val="21"/>
                      <w:highlight w:val="none"/>
                      <w:lang w:val="en-US" w:eastAsia="zh-CN"/>
                    </w:rPr>
                    <w:t>m</w:t>
                  </w:r>
                  <w:r>
                    <w:rPr>
                      <w:rFonts w:hint="default" w:ascii="Times New Roman" w:hAnsi="Times New Roman" w:eastAsia="宋体" w:cs="Times New Roman"/>
                      <w:b w:val="0"/>
                      <w:bCs/>
                      <w:color w:val="auto"/>
                      <w:sz w:val="21"/>
                      <w:szCs w:val="21"/>
                      <w:highlight w:val="none"/>
                      <w:vertAlign w:val="superscript"/>
                      <w:lang w:val="en-US" w:eastAsia="zh-CN"/>
                    </w:rPr>
                    <w:t>3</w:t>
                  </w:r>
                  <w:r>
                    <w:rPr>
                      <w:rFonts w:hint="default" w:ascii="Times New Roman" w:hAnsi="Times New Roman" w:eastAsia="宋体" w:cs="Times New Roman"/>
                      <w:color w:val="auto"/>
                      <w:kern w:val="0"/>
                      <w:sz w:val="21"/>
                      <w:szCs w:val="21"/>
                      <w:lang w:val="en-US" w:eastAsia="zh-CN" w:bidi="ar"/>
                    </w:rPr>
                    <w:t>/h</w:t>
                  </w:r>
                </w:p>
              </w:tc>
              <w:tc>
                <w:tcPr>
                  <w:tcW w:w="765" w:type="pct"/>
                  <w:vMerge w:val="continue"/>
                  <w:noWrap w:val="0"/>
                  <w:vAlign w:val="center"/>
                </w:tcPr>
                <w:p w14:paraId="5B481F9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p>
              </w:tc>
            </w:tr>
          </w:tbl>
          <w:p w14:paraId="4F7B1DA9">
            <w:pPr>
              <w:spacing w:line="360" w:lineRule="auto"/>
              <w:ind w:firstLine="480"/>
              <w:rPr>
                <w:rFonts w:hint="default" w:ascii="Times New Roman" w:hAnsi="Times New Roman" w:eastAsia="宋体" w:cs="Times New Roman"/>
                <w:b/>
                <w:color w:val="auto"/>
                <w:sz w:val="24"/>
                <w:szCs w:val="32"/>
              </w:rPr>
            </w:pPr>
            <w:r>
              <w:rPr>
                <w:rFonts w:hint="default" w:ascii="Times New Roman" w:hAnsi="Times New Roman" w:eastAsia="宋体" w:cs="Times New Roman"/>
                <w:bCs/>
                <w:color w:val="auto"/>
                <w:sz w:val="24"/>
                <w:szCs w:val="32"/>
                <w:lang w:eastAsia="zh-CN"/>
              </w:rPr>
              <w:t>由上表可知，项目水稳车间废气处理设施风机风量需设计</w:t>
            </w:r>
            <w:r>
              <w:rPr>
                <w:rFonts w:hint="default" w:ascii="Times New Roman" w:hAnsi="Times New Roman" w:eastAsia="宋体" w:cs="Times New Roman"/>
                <w:bCs/>
                <w:color w:val="auto"/>
                <w:sz w:val="24"/>
                <w:szCs w:val="32"/>
                <w:lang w:val="en-US" w:eastAsia="zh-CN"/>
              </w:rPr>
              <w:t>30000</w:t>
            </w:r>
            <w:r>
              <w:rPr>
                <w:rFonts w:hint="default" w:ascii="Times New Roman" w:hAnsi="Times New Roman" w:eastAsia="宋体" w:cs="Times New Roman"/>
                <w:b w:val="0"/>
                <w:bCs/>
                <w:color w:val="auto"/>
                <w:sz w:val="24"/>
                <w:szCs w:val="24"/>
                <w:highlight w:val="none"/>
                <w:lang w:val="en-US" w:eastAsia="zh-CN"/>
              </w:rPr>
              <w:t>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default" w:ascii="Times New Roman" w:hAnsi="Times New Roman" w:eastAsia="宋体" w:cs="Times New Roman"/>
                <w:color w:val="auto"/>
                <w:kern w:val="0"/>
                <w:sz w:val="24"/>
                <w:szCs w:val="24"/>
                <w:lang w:val="en-US" w:eastAsia="zh-CN" w:bidi="ar"/>
              </w:rPr>
              <w:t>/h，</w:t>
            </w:r>
            <w:r>
              <w:rPr>
                <w:rFonts w:hint="default" w:ascii="Times New Roman" w:hAnsi="Times New Roman" w:eastAsia="宋体" w:cs="Times New Roman"/>
                <w:bCs/>
                <w:color w:val="auto"/>
                <w:sz w:val="24"/>
                <w:szCs w:val="32"/>
                <w:lang w:eastAsia="zh-CN"/>
              </w:rPr>
              <w:t>给料口</w:t>
            </w:r>
            <w:r>
              <w:rPr>
                <w:rFonts w:hint="default" w:ascii="Times New Roman" w:hAnsi="Times New Roman" w:eastAsia="宋体" w:cs="Times New Roman"/>
                <w:bCs/>
                <w:color w:val="auto"/>
                <w:sz w:val="24"/>
                <w:szCs w:val="32"/>
              </w:rPr>
              <w:t>集气罩收集效率</w:t>
            </w:r>
            <w:r>
              <w:rPr>
                <w:rFonts w:hint="default" w:ascii="Times New Roman" w:hAnsi="Times New Roman" w:eastAsia="宋体" w:cs="Times New Roman"/>
                <w:bCs/>
                <w:color w:val="auto"/>
                <w:sz w:val="24"/>
                <w:szCs w:val="32"/>
                <w:lang w:val="en-US" w:eastAsia="zh-CN"/>
              </w:rPr>
              <w:t>90</w:t>
            </w:r>
            <w:r>
              <w:rPr>
                <w:rFonts w:hint="default" w:ascii="Times New Roman" w:hAnsi="Times New Roman" w:eastAsia="宋体" w:cs="Times New Roman"/>
                <w:bCs/>
                <w:color w:val="auto"/>
                <w:sz w:val="24"/>
                <w:szCs w:val="32"/>
              </w:rPr>
              <w:t>%，</w:t>
            </w:r>
            <w:r>
              <w:rPr>
                <w:rFonts w:hint="default" w:ascii="Times New Roman" w:hAnsi="Times New Roman" w:eastAsia="宋体" w:cs="Times New Roman"/>
                <w:bCs/>
                <w:color w:val="auto"/>
                <w:sz w:val="24"/>
                <w:szCs w:val="32"/>
                <w:lang w:eastAsia="zh-CN"/>
              </w:rPr>
              <w:t>搅拌机负压收集效率</w:t>
            </w:r>
            <w:r>
              <w:rPr>
                <w:rFonts w:hint="default" w:ascii="Times New Roman" w:hAnsi="Times New Roman" w:eastAsia="宋体" w:cs="Times New Roman"/>
                <w:bCs/>
                <w:color w:val="auto"/>
                <w:sz w:val="24"/>
                <w:szCs w:val="32"/>
              </w:rPr>
              <w:t>为</w:t>
            </w:r>
            <w:r>
              <w:rPr>
                <w:rFonts w:hint="default" w:ascii="Times New Roman" w:hAnsi="Times New Roman" w:eastAsia="宋体" w:cs="Times New Roman"/>
                <w:bCs/>
                <w:color w:val="auto"/>
                <w:sz w:val="24"/>
                <w:szCs w:val="32"/>
                <w:lang w:val="en-US" w:eastAsia="zh-CN"/>
              </w:rPr>
              <w:t>95%，</w:t>
            </w:r>
            <w:r>
              <w:rPr>
                <w:rFonts w:hint="default" w:ascii="Times New Roman" w:hAnsi="Times New Roman" w:eastAsia="宋体" w:cs="Times New Roman"/>
                <w:color w:val="auto"/>
                <w:sz w:val="24"/>
                <w:szCs w:val="24"/>
              </w:rPr>
              <w:t>根据</w:t>
            </w:r>
            <w:r>
              <w:rPr>
                <w:rFonts w:hint="default" w:ascii="Times New Roman" w:hAnsi="Times New Roman" w:eastAsia="宋体" w:cs="Times New Roman"/>
                <w:color w:val="auto"/>
                <w:sz w:val="24"/>
                <w:szCs w:val="24"/>
                <w:lang w:eastAsia="zh-CN"/>
              </w:rPr>
              <w:t>布袋</w:t>
            </w:r>
            <w:r>
              <w:rPr>
                <w:rFonts w:hint="default" w:ascii="Times New Roman" w:hAnsi="Times New Roman" w:eastAsia="宋体" w:cs="Times New Roman"/>
                <w:color w:val="auto"/>
                <w:sz w:val="24"/>
                <w:szCs w:val="24"/>
              </w:rPr>
              <w:t>除尘器设计参数，除尘效率可达99%以上</w:t>
            </w:r>
            <w:r>
              <w:rPr>
                <w:rFonts w:hint="default" w:ascii="Times New Roman" w:hAnsi="Times New Roman" w:eastAsia="宋体" w:cs="Times New Roman"/>
                <w:color w:val="auto"/>
                <w:sz w:val="24"/>
                <w:szCs w:val="24"/>
                <w:lang w:eastAsia="zh-CN"/>
              </w:rPr>
              <w:t>（本项目取</w:t>
            </w:r>
            <w:r>
              <w:rPr>
                <w:rFonts w:hint="default" w:ascii="Times New Roman" w:hAnsi="Times New Roman" w:eastAsia="宋体" w:cs="Times New Roman"/>
                <w:color w:val="auto"/>
                <w:sz w:val="24"/>
                <w:szCs w:val="24"/>
                <w:lang w:val="en-US" w:eastAsia="zh-CN"/>
              </w:rPr>
              <w:t>99.5%</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32"/>
              </w:rPr>
              <w:t>，</w:t>
            </w:r>
            <w:r>
              <w:rPr>
                <w:rFonts w:hint="default" w:ascii="Times New Roman" w:hAnsi="Times New Roman" w:eastAsia="宋体" w:cs="Times New Roman"/>
                <w:bCs/>
                <w:color w:val="auto"/>
                <w:sz w:val="24"/>
                <w:szCs w:val="32"/>
                <w:lang w:eastAsia="zh-CN"/>
              </w:rPr>
              <w:t>年工作时间</w:t>
            </w:r>
            <w:r>
              <w:rPr>
                <w:rFonts w:hint="default" w:ascii="Times New Roman" w:hAnsi="Times New Roman" w:eastAsia="宋体" w:cs="Times New Roman"/>
                <w:bCs/>
                <w:color w:val="auto"/>
                <w:sz w:val="24"/>
                <w:szCs w:val="32"/>
                <w:lang w:val="en-US" w:eastAsia="zh-CN"/>
              </w:rPr>
              <w:t>2560h，</w:t>
            </w:r>
            <w:r>
              <w:rPr>
                <w:rFonts w:hint="default" w:ascii="Times New Roman" w:hAnsi="Times New Roman" w:eastAsia="宋体" w:cs="Times New Roman"/>
                <w:bCs/>
                <w:color w:val="auto"/>
                <w:sz w:val="24"/>
                <w:szCs w:val="32"/>
                <w:lang w:eastAsia="zh-CN"/>
              </w:rPr>
              <w:t>则给料、搅拌过程有组织粉尘排放量为</w:t>
            </w:r>
            <w:r>
              <w:rPr>
                <w:rFonts w:hint="default" w:ascii="Times New Roman" w:hAnsi="Times New Roman" w:eastAsia="宋体" w:cs="Times New Roman"/>
                <w:bCs/>
                <w:color w:val="auto"/>
                <w:sz w:val="24"/>
                <w:szCs w:val="32"/>
                <w:lang w:val="en-US" w:eastAsia="zh-CN"/>
              </w:rPr>
              <w:t>0.35t/a，排放速率为0.14kg/h，排放浓度为4.5mg/m</w:t>
            </w:r>
            <w:r>
              <w:rPr>
                <w:rFonts w:hint="default" w:ascii="Times New Roman" w:hAnsi="Times New Roman" w:eastAsia="宋体" w:cs="Times New Roman"/>
                <w:bCs/>
                <w:color w:val="auto"/>
                <w:sz w:val="24"/>
                <w:szCs w:val="32"/>
                <w:vertAlign w:val="superscript"/>
                <w:lang w:val="en-US" w:eastAsia="zh-CN"/>
              </w:rPr>
              <w:t>3</w:t>
            </w:r>
            <w:r>
              <w:rPr>
                <w:rFonts w:hint="default" w:ascii="Times New Roman" w:hAnsi="Times New Roman" w:eastAsia="宋体" w:cs="Times New Roman"/>
                <w:bCs/>
                <w:color w:val="auto"/>
                <w:sz w:val="24"/>
                <w:szCs w:val="32"/>
              </w:rPr>
              <w:t>。</w:t>
            </w:r>
          </w:p>
          <w:p w14:paraId="21356F35">
            <w:pPr>
              <w:keepNext w:val="0"/>
              <w:keepLines w:val="0"/>
              <w:pageBreakBefore w:val="0"/>
              <w:widowControl w:val="0"/>
              <w:tabs>
                <w:tab w:val="left" w:pos="6720"/>
              </w:tabs>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未收集粉尘量为</w:t>
            </w:r>
            <w:r>
              <w:rPr>
                <w:rFonts w:hint="default" w:ascii="Times New Roman" w:hAnsi="Times New Roman" w:eastAsia="宋体" w:cs="Times New Roman"/>
                <w:b w:val="0"/>
                <w:bCs w:val="0"/>
                <w:color w:val="auto"/>
                <w:sz w:val="24"/>
                <w:szCs w:val="24"/>
                <w:lang w:val="en-US" w:eastAsia="zh-CN"/>
              </w:rPr>
              <w:t>5.55</w:t>
            </w:r>
            <w:r>
              <w:rPr>
                <w:rFonts w:hint="default" w:ascii="Times New Roman" w:hAnsi="Times New Roman" w:eastAsia="宋体" w:cs="Times New Roman"/>
                <w:b w:val="0"/>
                <w:bCs w:val="0"/>
                <w:color w:val="auto"/>
                <w:kern w:val="2"/>
                <w:sz w:val="24"/>
                <w:szCs w:val="24"/>
                <w:lang w:val="en-US" w:eastAsia="zh-CN" w:bidi="ar-SA"/>
              </w:rPr>
              <w:t>t/a，通过水稳车间密闭生产，并加装喷淋降尘设施，</w:t>
            </w:r>
            <w:r>
              <w:rPr>
                <w:rFonts w:hint="default" w:ascii="Times New Roman" w:hAnsi="Times New Roman" w:eastAsia="宋体" w:cs="Times New Roman"/>
                <w:bCs/>
                <w:color w:val="auto"/>
                <w:kern w:val="2"/>
                <w:sz w:val="24"/>
                <w:szCs w:val="24"/>
                <w:lang w:val="en-US" w:eastAsia="zh-CN" w:bidi="ar-SA"/>
              </w:rPr>
              <w:t>粉尘控制效率可达到95%，经降尘处理后的无组织粉尘量为0.28t/a，排放速率为0.109kg/h。</w:t>
            </w:r>
          </w:p>
          <w:p w14:paraId="449C425F">
            <w:pPr>
              <w:keepNext w:val="0"/>
              <w:keepLines w:val="0"/>
              <w:pageBreakBefore w:val="0"/>
              <w:widowControl w:val="0"/>
              <w:kinsoku/>
              <w:wordWrap/>
              <w:overflowPunct/>
              <w:topLinePunct w:val="0"/>
              <w:autoSpaceDE/>
              <w:autoSpaceDN/>
              <w:bidi w:val="0"/>
              <w:adjustRightInd/>
              <w:spacing w:line="360" w:lineRule="auto"/>
              <w:ind w:firstLine="482" w:firstLineChars="200"/>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（3）筒仓呼吸粉尘</w:t>
            </w:r>
          </w:p>
          <w:p w14:paraId="5A216C0D">
            <w:pPr>
              <w:spacing w:line="360" w:lineRule="auto"/>
              <w:ind w:firstLine="480"/>
              <w:rPr>
                <w:rFonts w:hint="default" w:ascii="Times New Roman" w:hAnsi="Times New Roman" w:eastAsia="宋体" w:cs="Times New Roman"/>
                <w:bCs/>
                <w:color w:val="auto"/>
                <w:sz w:val="24"/>
                <w:szCs w:val="32"/>
                <w:lang w:val="en-US" w:eastAsia="zh-CN"/>
              </w:rPr>
            </w:pPr>
            <w:r>
              <w:rPr>
                <w:rFonts w:hint="default" w:ascii="Times New Roman" w:hAnsi="Times New Roman" w:eastAsia="宋体" w:cs="Times New Roman"/>
                <w:bCs/>
                <w:color w:val="auto"/>
                <w:sz w:val="24"/>
                <w:szCs w:val="32"/>
                <w:lang w:val="en-US" w:eastAsia="zh-CN"/>
              </w:rPr>
              <w:t>本项目设置2座100t的水泥筒仓</w:t>
            </w:r>
            <w:r>
              <w:rPr>
                <w:rFonts w:hint="default" w:ascii="Times New Roman" w:hAnsi="Times New Roman" w:eastAsia="宋体" w:cs="Times New Roman"/>
                <w:color w:val="auto"/>
                <w:sz w:val="24"/>
                <w:lang w:val="en-US" w:eastAsia="zh-CN"/>
              </w:rPr>
              <w:t>（装卸时间按800h计）</w:t>
            </w:r>
            <w:r>
              <w:rPr>
                <w:rFonts w:hint="default" w:ascii="Times New Roman" w:hAnsi="Times New Roman" w:eastAsia="宋体" w:cs="Times New Roman"/>
                <w:bCs/>
                <w:color w:val="auto"/>
                <w:sz w:val="24"/>
                <w:szCs w:val="32"/>
                <w:lang w:val="en-US" w:eastAsia="zh-CN"/>
              </w:rPr>
              <w:t>，水泥入仓罐装及输送过程时会有粉尘产生，水泥罐车将水泥料通过气力输送至罐仓中，此时粉料会随罐里的空气从罐顶部的排气孔排出。水泥仓呼吸孔粉尘参考《排放源统计调查产排污核算方法和系数手册》中3021水泥制品制造产排污系数中物料输送储存工序工业粉尘产污系数。可知，物料输送、储存工序粉尘产污系数为0.12kg/t-水泥。项目年使用水泥量约14100t，则呼吸粉尘产生量为1.692t/a，</w:t>
            </w:r>
            <w:r>
              <w:rPr>
                <w:rFonts w:hint="default" w:ascii="Times New Roman" w:hAnsi="Times New Roman" w:eastAsia="宋体" w:cs="Times New Roman"/>
                <w:color w:val="auto"/>
                <w:sz w:val="24"/>
                <w:lang w:val="en-US" w:eastAsia="zh-CN"/>
              </w:rPr>
              <w:t>筒仓顶部</w:t>
            </w:r>
            <w:r>
              <w:rPr>
                <w:rFonts w:hint="default" w:ascii="Times New Roman" w:hAnsi="Times New Roman" w:eastAsia="宋体" w:cs="Times New Roman"/>
                <w:color w:val="auto"/>
                <w:sz w:val="24"/>
                <w:szCs w:val="24"/>
              </w:rPr>
              <w:t>配置1台仓顶除尘器</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32"/>
                <w:lang w:val="en-US" w:eastAsia="zh-CN"/>
              </w:rPr>
              <w:t>粉尘经仓顶除尘器处理后无组织排放，去除效率99%，经处理后无组织粉尘排放量为0.017t/a，排放速率为0.021kg/h。</w:t>
            </w:r>
          </w:p>
          <w:p w14:paraId="65A19749">
            <w:pPr>
              <w:spacing w:line="360" w:lineRule="auto"/>
              <w:ind w:firstLine="480"/>
              <w:rPr>
                <w:rFonts w:hint="default" w:ascii="Times New Roman" w:hAnsi="Times New Roman" w:eastAsia="宋体" w:cs="Times New Roman"/>
                <w:b/>
                <w:bCs/>
                <w:color w:val="auto"/>
                <w:kern w:val="24"/>
                <w:sz w:val="24"/>
                <w:szCs w:val="32"/>
                <w:lang w:eastAsia="zh-CN"/>
              </w:rPr>
            </w:pPr>
            <w:r>
              <w:rPr>
                <w:rFonts w:hint="default" w:ascii="Times New Roman" w:hAnsi="Times New Roman" w:eastAsia="宋体" w:cs="Times New Roman"/>
                <w:b/>
                <w:bCs/>
                <w:color w:val="auto"/>
                <w:kern w:val="24"/>
                <w:sz w:val="24"/>
                <w:szCs w:val="32"/>
                <w:lang w:val="en-US" w:eastAsia="zh-CN"/>
              </w:rPr>
              <w:t>三、</w:t>
            </w:r>
            <w:r>
              <w:rPr>
                <w:rFonts w:hint="default" w:ascii="Times New Roman" w:hAnsi="Times New Roman" w:eastAsia="宋体" w:cs="Times New Roman"/>
                <w:b/>
                <w:bCs/>
                <w:color w:val="auto"/>
                <w:kern w:val="24"/>
                <w:sz w:val="24"/>
                <w:szCs w:val="32"/>
                <w:lang w:eastAsia="zh-CN"/>
              </w:rPr>
              <w:t>RDF燃料生产线</w:t>
            </w:r>
          </w:p>
          <w:p w14:paraId="6A1D2E08">
            <w:pPr>
              <w:adjustRightInd w:val="0"/>
              <w:snapToGrid w:val="0"/>
              <w:spacing w:line="360" w:lineRule="auto"/>
              <w:ind w:firstLine="480" w:firstLineChars="200"/>
              <w:rPr>
                <w:rFonts w:hint="default" w:ascii="Times New Roman" w:hAnsi="Times New Roman" w:eastAsia="宋体" w:cs="Times New Roman"/>
                <w:color w:val="auto"/>
                <w:sz w:val="24"/>
                <w:szCs w:val="32"/>
              </w:rPr>
            </w:pPr>
            <w:r>
              <w:rPr>
                <w:rFonts w:hint="default" w:ascii="Times New Roman" w:hAnsi="Times New Roman" w:eastAsia="宋体" w:cs="Times New Roman"/>
                <w:color w:val="auto"/>
                <w:sz w:val="24"/>
                <w:szCs w:val="32"/>
                <w:lang w:eastAsia="zh-CN"/>
              </w:rPr>
              <w:t>（</w:t>
            </w:r>
            <w:r>
              <w:rPr>
                <w:rFonts w:hint="default" w:ascii="Times New Roman" w:hAnsi="Times New Roman" w:eastAsia="宋体" w:cs="Times New Roman"/>
                <w:color w:val="auto"/>
                <w:sz w:val="24"/>
                <w:szCs w:val="32"/>
                <w:lang w:val="en-US" w:eastAsia="zh-CN"/>
              </w:rPr>
              <w:t>1</w:t>
            </w:r>
            <w:r>
              <w:rPr>
                <w:rFonts w:hint="default" w:ascii="Times New Roman" w:hAnsi="Times New Roman" w:eastAsia="宋体" w:cs="Times New Roman"/>
                <w:color w:val="auto"/>
                <w:sz w:val="24"/>
                <w:szCs w:val="32"/>
                <w:lang w:eastAsia="zh-CN"/>
              </w:rPr>
              <w:t>）</w:t>
            </w:r>
            <w:r>
              <w:rPr>
                <w:rFonts w:hint="default" w:ascii="Times New Roman" w:hAnsi="Times New Roman" w:eastAsia="宋体" w:cs="Times New Roman"/>
                <w:color w:val="auto"/>
                <w:sz w:val="24"/>
                <w:szCs w:val="32"/>
              </w:rPr>
              <w:t>投料粉尘</w:t>
            </w:r>
          </w:p>
          <w:p w14:paraId="10D4D431">
            <w:pPr>
              <w:adjustRightInd w:val="0"/>
              <w:snapToGrid w:val="0"/>
              <w:spacing w:line="360" w:lineRule="auto"/>
              <w:ind w:firstLine="480" w:firstLineChars="200"/>
              <w:rPr>
                <w:rFonts w:hint="default" w:ascii="Times New Roman" w:hAnsi="Times New Roman" w:eastAsia="宋体" w:cs="Times New Roman"/>
                <w:color w:val="auto"/>
                <w:sz w:val="24"/>
                <w:szCs w:val="32"/>
              </w:rPr>
            </w:pPr>
            <w:r>
              <w:rPr>
                <w:rFonts w:hint="default" w:ascii="Times New Roman" w:hAnsi="Times New Roman" w:eastAsia="宋体" w:cs="Times New Roman"/>
                <w:color w:val="auto"/>
                <w:sz w:val="24"/>
                <w:szCs w:val="32"/>
                <w:lang w:eastAsia="zh-CN"/>
              </w:rPr>
              <w:t>项目RDF燃料生产线原料废木材、废布头以及其他一般工业固体废物（纸皮等）均为大型固体废物，</w:t>
            </w:r>
            <w:r>
              <w:rPr>
                <w:rFonts w:hint="default" w:ascii="Times New Roman" w:hAnsi="Times New Roman" w:eastAsia="宋体" w:cs="Times New Roman"/>
                <w:color w:val="auto"/>
                <w:sz w:val="24"/>
                <w:szCs w:val="32"/>
              </w:rPr>
              <w:t>投料过程由于碰撞会有少量粉尘逸散，经过自然沉降至地面，本次评价不进行定量计算。</w:t>
            </w:r>
            <w:r>
              <w:rPr>
                <w:rFonts w:hint="default" w:ascii="Times New Roman" w:hAnsi="Times New Roman" w:eastAsia="宋体" w:cs="Times New Roman"/>
                <w:color w:val="auto"/>
                <w:sz w:val="24"/>
                <w:szCs w:val="32"/>
                <w:lang w:eastAsia="zh-CN"/>
              </w:rPr>
              <w:t>要求企业加强车间管理，减少无组织粉尘产生</w:t>
            </w:r>
            <w:r>
              <w:rPr>
                <w:rFonts w:hint="default" w:ascii="Times New Roman" w:hAnsi="Times New Roman" w:eastAsia="宋体" w:cs="Times New Roman"/>
                <w:color w:val="auto"/>
                <w:sz w:val="24"/>
                <w:szCs w:val="32"/>
              </w:rPr>
              <w:t>。</w:t>
            </w:r>
          </w:p>
          <w:p w14:paraId="5F9CDAA6">
            <w:pPr>
              <w:adjustRightInd w:val="0"/>
              <w:snapToGrid w:val="0"/>
              <w:spacing w:line="360" w:lineRule="auto"/>
              <w:ind w:firstLine="480" w:firstLineChars="200"/>
              <w:rPr>
                <w:rFonts w:hint="default" w:ascii="Times New Roman" w:hAnsi="Times New Roman" w:eastAsia="宋体" w:cs="Times New Roman"/>
                <w:color w:val="auto"/>
                <w:sz w:val="24"/>
                <w:szCs w:val="32"/>
              </w:rPr>
            </w:pPr>
            <w:r>
              <w:rPr>
                <w:rFonts w:hint="default" w:ascii="Times New Roman" w:hAnsi="Times New Roman" w:eastAsia="宋体" w:cs="Times New Roman"/>
                <w:color w:val="auto"/>
                <w:sz w:val="24"/>
                <w:szCs w:val="32"/>
                <w:lang w:eastAsia="zh-CN"/>
              </w:rPr>
              <w:t>（</w:t>
            </w:r>
            <w:r>
              <w:rPr>
                <w:rFonts w:hint="default" w:ascii="Times New Roman" w:hAnsi="Times New Roman" w:eastAsia="宋体" w:cs="Times New Roman"/>
                <w:color w:val="auto"/>
                <w:sz w:val="24"/>
                <w:szCs w:val="32"/>
                <w:lang w:val="en-US" w:eastAsia="zh-CN"/>
              </w:rPr>
              <w:t>2</w:t>
            </w:r>
            <w:r>
              <w:rPr>
                <w:rFonts w:hint="default" w:ascii="Times New Roman" w:hAnsi="Times New Roman" w:eastAsia="宋体" w:cs="Times New Roman"/>
                <w:color w:val="auto"/>
                <w:sz w:val="24"/>
                <w:szCs w:val="32"/>
                <w:lang w:eastAsia="zh-CN"/>
              </w:rPr>
              <w:t>）撕碎、成型</w:t>
            </w:r>
            <w:r>
              <w:rPr>
                <w:rFonts w:hint="default" w:ascii="Times New Roman" w:hAnsi="Times New Roman" w:eastAsia="宋体" w:cs="Times New Roman"/>
                <w:color w:val="auto"/>
                <w:sz w:val="24"/>
                <w:szCs w:val="32"/>
              </w:rPr>
              <w:t>粉尘</w:t>
            </w:r>
          </w:p>
          <w:p w14:paraId="5C440057">
            <w:pPr>
              <w:adjustRightInd w:val="0"/>
              <w:snapToGrid w:val="0"/>
              <w:spacing w:line="360" w:lineRule="auto"/>
              <w:ind w:firstLine="480" w:firstLineChars="200"/>
              <w:rPr>
                <w:rFonts w:hint="default" w:ascii="Times New Roman" w:hAnsi="Times New Roman" w:eastAsia="宋体" w:cs="Times New Roman"/>
                <w:color w:val="auto"/>
                <w:sz w:val="24"/>
                <w:szCs w:val="32"/>
              </w:rPr>
            </w:pPr>
            <w:r>
              <w:rPr>
                <w:rFonts w:hint="default" w:ascii="Times New Roman" w:hAnsi="Times New Roman" w:eastAsia="宋体" w:cs="Times New Roman"/>
                <w:color w:val="auto"/>
                <w:sz w:val="24"/>
                <w:szCs w:val="32"/>
              </w:rPr>
              <w:t>本项目</w:t>
            </w:r>
            <w:r>
              <w:rPr>
                <w:rFonts w:hint="default" w:ascii="Times New Roman" w:hAnsi="Times New Roman" w:eastAsia="宋体" w:cs="Times New Roman"/>
                <w:color w:val="auto"/>
                <w:sz w:val="24"/>
                <w:szCs w:val="32"/>
                <w:lang w:eastAsia="zh-CN"/>
              </w:rPr>
              <w:t>废木材等原料</w:t>
            </w:r>
            <w:r>
              <w:rPr>
                <w:rFonts w:hint="default" w:ascii="Times New Roman" w:hAnsi="Times New Roman" w:eastAsia="宋体" w:cs="Times New Roman"/>
                <w:color w:val="auto"/>
                <w:sz w:val="24"/>
                <w:szCs w:val="32"/>
              </w:rPr>
              <w:t>破碎</w:t>
            </w:r>
            <w:r>
              <w:rPr>
                <w:rFonts w:hint="default" w:ascii="Times New Roman" w:hAnsi="Times New Roman" w:eastAsia="宋体" w:cs="Times New Roman"/>
                <w:color w:val="auto"/>
                <w:sz w:val="24"/>
                <w:szCs w:val="32"/>
                <w:lang w:eastAsia="zh-CN"/>
              </w:rPr>
              <w:t>、成型</w:t>
            </w:r>
            <w:r>
              <w:rPr>
                <w:rFonts w:hint="default" w:ascii="Times New Roman" w:hAnsi="Times New Roman" w:eastAsia="宋体" w:cs="Times New Roman"/>
                <w:color w:val="auto"/>
                <w:sz w:val="24"/>
                <w:szCs w:val="32"/>
              </w:rPr>
              <w:t>过程中会产生</w:t>
            </w:r>
            <w:r>
              <w:rPr>
                <w:rFonts w:hint="default" w:ascii="Times New Roman" w:hAnsi="Times New Roman" w:eastAsia="宋体" w:cs="Times New Roman"/>
                <w:color w:val="auto"/>
                <w:sz w:val="24"/>
                <w:szCs w:val="32"/>
                <w:lang w:eastAsia="zh-CN"/>
              </w:rPr>
              <w:t>粉尘</w:t>
            </w:r>
            <w:r>
              <w:rPr>
                <w:rFonts w:hint="default" w:ascii="Times New Roman" w:hAnsi="Times New Roman" w:eastAsia="宋体" w:cs="Times New Roman"/>
                <w:color w:val="auto"/>
                <w:sz w:val="24"/>
                <w:szCs w:val="32"/>
              </w:rPr>
              <w:t>，破碎</w:t>
            </w:r>
            <w:r>
              <w:rPr>
                <w:rFonts w:hint="default" w:ascii="Times New Roman" w:hAnsi="Times New Roman" w:eastAsia="宋体" w:cs="Times New Roman"/>
                <w:color w:val="auto"/>
                <w:sz w:val="24"/>
                <w:szCs w:val="32"/>
                <w:lang w:eastAsia="zh-CN"/>
              </w:rPr>
              <w:t>、成型</w:t>
            </w:r>
            <w:r>
              <w:rPr>
                <w:rFonts w:hint="default" w:ascii="Times New Roman" w:hAnsi="Times New Roman" w:eastAsia="宋体" w:cs="Times New Roman"/>
                <w:color w:val="auto"/>
                <w:sz w:val="24"/>
                <w:szCs w:val="32"/>
              </w:rPr>
              <w:t>过程颗粒物产污系数参照</w:t>
            </w:r>
            <w:r>
              <w:rPr>
                <w:rFonts w:hint="default" w:ascii="Times New Roman" w:hAnsi="Times New Roman" w:eastAsia="宋体" w:cs="Times New Roman"/>
                <w:bCs/>
                <w:color w:val="auto"/>
                <w:sz w:val="24"/>
                <w:szCs w:val="28"/>
              </w:rPr>
              <w:t>《排放源统计调查产排污核算方法和系数手册》中《2542生物质致密成型燃料加工行业系数手册》</w:t>
            </w:r>
            <w:r>
              <w:rPr>
                <w:rFonts w:hint="default" w:ascii="Times New Roman" w:hAnsi="Times New Roman" w:eastAsia="宋体" w:cs="Times New Roman"/>
                <w:color w:val="auto"/>
                <w:sz w:val="24"/>
                <w:szCs w:val="32"/>
              </w:rPr>
              <w:t>，剪切、破碎、筛分、造粒环节颗粒物产污系数为6.69×10</w:t>
            </w:r>
            <w:r>
              <w:rPr>
                <w:rFonts w:hint="default" w:ascii="Times New Roman" w:hAnsi="Times New Roman" w:eastAsia="宋体" w:cs="Times New Roman"/>
                <w:color w:val="auto"/>
                <w:sz w:val="24"/>
                <w:szCs w:val="32"/>
                <w:vertAlign w:val="superscript"/>
              </w:rPr>
              <w:t>-4</w:t>
            </w:r>
            <w:r>
              <w:rPr>
                <w:rFonts w:hint="default" w:ascii="Times New Roman" w:hAnsi="Times New Roman" w:eastAsia="宋体" w:cs="Times New Roman"/>
                <w:color w:val="auto"/>
                <w:sz w:val="24"/>
                <w:szCs w:val="32"/>
              </w:rPr>
              <w:t>吨/吨-产品，本项目</w:t>
            </w:r>
            <w:r>
              <w:rPr>
                <w:rFonts w:hint="default" w:ascii="Times New Roman" w:hAnsi="Times New Roman" w:eastAsia="宋体" w:cs="Times New Roman"/>
                <w:color w:val="auto"/>
                <w:sz w:val="24"/>
                <w:szCs w:val="32"/>
                <w:lang w:eastAsia="zh-CN"/>
              </w:rPr>
              <w:t>设计年产</w:t>
            </w:r>
            <w:r>
              <w:rPr>
                <w:rFonts w:hint="default" w:ascii="Times New Roman" w:hAnsi="Times New Roman" w:eastAsia="宋体" w:cs="Times New Roman"/>
                <w:color w:val="auto"/>
                <w:sz w:val="24"/>
                <w:szCs w:val="32"/>
                <w:lang w:val="en-US" w:eastAsia="zh-CN"/>
              </w:rPr>
              <w:t>RDF燃料20万吨</w:t>
            </w:r>
            <w:r>
              <w:rPr>
                <w:rFonts w:hint="default" w:ascii="Times New Roman" w:hAnsi="Times New Roman" w:eastAsia="宋体" w:cs="Times New Roman"/>
                <w:color w:val="auto"/>
                <w:sz w:val="24"/>
                <w:szCs w:val="32"/>
              </w:rPr>
              <w:t>，则破碎</w:t>
            </w:r>
            <w:r>
              <w:rPr>
                <w:rFonts w:hint="default" w:ascii="Times New Roman" w:hAnsi="Times New Roman" w:eastAsia="宋体" w:cs="Times New Roman"/>
                <w:color w:val="auto"/>
                <w:sz w:val="24"/>
                <w:szCs w:val="32"/>
                <w:lang w:eastAsia="zh-CN"/>
              </w:rPr>
              <w:t>、成型</w:t>
            </w:r>
            <w:r>
              <w:rPr>
                <w:rFonts w:hint="default" w:ascii="Times New Roman" w:hAnsi="Times New Roman" w:eastAsia="宋体" w:cs="Times New Roman"/>
                <w:color w:val="auto"/>
                <w:sz w:val="24"/>
                <w:szCs w:val="32"/>
              </w:rPr>
              <w:t>过程中的颗粒物产生量为</w:t>
            </w:r>
            <w:r>
              <w:rPr>
                <w:rFonts w:hint="default" w:ascii="Times New Roman" w:hAnsi="Times New Roman" w:eastAsia="宋体" w:cs="Times New Roman"/>
                <w:color w:val="auto"/>
                <w:sz w:val="24"/>
                <w:szCs w:val="32"/>
                <w:lang w:val="en-US" w:eastAsia="zh-CN"/>
              </w:rPr>
              <w:t>133.8</w:t>
            </w:r>
            <w:r>
              <w:rPr>
                <w:rFonts w:hint="default" w:ascii="Times New Roman" w:hAnsi="Times New Roman" w:eastAsia="宋体" w:cs="Times New Roman"/>
                <w:color w:val="auto"/>
                <w:sz w:val="24"/>
                <w:szCs w:val="32"/>
              </w:rPr>
              <w:t>t/a。</w:t>
            </w:r>
          </w:p>
          <w:p w14:paraId="0ADCB45D">
            <w:pPr>
              <w:adjustRightInd w:val="0"/>
              <w:snapToGrid w:val="0"/>
              <w:spacing w:line="360" w:lineRule="auto"/>
              <w:ind w:firstLine="480" w:firstLineChars="200"/>
              <w:rPr>
                <w:rFonts w:hint="default" w:ascii="Times New Roman" w:hAnsi="Times New Roman" w:eastAsia="宋体" w:cs="Times New Roman"/>
                <w:color w:val="auto"/>
                <w:sz w:val="24"/>
                <w:szCs w:val="32"/>
              </w:rPr>
            </w:pPr>
            <w:r>
              <w:rPr>
                <w:rFonts w:hint="default" w:ascii="Times New Roman" w:hAnsi="Times New Roman" w:eastAsia="宋体" w:cs="Times New Roman"/>
                <w:color w:val="auto"/>
                <w:sz w:val="24"/>
                <w:szCs w:val="32"/>
                <w:lang w:eastAsia="zh-CN"/>
              </w:rPr>
              <w:t>拟在</w:t>
            </w:r>
            <w:r>
              <w:rPr>
                <w:rFonts w:hint="default" w:ascii="Times New Roman" w:hAnsi="Times New Roman" w:eastAsia="宋体" w:cs="Times New Roman"/>
                <w:color w:val="auto"/>
                <w:sz w:val="24"/>
                <w:szCs w:val="32"/>
              </w:rPr>
              <w:t>破碎机</w:t>
            </w:r>
            <w:r>
              <w:rPr>
                <w:rFonts w:hint="default" w:ascii="Times New Roman" w:hAnsi="Times New Roman" w:eastAsia="宋体" w:cs="Times New Roman"/>
                <w:color w:val="auto"/>
                <w:sz w:val="24"/>
                <w:szCs w:val="32"/>
                <w:lang w:eastAsia="zh-CN"/>
              </w:rPr>
              <w:t>、成型机</w:t>
            </w:r>
            <w:r>
              <w:rPr>
                <w:rFonts w:hint="default" w:ascii="Times New Roman" w:hAnsi="Times New Roman" w:eastAsia="宋体" w:cs="Times New Roman"/>
                <w:color w:val="auto"/>
                <w:sz w:val="24"/>
                <w:szCs w:val="32"/>
              </w:rPr>
              <w:t>上方</w:t>
            </w:r>
            <w:r>
              <w:rPr>
                <w:rFonts w:hint="default" w:ascii="Times New Roman" w:hAnsi="Times New Roman" w:eastAsia="宋体" w:cs="Times New Roman"/>
                <w:color w:val="auto"/>
                <w:sz w:val="24"/>
                <w:szCs w:val="32"/>
                <w:lang w:eastAsia="zh-CN"/>
              </w:rPr>
              <w:t>设置</w:t>
            </w:r>
            <w:r>
              <w:rPr>
                <w:rFonts w:hint="default" w:ascii="Times New Roman" w:hAnsi="Times New Roman" w:eastAsia="宋体" w:cs="Times New Roman"/>
                <w:color w:val="auto"/>
                <w:sz w:val="24"/>
                <w:szCs w:val="32"/>
              </w:rPr>
              <w:t>集气罩</w:t>
            </w:r>
            <w:r>
              <w:rPr>
                <w:rFonts w:hint="default" w:ascii="Times New Roman" w:hAnsi="Times New Roman" w:eastAsia="宋体" w:cs="Times New Roman"/>
                <w:color w:val="auto"/>
                <w:sz w:val="24"/>
                <w:szCs w:val="32"/>
                <w:lang w:eastAsia="zh-CN"/>
              </w:rPr>
              <w:t>对废气</w:t>
            </w:r>
            <w:r>
              <w:rPr>
                <w:rFonts w:hint="default" w:ascii="Times New Roman" w:hAnsi="Times New Roman" w:eastAsia="宋体" w:cs="Times New Roman"/>
                <w:color w:val="auto"/>
                <w:sz w:val="24"/>
                <w:szCs w:val="32"/>
              </w:rPr>
              <w:t>进行收集，收集后进入一套</w:t>
            </w:r>
            <w:r>
              <w:rPr>
                <w:rFonts w:hint="default" w:ascii="Times New Roman" w:hAnsi="Times New Roman" w:eastAsia="宋体" w:cs="Times New Roman"/>
                <w:color w:val="auto"/>
                <w:sz w:val="24"/>
                <w:szCs w:val="32"/>
                <w:lang w:eastAsia="zh-CN"/>
              </w:rPr>
              <w:t>布袋除尘器</w:t>
            </w:r>
            <w:r>
              <w:rPr>
                <w:rFonts w:hint="default" w:ascii="Times New Roman" w:hAnsi="Times New Roman" w:eastAsia="宋体" w:cs="Times New Roman"/>
                <w:color w:val="auto"/>
                <w:sz w:val="24"/>
                <w:szCs w:val="32"/>
              </w:rPr>
              <w:t>进行处理，处理后通过1根15m高排气筒排放（DA00</w:t>
            </w:r>
            <w:r>
              <w:rPr>
                <w:rFonts w:hint="default" w:ascii="Times New Roman" w:hAnsi="Times New Roman" w:eastAsia="宋体" w:cs="Times New Roman"/>
                <w:color w:val="auto"/>
                <w:sz w:val="24"/>
                <w:szCs w:val="32"/>
                <w:lang w:val="en-US" w:eastAsia="zh-CN"/>
              </w:rPr>
              <w:t>3</w:t>
            </w:r>
            <w:r>
              <w:rPr>
                <w:rFonts w:hint="default" w:ascii="Times New Roman" w:hAnsi="Times New Roman" w:eastAsia="宋体" w:cs="Times New Roman"/>
                <w:color w:val="auto"/>
                <w:sz w:val="24"/>
                <w:szCs w:val="32"/>
              </w:rPr>
              <w:t>）。</w:t>
            </w:r>
          </w:p>
          <w:p w14:paraId="714E91E5">
            <w:pPr>
              <w:keepNext w:val="0"/>
              <w:keepLines w:val="0"/>
              <w:pageBreakBefore w:val="0"/>
              <w:widowControl w:val="0"/>
              <w:tabs>
                <w:tab w:val="left" w:pos="3094"/>
              </w:tabs>
              <w:kinsoku/>
              <w:wordWrap/>
              <w:overflowPunct/>
              <w:topLinePunct w:val="0"/>
              <w:autoSpaceDE/>
              <w:autoSpaceDN/>
              <w:bidi w:val="0"/>
              <w:adjustRightInd w:val="0"/>
              <w:snapToGrid w:val="0"/>
              <w:spacing w:before="0" w:line="240" w:lineRule="auto"/>
              <w:ind w:left="0" w:right="0" w:firstLine="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表4-6  RDF燃料生产线废气风量核算一览表</w:t>
            </w:r>
          </w:p>
          <w:tbl>
            <w:tblPr>
              <w:tblStyle w:val="35"/>
              <w:tblW w:w="8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785"/>
              <w:gridCol w:w="794"/>
              <w:gridCol w:w="921"/>
              <w:gridCol w:w="806"/>
              <w:gridCol w:w="701"/>
              <w:gridCol w:w="3493"/>
              <w:gridCol w:w="1348"/>
            </w:tblGrid>
            <w:tr w14:paraId="35C91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9" w:hRule="atLeast"/>
              </w:trPr>
              <w:tc>
                <w:tcPr>
                  <w:tcW w:w="443" w:type="pct"/>
                  <w:noWrap w:val="0"/>
                  <w:vAlign w:val="center"/>
                </w:tcPr>
                <w:p w14:paraId="76E3B8EB">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生产单元</w:t>
                  </w:r>
                </w:p>
              </w:tc>
              <w:tc>
                <w:tcPr>
                  <w:tcW w:w="448" w:type="pct"/>
                  <w:noWrap w:val="0"/>
                  <w:vAlign w:val="center"/>
                </w:tcPr>
                <w:p w14:paraId="7B69F7F9">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污染源</w:t>
                  </w:r>
                </w:p>
              </w:tc>
              <w:tc>
                <w:tcPr>
                  <w:tcW w:w="520" w:type="pct"/>
                  <w:noWrap w:val="0"/>
                  <w:vAlign w:val="center"/>
                </w:tcPr>
                <w:p w14:paraId="6CC3CCF8">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排气筒编号</w:t>
                  </w:r>
                </w:p>
              </w:tc>
              <w:tc>
                <w:tcPr>
                  <w:tcW w:w="455" w:type="pct"/>
                  <w:noWrap w:val="0"/>
                  <w:vAlign w:val="center"/>
                </w:tcPr>
                <w:p w14:paraId="442AD0D9">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排气筒内径（m）</w:t>
                  </w:r>
                </w:p>
              </w:tc>
              <w:tc>
                <w:tcPr>
                  <w:tcW w:w="396" w:type="pct"/>
                  <w:noWrap w:val="0"/>
                  <w:vAlign w:val="center"/>
                </w:tcPr>
                <w:p w14:paraId="4A115A99">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收集措施</w:t>
                  </w:r>
                </w:p>
              </w:tc>
              <w:tc>
                <w:tcPr>
                  <w:tcW w:w="1973" w:type="pct"/>
                  <w:noWrap w:val="0"/>
                  <w:vAlign w:val="center"/>
                </w:tcPr>
                <w:p w14:paraId="24064333">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风量（m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/h）</w:t>
                  </w:r>
                </w:p>
              </w:tc>
              <w:tc>
                <w:tcPr>
                  <w:tcW w:w="761" w:type="pct"/>
                  <w:noWrap w:val="0"/>
                  <w:vAlign w:val="center"/>
                </w:tcPr>
                <w:p w14:paraId="577F0167">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处理措施</w:t>
                  </w:r>
                </w:p>
              </w:tc>
            </w:tr>
            <w:tr w14:paraId="71831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2" w:hRule="atLeast"/>
              </w:trPr>
              <w:tc>
                <w:tcPr>
                  <w:tcW w:w="443" w:type="pct"/>
                  <w:noWrap w:val="0"/>
                  <w:vAlign w:val="center"/>
                </w:tcPr>
                <w:p w14:paraId="122D7D2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r>
                    <w:rPr>
                      <w:rFonts w:hint="default" w:ascii="Times New Roman" w:hAnsi="Times New Roman" w:eastAsia="宋体" w:cs="Times New Roman"/>
                      <w:b w:val="0"/>
                      <w:bCs w:val="0"/>
                      <w:color w:val="auto"/>
                      <w:kern w:val="0"/>
                      <w:sz w:val="21"/>
                      <w:szCs w:val="21"/>
                      <w:vertAlign w:val="baseline"/>
                      <w:lang w:val="en-US" w:eastAsia="zh-CN" w:bidi="ar-SA"/>
                    </w:rPr>
                    <w:t>RDF燃料生产线</w:t>
                  </w:r>
                </w:p>
                <w:p w14:paraId="65D05E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p>
              </w:tc>
              <w:tc>
                <w:tcPr>
                  <w:tcW w:w="448" w:type="pct"/>
                  <w:noWrap w:val="0"/>
                  <w:vAlign w:val="center"/>
                </w:tcPr>
                <w:p w14:paraId="34F0C01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撕碎、成型粉尘</w:t>
                  </w:r>
                </w:p>
              </w:tc>
              <w:tc>
                <w:tcPr>
                  <w:tcW w:w="520" w:type="pct"/>
                  <w:noWrap w:val="0"/>
                  <w:vAlign w:val="center"/>
                </w:tcPr>
                <w:p w14:paraId="36DC48A5">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DA003（15m）</w:t>
                  </w:r>
                </w:p>
              </w:tc>
              <w:tc>
                <w:tcPr>
                  <w:tcW w:w="455" w:type="pct"/>
                  <w:noWrap w:val="0"/>
                  <w:vAlign w:val="center"/>
                </w:tcPr>
                <w:p w14:paraId="4EA29B57">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396" w:type="pct"/>
                  <w:noWrap w:val="0"/>
                  <w:vAlign w:val="center"/>
                </w:tcPr>
                <w:p w14:paraId="1D8E118E">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集气罩</w:t>
                  </w:r>
                </w:p>
              </w:tc>
              <w:tc>
                <w:tcPr>
                  <w:tcW w:w="1973" w:type="pct"/>
                  <w:noWrap w:val="0"/>
                  <w:vAlign w:val="center"/>
                </w:tcPr>
                <w:p w14:paraId="1FB937A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在</w:t>
                  </w:r>
                  <w:r>
                    <w:rPr>
                      <w:rFonts w:hint="default" w:ascii="Times New Roman" w:hAnsi="Times New Roman" w:eastAsia="宋体" w:cs="Times New Roman"/>
                      <w:color w:val="auto"/>
                      <w:sz w:val="21"/>
                      <w:szCs w:val="21"/>
                      <w:lang w:val="en-US" w:eastAsia="zh-CN"/>
                    </w:rPr>
                    <w:t>撕碎机、成型机</w:t>
                  </w:r>
                  <w:r>
                    <w:rPr>
                      <w:rFonts w:hint="default" w:ascii="Times New Roman" w:hAnsi="Times New Roman" w:eastAsia="宋体" w:cs="Times New Roman"/>
                      <w:color w:val="auto"/>
                      <w:sz w:val="21"/>
                      <w:szCs w:val="21"/>
                      <w:lang w:bidi="ar"/>
                    </w:rPr>
                    <w:t>上方设置集气罩大小为</w:t>
                  </w:r>
                  <w:r>
                    <w:rPr>
                      <w:rFonts w:hint="default" w:ascii="Times New Roman" w:hAnsi="Times New Roman" w:eastAsia="宋体" w:cs="Times New Roman"/>
                      <w:color w:val="auto"/>
                      <w:sz w:val="21"/>
                      <w:szCs w:val="21"/>
                      <w:lang w:val="en-US" w:eastAsia="zh-CN" w:bidi="ar"/>
                    </w:rPr>
                    <w:t>1.0</w:t>
                  </w:r>
                  <w:r>
                    <w:rPr>
                      <w:rFonts w:hint="default" w:ascii="Times New Roman" w:hAnsi="Times New Roman" w:eastAsia="宋体" w:cs="Times New Roman"/>
                      <w:color w:val="auto"/>
                      <w:sz w:val="21"/>
                      <w:szCs w:val="21"/>
                      <w:lang w:bidi="ar"/>
                    </w:rPr>
                    <w:t>m×</w:t>
                  </w:r>
                  <w:r>
                    <w:rPr>
                      <w:rFonts w:hint="default" w:ascii="Times New Roman" w:hAnsi="Times New Roman" w:eastAsia="宋体" w:cs="Times New Roman"/>
                      <w:color w:val="auto"/>
                      <w:sz w:val="21"/>
                      <w:szCs w:val="21"/>
                      <w:lang w:val="en-US" w:eastAsia="zh-CN" w:bidi="ar"/>
                    </w:rPr>
                    <w:t>1.0</w:t>
                  </w:r>
                  <w:r>
                    <w:rPr>
                      <w:rFonts w:hint="default" w:ascii="Times New Roman" w:hAnsi="Times New Roman" w:eastAsia="宋体" w:cs="Times New Roman"/>
                      <w:color w:val="auto"/>
                      <w:sz w:val="21"/>
                      <w:szCs w:val="21"/>
                      <w:lang w:bidi="ar"/>
                    </w:rPr>
                    <w:t>m，</w:t>
                  </w:r>
                  <w:r>
                    <w:rPr>
                      <w:rFonts w:hint="default" w:ascii="Times New Roman" w:hAnsi="Times New Roman" w:eastAsia="宋体" w:cs="Times New Roman"/>
                      <w:color w:val="auto"/>
                      <w:sz w:val="21"/>
                      <w:szCs w:val="21"/>
                      <w:lang w:val="en-US" w:eastAsia="zh-CN" w:bidi="ar"/>
                    </w:rPr>
                    <w:t>参照《排风罩的分类及技术条件》（GB/T16758-2008）、《局部排风设施控 制风速检测与评估技术规范》（AQ/T4274），粉尘收集风速以1.1m/s考虑。集气风量核算方法：集气罩面积（1.0×1.0）×平均风速1.1m/s×3600s=3960m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w:t>
                  </w:r>
                </w:p>
                <w:p w14:paraId="44EE7F0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val="en-US" w:eastAsia="zh-CN" w:bidi="ar"/>
                    </w:rPr>
                    <w:t>共设置7个集气罩，则3960m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/h×7=27720m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w:t>
                  </w:r>
                </w:p>
              </w:tc>
              <w:tc>
                <w:tcPr>
                  <w:tcW w:w="761" w:type="pct"/>
                  <w:noWrap w:val="0"/>
                  <w:vAlign w:val="center"/>
                </w:tcPr>
                <w:p w14:paraId="4747127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vertAlign w:val="baseline"/>
                      <w:lang w:val="en-US" w:eastAsia="zh-CN"/>
                    </w:rPr>
                    <w:t>布袋除尘器+15m排气筒DA003，</w:t>
                  </w:r>
                  <w:r>
                    <w:rPr>
                      <w:rFonts w:hint="default" w:ascii="Times New Roman" w:hAnsi="Times New Roman" w:eastAsia="宋体" w:cs="Times New Roman"/>
                      <w:color w:val="auto"/>
                      <w:kern w:val="0"/>
                      <w:sz w:val="21"/>
                      <w:szCs w:val="21"/>
                      <w:lang w:val="en-US" w:eastAsia="zh-CN" w:bidi="ar"/>
                    </w:rPr>
                    <w:t>考虑风量损失，设计风量为30000</w:t>
                  </w:r>
                  <w:r>
                    <w:rPr>
                      <w:rFonts w:hint="default" w:ascii="Times New Roman" w:hAnsi="Times New Roman" w:eastAsia="宋体" w:cs="Times New Roman"/>
                      <w:b w:val="0"/>
                      <w:bCs/>
                      <w:color w:val="auto"/>
                      <w:sz w:val="21"/>
                      <w:szCs w:val="21"/>
                      <w:highlight w:val="none"/>
                      <w:lang w:val="en-US" w:eastAsia="zh-CN"/>
                    </w:rPr>
                    <w:t>m</w:t>
                  </w:r>
                  <w:r>
                    <w:rPr>
                      <w:rFonts w:hint="default" w:ascii="Times New Roman" w:hAnsi="Times New Roman" w:eastAsia="宋体" w:cs="Times New Roman"/>
                      <w:b w:val="0"/>
                      <w:bCs/>
                      <w:color w:val="auto"/>
                      <w:sz w:val="21"/>
                      <w:szCs w:val="21"/>
                      <w:highlight w:val="none"/>
                      <w:vertAlign w:val="superscript"/>
                      <w:lang w:val="en-US" w:eastAsia="zh-CN"/>
                    </w:rPr>
                    <w:t>3</w:t>
                  </w:r>
                  <w:r>
                    <w:rPr>
                      <w:rFonts w:hint="default" w:ascii="Times New Roman" w:hAnsi="Times New Roman" w:eastAsia="宋体" w:cs="Times New Roman"/>
                      <w:color w:val="auto"/>
                      <w:kern w:val="0"/>
                      <w:sz w:val="21"/>
                      <w:szCs w:val="21"/>
                      <w:lang w:val="en-US" w:eastAsia="zh-CN" w:bidi="ar"/>
                    </w:rPr>
                    <w:t xml:space="preserve"> /h</w:t>
                  </w:r>
                </w:p>
              </w:tc>
            </w:tr>
          </w:tbl>
          <w:p w14:paraId="6B0047C9">
            <w:pPr>
              <w:spacing w:line="360" w:lineRule="auto"/>
              <w:ind w:firstLine="480"/>
              <w:rPr>
                <w:rFonts w:hint="default" w:ascii="Times New Roman" w:hAnsi="Times New Roman" w:eastAsia="宋体" w:cs="Times New Roman"/>
                <w:b/>
                <w:color w:val="auto"/>
                <w:sz w:val="24"/>
                <w:szCs w:val="32"/>
              </w:rPr>
            </w:pPr>
            <w:r>
              <w:rPr>
                <w:rFonts w:hint="default" w:ascii="Times New Roman" w:hAnsi="Times New Roman" w:eastAsia="宋体" w:cs="Times New Roman"/>
                <w:bCs/>
                <w:color w:val="auto"/>
                <w:sz w:val="24"/>
                <w:szCs w:val="32"/>
                <w:lang w:eastAsia="zh-CN"/>
              </w:rPr>
              <w:t>由上表可知，项目</w:t>
            </w:r>
            <w:r>
              <w:rPr>
                <w:rFonts w:hint="default" w:ascii="Times New Roman" w:hAnsi="Times New Roman" w:eastAsia="宋体" w:cs="Times New Roman"/>
                <w:bCs/>
                <w:color w:val="auto"/>
                <w:sz w:val="24"/>
                <w:szCs w:val="32"/>
                <w:lang w:val="en-US" w:eastAsia="zh-CN"/>
              </w:rPr>
              <w:t>RDF燃料生产线</w:t>
            </w:r>
            <w:r>
              <w:rPr>
                <w:rFonts w:hint="default" w:ascii="Times New Roman" w:hAnsi="Times New Roman" w:eastAsia="宋体" w:cs="Times New Roman"/>
                <w:bCs/>
                <w:color w:val="auto"/>
                <w:sz w:val="24"/>
                <w:szCs w:val="32"/>
                <w:lang w:eastAsia="zh-CN"/>
              </w:rPr>
              <w:t>废气处理设施风机风量需设计</w:t>
            </w:r>
            <w:r>
              <w:rPr>
                <w:rFonts w:hint="default" w:ascii="Times New Roman" w:hAnsi="Times New Roman" w:eastAsia="宋体" w:cs="Times New Roman"/>
                <w:bCs/>
                <w:color w:val="auto"/>
                <w:sz w:val="24"/>
                <w:szCs w:val="32"/>
                <w:lang w:val="en-US" w:eastAsia="zh-CN"/>
              </w:rPr>
              <w:t>30000</w:t>
            </w:r>
            <w:r>
              <w:rPr>
                <w:rFonts w:hint="default" w:ascii="Times New Roman" w:hAnsi="Times New Roman" w:eastAsia="宋体" w:cs="Times New Roman"/>
                <w:b w:val="0"/>
                <w:bCs/>
                <w:color w:val="auto"/>
                <w:sz w:val="24"/>
                <w:szCs w:val="24"/>
                <w:highlight w:val="none"/>
                <w:lang w:val="en-US" w:eastAsia="zh-CN"/>
              </w:rPr>
              <w:t>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default" w:ascii="Times New Roman" w:hAnsi="Times New Roman" w:eastAsia="宋体" w:cs="Times New Roman"/>
                <w:color w:val="auto"/>
                <w:kern w:val="0"/>
                <w:sz w:val="24"/>
                <w:szCs w:val="24"/>
                <w:lang w:val="en-US" w:eastAsia="zh-CN" w:bidi="ar"/>
              </w:rPr>
              <w:t>/h，</w:t>
            </w:r>
            <w:r>
              <w:rPr>
                <w:rFonts w:hint="default" w:ascii="Times New Roman" w:hAnsi="Times New Roman" w:eastAsia="宋体" w:cs="Times New Roman"/>
                <w:bCs/>
                <w:color w:val="auto"/>
                <w:sz w:val="24"/>
                <w:szCs w:val="32"/>
              </w:rPr>
              <w:t>集气罩收集效率</w:t>
            </w:r>
            <w:r>
              <w:rPr>
                <w:rFonts w:hint="default" w:ascii="Times New Roman" w:hAnsi="Times New Roman" w:eastAsia="宋体" w:cs="Times New Roman"/>
                <w:bCs/>
                <w:color w:val="auto"/>
                <w:sz w:val="24"/>
                <w:szCs w:val="32"/>
                <w:lang w:val="en-US" w:eastAsia="zh-CN"/>
              </w:rPr>
              <w:t>90</w:t>
            </w:r>
            <w:r>
              <w:rPr>
                <w:rFonts w:hint="default" w:ascii="Times New Roman" w:hAnsi="Times New Roman" w:eastAsia="宋体" w:cs="Times New Roman"/>
                <w:bCs/>
                <w:color w:val="auto"/>
                <w:sz w:val="24"/>
                <w:szCs w:val="32"/>
              </w:rPr>
              <w:t>%，</w:t>
            </w:r>
            <w:r>
              <w:rPr>
                <w:rFonts w:hint="default" w:ascii="Times New Roman" w:hAnsi="Times New Roman" w:eastAsia="宋体" w:cs="Times New Roman"/>
                <w:color w:val="auto"/>
                <w:sz w:val="24"/>
                <w:szCs w:val="24"/>
              </w:rPr>
              <w:t>根据</w:t>
            </w:r>
            <w:r>
              <w:rPr>
                <w:rFonts w:hint="default" w:ascii="Times New Roman" w:hAnsi="Times New Roman" w:eastAsia="宋体" w:cs="Times New Roman"/>
                <w:color w:val="auto"/>
                <w:sz w:val="24"/>
                <w:szCs w:val="24"/>
                <w:lang w:eastAsia="zh-CN"/>
              </w:rPr>
              <w:t>布袋</w:t>
            </w:r>
            <w:r>
              <w:rPr>
                <w:rFonts w:hint="default" w:ascii="Times New Roman" w:hAnsi="Times New Roman" w:eastAsia="宋体" w:cs="Times New Roman"/>
                <w:color w:val="auto"/>
                <w:sz w:val="24"/>
                <w:szCs w:val="24"/>
              </w:rPr>
              <w:t>除尘器设计参数，除尘效率可达99%以上</w:t>
            </w:r>
            <w:r>
              <w:rPr>
                <w:rFonts w:hint="default" w:ascii="Times New Roman" w:hAnsi="Times New Roman" w:eastAsia="宋体" w:cs="Times New Roman"/>
                <w:color w:val="auto"/>
                <w:sz w:val="24"/>
                <w:szCs w:val="24"/>
                <w:lang w:eastAsia="zh-CN"/>
              </w:rPr>
              <w:t>（本项目取</w:t>
            </w:r>
            <w:r>
              <w:rPr>
                <w:rFonts w:hint="default" w:ascii="Times New Roman" w:hAnsi="Times New Roman" w:eastAsia="宋体" w:cs="Times New Roman"/>
                <w:color w:val="auto"/>
                <w:sz w:val="24"/>
                <w:szCs w:val="24"/>
                <w:lang w:val="en-US" w:eastAsia="zh-CN"/>
              </w:rPr>
              <w:t>99.5%</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32"/>
              </w:rPr>
              <w:t>，</w:t>
            </w:r>
            <w:r>
              <w:rPr>
                <w:rFonts w:hint="default" w:ascii="Times New Roman" w:hAnsi="Times New Roman" w:eastAsia="宋体" w:cs="Times New Roman"/>
                <w:bCs/>
                <w:color w:val="auto"/>
                <w:sz w:val="24"/>
                <w:szCs w:val="32"/>
                <w:lang w:eastAsia="zh-CN"/>
              </w:rPr>
              <w:t>年工作时间</w:t>
            </w:r>
            <w:r>
              <w:rPr>
                <w:rFonts w:hint="default" w:ascii="Times New Roman" w:hAnsi="Times New Roman" w:eastAsia="宋体" w:cs="Times New Roman"/>
                <w:bCs/>
                <w:color w:val="auto"/>
                <w:sz w:val="24"/>
                <w:szCs w:val="32"/>
                <w:lang w:val="en-US" w:eastAsia="zh-CN"/>
              </w:rPr>
              <w:t>2560h，</w:t>
            </w:r>
            <w:r>
              <w:rPr>
                <w:rFonts w:hint="default" w:ascii="Times New Roman" w:hAnsi="Times New Roman" w:eastAsia="宋体" w:cs="Times New Roman"/>
                <w:bCs/>
                <w:color w:val="auto"/>
                <w:sz w:val="24"/>
                <w:szCs w:val="32"/>
                <w:lang w:eastAsia="zh-CN"/>
              </w:rPr>
              <w:t>则</w:t>
            </w:r>
            <w:r>
              <w:rPr>
                <w:rFonts w:hint="default" w:ascii="Times New Roman" w:hAnsi="Times New Roman" w:eastAsia="宋体" w:cs="Times New Roman"/>
                <w:bCs/>
                <w:color w:val="auto"/>
                <w:sz w:val="24"/>
                <w:szCs w:val="32"/>
                <w:lang w:val="en-US" w:eastAsia="zh-CN"/>
              </w:rPr>
              <w:t>撕碎、成型</w:t>
            </w:r>
            <w:r>
              <w:rPr>
                <w:rFonts w:hint="default" w:ascii="Times New Roman" w:hAnsi="Times New Roman" w:eastAsia="宋体" w:cs="Times New Roman"/>
                <w:bCs/>
                <w:color w:val="auto"/>
                <w:sz w:val="24"/>
                <w:szCs w:val="32"/>
                <w:lang w:eastAsia="zh-CN"/>
              </w:rPr>
              <w:t>过程有组织粉尘排放量为</w:t>
            </w:r>
            <w:r>
              <w:rPr>
                <w:rFonts w:hint="default" w:ascii="Times New Roman" w:hAnsi="Times New Roman" w:eastAsia="宋体" w:cs="Times New Roman"/>
                <w:bCs/>
                <w:color w:val="auto"/>
                <w:sz w:val="24"/>
                <w:szCs w:val="32"/>
                <w:lang w:val="en-US" w:eastAsia="zh-CN"/>
              </w:rPr>
              <w:t>0.60t/a，排放速率为0.24kg/h，排放浓度为7.84mg/m</w:t>
            </w:r>
            <w:r>
              <w:rPr>
                <w:rFonts w:hint="default" w:ascii="Times New Roman" w:hAnsi="Times New Roman" w:eastAsia="宋体" w:cs="Times New Roman"/>
                <w:bCs/>
                <w:color w:val="auto"/>
                <w:sz w:val="24"/>
                <w:szCs w:val="32"/>
                <w:vertAlign w:val="superscript"/>
                <w:lang w:val="en-US" w:eastAsia="zh-CN"/>
              </w:rPr>
              <w:t>3</w:t>
            </w:r>
            <w:r>
              <w:rPr>
                <w:rFonts w:hint="default" w:ascii="Times New Roman" w:hAnsi="Times New Roman" w:eastAsia="宋体" w:cs="Times New Roman"/>
                <w:bCs/>
                <w:color w:val="auto"/>
                <w:sz w:val="24"/>
                <w:szCs w:val="32"/>
              </w:rPr>
              <w:t>。</w:t>
            </w:r>
          </w:p>
          <w:bookmarkEnd w:id="73"/>
          <w:p w14:paraId="02E8FB2C">
            <w:pPr>
              <w:pStyle w:val="12"/>
              <w:adjustRightInd w:val="0"/>
              <w:spacing w:before="0" w:after="0" w:line="360" w:lineRule="auto"/>
              <w:ind w:right="0" w:firstLine="480" w:firstLineChars="200"/>
              <w:rPr>
                <w:rFonts w:hint="default" w:ascii="Times New Roman" w:hAnsi="Times New Roman" w:eastAsia="宋体" w:cs="Times New Roman"/>
                <w:bCs/>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未收集粉尘量为</w:t>
            </w:r>
            <w:r>
              <w:rPr>
                <w:rFonts w:hint="default" w:ascii="Times New Roman" w:hAnsi="Times New Roman" w:eastAsia="宋体" w:cs="Times New Roman"/>
                <w:b w:val="0"/>
                <w:bCs w:val="0"/>
                <w:color w:val="auto"/>
                <w:sz w:val="24"/>
                <w:szCs w:val="24"/>
                <w:lang w:val="en-US" w:eastAsia="zh-CN"/>
              </w:rPr>
              <w:t>13.38</w:t>
            </w:r>
            <w:r>
              <w:rPr>
                <w:rFonts w:hint="default" w:ascii="Times New Roman" w:hAnsi="Times New Roman" w:eastAsia="宋体" w:cs="Times New Roman"/>
                <w:b w:val="0"/>
                <w:bCs w:val="0"/>
                <w:color w:val="auto"/>
                <w:kern w:val="2"/>
                <w:sz w:val="24"/>
                <w:szCs w:val="24"/>
                <w:lang w:val="en-US" w:eastAsia="zh-CN" w:bidi="ar-SA"/>
              </w:rPr>
              <w:t>t/a，通过</w:t>
            </w:r>
            <w:r>
              <w:rPr>
                <w:rFonts w:hint="default" w:ascii="Times New Roman" w:hAnsi="Times New Roman" w:eastAsia="宋体" w:cs="Times New Roman"/>
                <w:color w:val="auto"/>
                <w:sz w:val="24"/>
                <w:szCs w:val="32"/>
                <w:lang w:eastAsia="zh-CN"/>
              </w:rPr>
              <w:t>RDF燃料生产线</w:t>
            </w:r>
            <w:r>
              <w:rPr>
                <w:rFonts w:hint="default" w:ascii="Times New Roman" w:hAnsi="Times New Roman" w:eastAsia="宋体" w:cs="Times New Roman"/>
                <w:b w:val="0"/>
                <w:bCs w:val="0"/>
                <w:color w:val="auto"/>
                <w:kern w:val="2"/>
                <w:sz w:val="24"/>
                <w:szCs w:val="24"/>
                <w:lang w:val="en-US" w:eastAsia="zh-CN" w:bidi="ar-SA"/>
              </w:rPr>
              <w:t>密闭生产，并加装喷淋降尘设施，</w:t>
            </w:r>
            <w:r>
              <w:rPr>
                <w:rFonts w:hint="default" w:ascii="Times New Roman" w:hAnsi="Times New Roman" w:eastAsia="宋体" w:cs="Times New Roman"/>
                <w:bCs/>
                <w:color w:val="auto"/>
                <w:kern w:val="2"/>
                <w:sz w:val="24"/>
                <w:szCs w:val="24"/>
                <w:lang w:val="en-US" w:eastAsia="zh-CN" w:bidi="ar-SA"/>
              </w:rPr>
              <w:t>粉尘控制效率可达到95%，经降尘处理后的无组织粉尘量为0.669t/a，排放速率为0.261kg/h。</w:t>
            </w:r>
          </w:p>
          <w:p w14:paraId="4C1DC028">
            <w:pPr>
              <w:pStyle w:val="12"/>
              <w:numPr>
                <w:ilvl w:val="0"/>
                <w:numId w:val="0"/>
              </w:numPr>
              <w:adjustRightInd w:val="0"/>
              <w:spacing w:before="0" w:after="0" w:line="360" w:lineRule="auto"/>
              <w:ind w:leftChars="200" w:right="0" w:rightChars="0"/>
              <w:rPr>
                <w:rFonts w:hint="default" w:ascii="Times New Roman" w:hAnsi="Times New Roman" w:eastAsia="宋体" w:cs="Times New Roman"/>
                <w:color w:val="auto"/>
                <w:sz w:val="24"/>
                <w:szCs w:val="32"/>
                <w:lang w:val="en-US" w:eastAsia="zh-CN"/>
              </w:rPr>
            </w:pPr>
            <w:r>
              <w:rPr>
                <w:rFonts w:hint="default" w:ascii="Times New Roman" w:hAnsi="Times New Roman" w:eastAsia="宋体" w:cs="Times New Roman"/>
                <w:color w:val="auto"/>
                <w:sz w:val="24"/>
                <w:szCs w:val="32"/>
                <w:lang w:val="en-US" w:eastAsia="zh-CN"/>
              </w:rPr>
              <w:t>（3）污泥贮存恶臭</w:t>
            </w:r>
          </w:p>
          <w:p w14:paraId="7E6AA11C">
            <w:pPr>
              <w:pStyle w:val="12"/>
              <w:adjustRightInd w:val="0"/>
              <w:spacing w:before="0" w:after="0" w:line="360" w:lineRule="auto"/>
              <w:ind w:right="0" w:firstLine="480" w:firstLineChars="200"/>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t>本项目设置密闭污泥贮存间，建筑面积400m</w:t>
            </w:r>
            <w:r>
              <w:rPr>
                <w:rFonts w:hint="default" w:ascii="Times New Roman" w:hAnsi="Times New Roman" w:eastAsia="宋体" w:cs="Times New Roman"/>
                <w:bCs/>
                <w:color w:val="auto"/>
                <w:sz w:val="24"/>
                <w:vertAlign w:val="superscript"/>
                <w:lang w:val="en-US" w:eastAsia="zh-CN"/>
              </w:rPr>
              <w:t>2</w:t>
            </w:r>
            <w:r>
              <w:rPr>
                <w:rFonts w:hint="default" w:ascii="Times New Roman" w:hAnsi="Times New Roman" w:eastAsia="宋体" w:cs="Times New Roman"/>
                <w:bCs/>
                <w:color w:val="auto"/>
                <w:sz w:val="24"/>
                <w:lang w:val="en-US" w:eastAsia="zh-CN"/>
              </w:rPr>
              <w:t>，污泥在贮存过程中会产生硫化氢、氨气以及臭气浓度。由于《排污许可证申请与核发技术规范水处理》（HJ978-2018）没有本项目相适用的产污系数，可参考同类型企业的验收数据，本项目参考《天津滨海新区汉沽市政污泥贮存处理项目竣工环境保护验收监测报告》中废气处理装置进口数据，根据报告中数据，该项目年处理市政污泥量为6.7万吨，并且均为市政污泥，因此本次评价引用该项目的数据是可行的。根据监测报告可计算出其硫化氢产生量为0.16t/a，氨产生量为5.74t/a，该项目废气收集效率按照95%计算，可得出该厂区污泥贮存过程产生的硫化氢量为0.17t/a，产生的氨量为6.04t/a。</w:t>
            </w:r>
          </w:p>
          <w:p w14:paraId="3C114850">
            <w:pPr>
              <w:pStyle w:val="12"/>
              <w:adjustRightInd w:val="0"/>
              <w:spacing w:before="0" w:after="0" w:line="360" w:lineRule="auto"/>
              <w:ind w:right="0" w:firstLine="480" w:firstLineChars="200"/>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t>本项目需贮存的污泥量为20000t/a，参照其产污系数可计算出本项目污泥贮存过程中硫化氢产生量为0.05t/a，产生的氨量为1.8t/a。本项目污泥贮存过程产生的臭气经过密闭贮存收集（收集效率以95%计），经生物除臭塔处理后由15m高排气筒（DA004）外排，处理效率为85%。未被收集的部分以无组织形式外排，则无组织硫化氢排放量为0.002t/a，排放速率为0.0008kg/h；无组织氨气排放量为0.09t/a，排放速率为0.040kg/h。</w:t>
            </w:r>
          </w:p>
          <w:p w14:paraId="169A941A">
            <w:pPr>
              <w:adjustRightInd w:val="0"/>
              <w:spacing w:line="360" w:lineRule="auto"/>
              <w:ind w:firstLine="480" w:firstLineChars="200"/>
              <w:rPr>
                <w:rFonts w:hint="default" w:ascii="Times New Roman" w:hAnsi="Times New Roman" w:eastAsia="宋体" w:cs="Times New Roman"/>
                <w:color w:val="auto"/>
                <w:sz w:val="24"/>
                <w:szCs w:val="32"/>
                <w:lang w:val="en-US" w:eastAsia="zh-CN"/>
              </w:rPr>
            </w:pPr>
            <w:r>
              <w:rPr>
                <w:rFonts w:hint="default" w:ascii="Times New Roman" w:hAnsi="Times New Roman" w:eastAsia="宋体" w:cs="Times New Roman"/>
                <w:color w:val="auto"/>
                <w:sz w:val="24"/>
                <w:szCs w:val="32"/>
                <w:lang w:val="en-US" w:eastAsia="zh-CN"/>
              </w:rPr>
              <w:t>（5）成型恶臭</w:t>
            </w:r>
          </w:p>
          <w:p w14:paraId="76C3B390">
            <w:pPr>
              <w:adjustRightInd w:val="0"/>
              <w:snapToGrid w:val="0"/>
              <w:spacing w:line="360" w:lineRule="auto"/>
              <w:ind w:firstLine="480" w:firstLineChars="200"/>
              <w:rPr>
                <w:rFonts w:hint="default" w:ascii="Times New Roman" w:hAnsi="Times New Roman" w:eastAsia="宋体" w:cs="Times New Roman"/>
                <w:color w:val="auto"/>
              </w:rPr>
            </w:pPr>
            <w:r>
              <w:rPr>
                <w:rFonts w:hint="default" w:ascii="Times New Roman" w:hAnsi="Times New Roman" w:eastAsia="宋体" w:cs="Times New Roman"/>
                <w:color w:val="auto"/>
                <w:sz w:val="24"/>
                <w:szCs w:val="24"/>
                <w:lang w:eastAsia="zh-CN"/>
              </w:rPr>
              <w:t>成型</w:t>
            </w:r>
            <w:r>
              <w:rPr>
                <w:rFonts w:hint="default" w:ascii="Times New Roman" w:hAnsi="Times New Roman" w:eastAsia="宋体" w:cs="Times New Roman"/>
                <w:color w:val="auto"/>
                <w:sz w:val="24"/>
                <w:szCs w:val="24"/>
              </w:rPr>
              <w:t>机为全密闭式结构，出料口大小与成品一致，故该过程基本无粉尘废气逸出，整个生产过程不产生化学反应。项目加热</w:t>
            </w:r>
            <w:r>
              <w:rPr>
                <w:rFonts w:hint="default" w:ascii="Times New Roman" w:hAnsi="Times New Roman" w:eastAsia="宋体" w:cs="Times New Roman"/>
                <w:color w:val="auto"/>
                <w:sz w:val="24"/>
                <w:szCs w:val="24"/>
                <w:lang w:eastAsia="zh-CN"/>
              </w:rPr>
              <w:t>污泥</w:t>
            </w:r>
            <w:r>
              <w:rPr>
                <w:rFonts w:hint="default" w:ascii="Times New Roman" w:hAnsi="Times New Roman" w:eastAsia="宋体" w:cs="Times New Roman"/>
                <w:color w:val="auto"/>
                <w:sz w:val="24"/>
                <w:szCs w:val="24"/>
              </w:rPr>
              <w:t>会产生少量恶臭气体和水蒸气。</w:t>
            </w:r>
            <w:r>
              <w:rPr>
                <w:rFonts w:hint="default" w:ascii="Times New Roman" w:hAnsi="Times New Roman" w:eastAsia="宋体" w:cs="Times New Roman"/>
                <w:color w:val="auto"/>
                <w:sz w:val="24"/>
                <w:szCs w:val="32"/>
              </w:rPr>
              <w:t>成型过程硫化氢以及氨气的产生量参照贮存过程的60%计算，则</w:t>
            </w:r>
            <w:r>
              <w:rPr>
                <w:rFonts w:hint="default" w:ascii="Times New Roman" w:hAnsi="Times New Roman" w:eastAsia="宋体" w:cs="Times New Roman"/>
                <w:color w:val="auto"/>
                <w:sz w:val="24"/>
                <w:szCs w:val="32"/>
                <w:lang w:bidi="ar"/>
              </w:rPr>
              <w:t>硫化氢产生量为0.0</w:t>
            </w:r>
            <w:r>
              <w:rPr>
                <w:rFonts w:hint="default" w:ascii="Times New Roman" w:hAnsi="Times New Roman" w:eastAsia="宋体" w:cs="Times New Roman"/>
                <w:color w:val="auto"/>
                <w:sz w:val="24"/>
                <w:szCs w:val="32"/>
                <w:lang w:val="en-US" w:eastAsia="zh-CN" w:bidi="ar"/>
              </w:rPr>
              <w:t>30</w:t>
            </w:r>
            <w:r>
              <w:rPr>
                <w:rFonts w:hint="default" w:ascii="Times New Roman" w:hAnsi="Times New Roman" w:eastAsia="宋体" w:cs="Times New Roman"/>
                <w:color w:val="auto"/>
                <w:sz w:val="24"/>
                <w:szCs w:val="32"/>
                <w:lang w:bidi="ar"/>
              </w:rPr>
              <w:t>t/a，产生的氨量为</w:t>
            </w:r>
            <w:r>
              <w:rPr>
                <w:rFonts w:hint="default" w:ascii="Times New Roman" w:hAnsi="Times New Roman" w:eastAsia="宋体" w:cs="Times New Roman"/>
                <w:color w:val="auto"/>
                <w:sz w:val="24"/>
                <w:szCs w:val="32"/>
                <w:lang w:val="en-US" w:eastAsia="zh-CN" w:bidi="ar"/>
              </w:rPr>
              <w:t>1.08</w:t>
            </w:r>
            <w:r>
              <w:rPr>
                <w:rFonts w:hint="default" w:ascii="Times New Roman" w:hAnsi="Times New Roman" w:eastAsia="宋体" w:cs="Times New Roman"/>
                <w:color w:val="auto"/>
                <w:sz w:val="24"/>
                <w:szCs w:val="32"/>
                <w:lang w:bidi="ar"/>
              </w:rPr>
              <w:t>t/a。</w:t>
            </w:r>
          </w:p>
          <w:p w14:paraId="6E5D5D3A">
            <w:pPr>
              <w:pStyle w:val="12"/>
              <w:adjustRightInd w:val="0"/>
              <w:spacing w:before="0" w:after="0" w:line="360" w:lineRule="auto"/>
              <w:ind w:right="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eastAsia="zh-CN"/>
              </w:rPr>
              <w:t>该过程恶臭</w:t>
            </w:r>
            <w:r>
              <w:rPr>
                <w:rFonts w:hint="default" w:ascii="Times New Roman" w:hAnsi="Times New Roman" w:eastAsia="宋体" w:cs="Times New Roman"/>
                <w:snapToGrid w:val="0"/>
                <w:color w:val="auto"/>
                <w:sz w:val="24"/>
                <w:szCs w:val="24"/>
              </w:rPr>
              <w:t>经过</w:t>
            </w:r>
            <w:r>
              <w:rPr>
                <w:rFonts w:hint="default" w:ascii="Times New Roman" w:hAnsi="Times New Roman" w:eastAsia="宋体" w:cs="Times New Roman"/>
                <w:snapToGrid w:val="0"/>
                <w:color w:val="auto"/>
                <w:sz w:val="24"/>
                <w:szCs w:val="24"/>
                <w:lang w:val="en-US" w:eastAsia="zh-CN"/>
              </w:rPr>
              <w:t>密闭成型间进行收集，</w:t>
            </w:r>
            <w:r>
              <w:rPr>
                <w:rFonts w:hint="default" w:ascii="Times New Roman" w:hAnsi="Times New Roman" w:eastAsia="宋体" w:cs="Times New Roman"/>
                <w:color w:val="auto"/>
                <w:sz w:val="24"/>
                <w:szCs w:val="24"/>
                <w:lang w:val="en-US" w:eastAsia="zh-CN"/>
              </w:rPr>
              <w:t>挤压成型过程在密闭成型间内进行，密闭成型间长6m、宽3m，建筑面积为18m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，为单独设置的密闭区</w:t>
            </w:r>
            <w:r>
              <w:rPr>
                <w:rFonts w:hint="default" w:ascii="Times New Roman" w:hAnsi="Times New Roman" w:eastAsia="宋体" w:cs="Times New Roman"/>
                <w:snapToGrid w:val="0"/>
                <w:color w:val="auto"/>
                <w:sz w:val="24"/>
                <w:szCs w:val="24"/>
              </w:rPr>
              <w:t>，密闭</w:t>
            </w:r>
            <w:r>
              <w:rPr>
                <w:rFonts w:hint="default" w:ascii="Times New Roman" w:hAnsi="Times New Roman" w:eastAsia="宋体" w:cs="Times New Roman"/>
                <w:snapToGrid w:val="0"/>
                <w:color w:val="auto"/>
                <w:sz w:val="24"/>
                <w:szCs w:val="24"/>
                <w:lang w:val="en-US" w:eastAsia="zh-CN"/>
              </w:rPr>
              <w:t>的废气经过负压</w:t>
            </w:r>
            <w:r>
              <w:rPr>
                <w:rFonts w:hint="default" w:ascii="Times New Roman" w:hAnsi="Times New Roman" w:eastAsia="宋体" w:cs="Times New Roman"/>
                <w:snapToGrid w:val="0"/>
                <w:color w:val="auto"/>
                <w:sz w:val="24"/>
                <w:szCs w:val="24"/>
              </w:rPr>
              <w:t>收集</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bidi="ar"/>
              </w:rPr>
              <w:t>收集效率以9</w:t>
            </w:r>
            <w:r>
              <w:rPr>
                <w:rFonts w:hint="default" w:ascii="Times New Roman" w:hAnsi="Times New Roman" w:eastAsia="宋体" w:cs="Times New Roman"/>
                <w:color w:val="auto"/>
                <w:sz w:val="24"/>
                <w:szCs w:val="24"/>
                <w:lang w:val="en-US" w:eastAsia="zh-CN" w:bidi="ar"/>
              </w:rPr>
              <w:t>5</w:t>
            </w:r>
            <w:r>
              <w:rPr>
                <w:rFonts w:hint="default" w:ascii="Times New Roman" w:hAnsi="Times New Roman" w:eastAsia="宋体" w:cs="Times New Roman"/>
                <w:color w:val="auto"/>
                <w:sz w:val="24"/>
                <w:szCs w:val="24"/>
                <w:lang w:bidi="ar"/>
              </w:rPr>
              <w:t>%计</w:t>
            </w:r>
            <w:r>
              <w:rPr>
                <w:rFonts w:hint="default" w:ascii="Times New Roman" w:hAnsi="Times New Roman" w:eastAsia="宋体" w:cs="Times New Roman"/>
                <w:color w:val="auto"/>
                <w:sz w:val="24"/>
                <w:szCs w:val="24"/>
              </w:rPr>
              <w:t>）</w:t>
            </w:r>
            <w:r>
              <w:rPr>
                <w:rFonts w:hint="default" w:ascii="Times New Roman" w:hAnsi="Times New Roman" w:eastAsia="宋体" w:cs="Times New Roman"/>
                <w:snapToGrid w:val="0"/>
                <w:color w:val="auto"/>
                <w:sz w:val="24"/>
                <w:szCs w:val="24"/>
              </w:rPr>
              <w:t>后</w:t>
            </w:r>
            <w:r>
              <w:rPr>
                <w:rFonts w:hint="default" w:ascii="Times New Roman" w:hAnsi="Times New Roman" w:eastAsia="宋体" w:cs="Times New Roman"/>
                <w:color w:val="auto"/>
                <w:sz w:val="24"/>
                <w:szCs w:val="24"/>
                <w:lang w:eastAsia="zh-CN" w:bidi="ar"/>
              </w:rPr>
              <w:t>经</w:t>
            </w:r>
            <w:r>
              <w:rPr>
                <w:rFonts w:hint="default" w:ascii="Times New Roman" w:hAnsi="Times New Roman" w:eastAsia="宋体" w:cs="Times New Roman"/>
                <w:color w:val="auto"/>
                <w:sz w:val="24"/>
                <w:szCs w:val="24"/>
                <w:lang w:bidi="ar"/>
              </w:rPr>
              <w:t>生物除臭塔处理后由15m高</w:t>
            </w:r>
            <w:r>
              <w:rPr>
                <w:rFonts w:hint="default" w:ascii="Times New Roman" w:hAnsi="Times New Roman" w:eastAsia="宋体" w:cs="Times New Roman"/>
                <w:color w:val="auto"/>
                <w:sz w:val="24"/>
                <w:szCs w:val="24"/>
                <w:lang w:eastAsia="zh-CN" w:bidi="ar"/>
              </w:rPr>
              <w:t>排气筒（</w:t>
            </w:r>
            <w:r>
              <w:rPr>
                <w:rFonts w:hint="default" w:ascii="Times New Roman" w:hAnsi="Times New Roman" w:eastAsia="宋体" w:cs="Times New Roman"/>
                <w:color w:val="auto"/>
                <w:sz w:val="24"/>
                <w:szCs w:val="24"/>
                <w:lang w:val="en-US" w:eastAsia="zh-CN" w:bidi="ar"/>
              </w:rPr>
              <w:t>DA004</w:t>
            </w:r>
            <w:r>
              <w:rPr>
                <w:rFonts w:hint="default" w:ascii="Times New Roman" w:hAnsi="Times New Roman" w:eastAsia="宋体" w:cs="Times New Roman"/>
                <w:color w:val="auto"/>
                <w:sz w:val="24"/>
                <w:szCs w:val="24"/>
                <w:lang w:eastAsia="zh-CN" w:bidi="ar"/>
              </w:rPr>
              <w:t>）外排，处理效率为</w:t>
            </w:r>
            <w:r>
              <w:rPr>
                <w:rFonts w:hint="default" w:ascii="Times New Roman" w:hAnsi="Times New Roman" w:eastAsia="宋体" w:cs="Times New Roman"/>
                <w:color w:val="auto"/>
                <w:sz w:val="24"/>
                <w:szCs w:val="24"/>
                <w:lang w:val="en-US" w:eastAsia="zh-CN" w:bidi="ar"/>
              </w:rPr>
              <w:t>85%</w:t>
            </w:r>
            <w:r>
              <w:rPr>
                <w:rFonts w:hint="default" w:ascii="Times New Roman" w:hAnsi="Times New Roman" w:eastAsia="宋体" w:cs="Times New Roman"/>
                <w:color w:val="auto"/>
                <w:sz w:val="24"/>
                <w:szCs w:val="24"/>
                <w:lang w:bidi="ar"/>
              </w:rPr>
              <w:t>。</w:t>
            </w:r>
            <w:r>
              <w:rPr>
                <w:rFonts w:hint="default" w:ascii="Times New Roman" w:hAnsi="Times New Roman" w:eastAsia="宋体" w:cs="Times New Roman"/>
                <w:color w:val="auto"/>
                <w:sz w:val="24"/>
                <w:szCs w:val="24"/>
                <w:lang w:eastAsia="zh-CN" w:bidi="ar"/>
              </w:rPr>
              <w:t>未被收集的部分以无组织形式外排，则无组织</w:t>
            </w:r>
            <w:r>
              <w:rPr>
                <w:rFonts w:hint="default" w:ascii="Times New Roman" w:hAnsi="Times New Roman" w:eastAsia="宋体" w:cs="Times New Roman"/>
                <w:color w:val="auto"/>
                <w:kern w:val="2"/>
                <w:sz w:val="24"/>
                <w:szCs w:val="24"/>
                <w:lang w:val="en-US" w:eastAsia="zh-CN" w:bidi="ar-SA"/>
              </w:rPr>
              <w:t>硫化氢排放量为0.002t/a，排放速率为0.0008kg/h；</w:t>
            </w:r>
            <w:r>
              <w:rPr>
                <w:rFonts w:hint="default" w:ascii="Times New Roman" w:hAnsi="Times New Roman" w:eastAsia="宋体" w:cs="Times New Roman"/>
                <w:color w:val="auto"/>
                <w:sz w:val="24"/>
                <w:szCs w:val="24"/>
                <w:lang w:eastAsia="zh-CN" w:bidi="ar"/>
              </w:rPr>
              <w:t>无组织</w:t>
            </w:r>
            <w:r>
              <w:rPr>
                <w:rFonts w:hint="default" w:ascii="Times New Roman" w:hAnsi="Times New Roman" w:eastAsia="宋体" w:cs="Times New Roman"/>
                <w:color w:val="auto"/>
                <w:kern w:val="2"/>
                <w:sz w:val="24"/>
                <w:szCs w:val="24"/>
                <w:lang w:val="en-US" w:eastAsia="zh-CN" w:bidi="ar-SA"/>
              </w:rPr>
              <w:t>氨气排放量为0.054t/a，排放速率为0.022kg/h。</w:t>
            </w:r>
          </w:p>
          <w:p w14:paraId="5DA0A795">
            <w:pPr>
              <w:keepNext w:val="0"/>
              <w:keepLines w:val="0"/>
              <w:pageBreakBefore w:val="0"/>
              <w:widowControl w:val="0"/>
              <w:tabs>
                <w:tab w:val="left" w:pos="3094"/>
              </w:tabs>
              <w:kinsoku/>
              <w:wordWrap/>
              <w:overflowPunct/>
              <w:topLinePunct w:val="0"/>
              <w:autoSpaceDE/>
              <w:autoSpaceDN/>
              <w:bidi w:val="0"/>
              <w:adjustRightInd w:val="0"/>
              <w:snapToGrid w:val="0"/>
              <w:spacing w:before="0" w:line="240" w:lineRule="auto"/>
              <w:ind w:left="0" w:right="0" w:firstLine="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表4-7 污泥产生恶臭废气风量核算一览表</w:t>
            </w:r>
          </w:p>
          <w:tbl>
            <w:tblPr>
              <w:tblStyle w:val="35"/>
              <w:tblW w:w="8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755"/>
              <w:gridCol w:w="568"/>
              <w:gridCol w:w="933"/>
              <w:gridCol w:w="1034"/>
              <w:gridCol w:w="594"/>
              <w:gridCol w:w="3405"/>
              <w:gridCol w:w="1310"/>
            </w:tblGrid>
            <w:tr w14:paraId="6A8A2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9" w:hRule="atLeast"/>
              </w:trPr>
              <w:tc>
                <w:tcPr>
                  <w:tcW w:w="439" w:type="pct"/>
                  <w:noWrap w:val="0"/>
                  <w:vAlign w:val="center"/>
                </w:tcPr>
                <w:p w14:paraId="0AF8387A">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生产单元</w:t>
                  </w:r>
                </w:p>
              </w:tc>
              <w:tc>
                <w:tcPr>
                  <w:tcW w:w="330" w:type="pct"/>
                  <w:noWrap w:val="0"/>
                  <w:vAlign w:val="center"/>
                </w:tcPr>
                <w:p w14:paraId="0898F896">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zh-CN"/>
                    </w:rPr>
                    <w:t>污染源</w:t>
                  </w:r>
                </w:p>
              </w:tc>
              <w:tc>
                <w:tcPr>
                  <w:tcW w:w="542" w:type="pct"/>
                  <w:noWrap w:val="0"/>
                  <w:vAlign w:val="center"/>
                </w:tcPr>
                <w:p w14:paraId="308D15DC">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排气筒编号</w:t>
                  </w:r>
                </w:p>
              </w:tc>
              <w:tc>
                <w:tcPr>
                  <w:tcW w:w="601" w:type="pct"/>
                  <w:noWrap w:val="0"/>
                  <w:vAlign w:val="center"/>
                </w:tcPr>
                <w:p w14:paraId="77983213">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排气筒内径（m）</w:t>
                  </w:r>
                </w:p>
              </w:tc>
              <w:tc>
                <w:tcPr>
                  <w:tcW w:w="345" w:type="pct"/>
                  <w:noWrap w:val="0"/>
                  <w:vAlign w:val="center"/>
                </w:tcPr>
                <w:p w14:paraId="1E982F19">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收集措施</w:t>
                  </w:r>
                </w:p>
              </w:tc>
              <w:tc>
                <w:tcPr>
                  <w:tcW w:w="1979" w:type="pct"/>
                  <w:noWrap w:val="0"/>
                  <w:vAlign w:val="center"/>
                </w:tcPr>
                <w:p w14:paraId="74C60310">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风量（m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/h）</w:t>
                  </w:r>
                </w:p>
              </w:tc>
              <w:tc>
                <w:tcPr>
                  <w:tcW w:w="761" w:type="pct"/>
                  <w:noWrap w:val="0"/>
                  <w:vAlign w:val="center"/>
                </w:tcPr>
                <w:p w14:paraId="5E33C9FB">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处理措施</w:t>
                  </w:r>
                </w:p>
              </w:tc>
            </w:tr>
            <w:tr w14:paraId="6490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2" w:hRule="atLeast"/>
              </w:trPr>
              <w:tc>
                <w:tcPr>
                  <w:tcW w:w="439" w:type="pct"/>
                  <w:noWrap w:val="0"/>
                  <w:vAlign w:val="center"/>
                </w:tcPr>
                <w:p w14:paraId="2006975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r>
                    <w:rPr>
                      <w:rFonts w:hint="default" w:ascii="Times New Roman" w:hAnsi="Times New Roman" w:eastAsia="宋体" w:cs="Times New Roman"/>
                      <w:b w:val="0"/>
                      <w:bCs w:val="0"/>
                      <w:color w:val="auto"/>
                      <w:kern w:val="0"/>
                      <w:sz w:val="21"/>
                      <w:szCs w:val="21"/>
                      <w:vertAlign w:val="baseline"/>
                      <w:lang w:val="en-US" w:eastAsia="zh-CN" w:bidi="ar-SA"/>
                    </w:rPr>
                    <w:t>污泥贮存恶臭</w:t>
                  </w:r>
                </w:p>
                <w:p w14:paraId="60E0588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p>
              </w:tc>
              <w:tc>
                <w:tcPr>
                  <w:tcW w:w="330" w:type="pct"/>
                  <w:vMerge w:val="restart"/>
                  <w:noWrap w:val="0"/>
                  <w:vAlign w:val="center"/>
                </w:tcPr>
                <w:p w14:paraId="79F8223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污泥恶臭</w:t>
                  </w:r>
                </w:p>
              </w:tc>
              <w:tc>
                <w:tcPr>
                  <w:tcW w:w="542" w:type="pct"/>
                  <w:vMerge w:val="restart"/>
                  <w:noWrap w:val="0"/>
                  <w:vAlign w:val="center"/>
                </w:tcPr>
                <w:p w14:paraId="35BEE9D3">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DA004（15m）</w:t>
                  </w:r>
                </w:p>
              </w:tc>
              <w:tc>
                <w:tcPr>
                  <w:tcW w:w="601" w:type="pct"/>
                  <w:vMerge w:val="restart"/>
                  <w:noWrap w:val="0"/>
                  <w:vAlign w:val="center"/>
                </w:tcPr>
                <w:p w14:paraId="329FB892">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345" w:type="pct"/>
                  <w:vMerge w:val="restart"/>
                  <w:noWrap w:val="0"/>
                  <w:vAlign w:val="center"/>
                </w:tcPr>
                <w:p w14:paraId="27CCE06A">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集气罩</w:t>
                  </w:r>
                </w:p>
              </w:tc>
              <w:tc>
                <w:tcPr>
                  <w:tcW w:w="1979" w:type="pct"/>
                  <w:noWrap w:val="0"/>
                  <w:vAlign w:val="center"/>
                </w:tcPr>
                <w:p w14:paraId="35818BC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val="en-US" w:eastAsia="zh-CN" w:bidi="ar"/>
                    </w:rPr>
                    <w:t>项目密闭污泥贮存间容积约400m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，换气次数为0-100次/小时，本次评价取10次/小时，则本项目密闭污泥贮存间废气收集风量需大于4000m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w:t>
                  </w:r>
                </w:p>
              </w:tc>
              <w:tc>
                <w:tcPr>
                  <w:tcW w:w="761" w:type="pct"/>
                  <w:vMerge w:val="restart"/>
                  <w:noWrap w:val="0"/>
                  <w:vAlign w:val="center"/>
                </w:tcPr>
                <w:p w14:paraId="4074FBE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val="0"/>
                      <w:color w:val="auto"/>
                      <w:kern w:val="0"/>
                      <w:sz w:val="21"/>
                      <w:szCs w:val="21"/>
                      <w:vertAlign w:val="baseline"/>
                      <w:lang w:val="en-US" w:eastAsia="zh-CN"/>
                    </w:rPr>
                    <w:t>布袋除尘器+15m排气筒DA00</w:t>
                  </w:r>
                  <w:r>
                    <w:rPr>
                      <w:rFonts w:hint="eastAsia" w:cs="Times New Roman"/>
                      <w:b w:val="0"/>
                      <w:bCs w:val="0"/>
                      <w:color w:val="auto"/>
                      <w:kern w:val="0"/>
                      <w:sz w:val="21"/>
                      <w:szCs w:val="21"/>
                      <w:vertAlign w:val="baseline"/>
                      <w:lang w:val="en-US" w:eastAsia="zh-CN"/>
                    </w:rPr>
                    <w:t>4</w:t>
                  </w:r>
                  <w:r>
                    <w:rPr>
                      <w:rFonts w:hint="default" w:ascii="Times New Roman" w:hAnsi="Times New Roman" w:eastAsia="宋体" w:cs="Times New Roman"/>
                      <w:b w:val="0"/>
                      <w:bCs w:val="0"/>
                      <w:color w:val="auto"/>
                      <w:kern w:val="0"/>
                      <w:sz w:val="21"/>
                      <w:szCs w:val="21"/>
                      <w:vertAlign w:val="baseline"/>
                      <w:lang w:val="en-US" w:eastAsia="zh-CN"/>
                    </w:rPr>
                    <w:t>，</w:t>
                  </w:r>
                  <w:r>
                    <w:rPr>
                      <w:rFonts w:hint="default" w:ascii="Times New Roman" w:hAnsi="Times New Roman" w:eastAsia="宋体" w:cs="Times New Roman"/>
                      <w:color w:val="auto"/>
                      <w:kern w:val="0"/>
                      <w:sz w:val="21"/>
                      <w:szCs w:val="21"/>
                      <w:lang w:val="en-US" w:eastAsia="zh-CN" w:bidi="ar"/>
                    </w:rPr>
                    <w:t>考虑风量损失，设计风量为12000</w:t>
                  </w:r>
                  <w:r>
                    <w:rPr>
                      <w:rFonts w:hint="default" w:ascii="Times New Roman" w:hAnsi="Times New Roman" w:eastAsia="宋体" w:cs="Times New Roman"/>
                      <w:b w:val="0"/>
                      <w:bCs/>
                      <w:color w:val="auto"/>
                      <w:sz w:val="21"/>
                      <w:szCs w:val="21"/>
                      <w:highlight w:val="none"/>
                      <w:lang w:val="en-US" w:eastAsia="zh-CN"/>
                    </w:rPr>
                    <w:t>m</w:t>
                  </w:r>
                  <w:r>
                    <w:rPr>
                      <w:rFonts w:hint="default" w:ascii="Times New Roman" w:hAnsi="Times New Roman" w:eastAsia="宋体" w:cs="Times New Roman"/>
                      <w:b w:val="0"/>
                      <w:bCs/>
                      <w:color w:val="auto"/>
                      <w:sz w:val="21"/>
                      <w:szCs w:val="21"/>
                      <w:highlight w:val="none"/>
                      <w:vertAlign w:val="superscript"/>
                      <w:lang w:val="en-US" w:eastAsia="zh-CN"/>
                    </w:rPr>
                    <w:t>3</w:t>
                  </w:r>
                  <w:r>
                    <w:rPr>
                      <w:rFonts w:hint="default" w:ascii="Times New Roman" w:hAnsi="Times New Roman" w:eastAsia="宋体" w:cs="Times New Roman"/>
                      <w:color w:val="auto"/>
                      <w:kern w:val="0"/>
                      <w:sz w:val="21"/>
                      <w:szCs w:val="21"/>
                      <w:lang w:val="en-US" w:eastAsia="zh-CN" w:bidi="ar"/>
                    </w:rPr>
                    <w:t xml:space="preserve"> /h</w:t>
                  </w:r>
                </w:p>
              </w:tc>
            </w:tr>
            <w:tr w14:paraId="479A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62" w:hRule="atLeast"/>
              </w:trPr>
              <w:tc>
                <w:tcPr>
                  <w:tcW w:w="439" w:type="pct"/>
                  <w:noWrap w:val="0"/>
                  <w:vAlign w:val="center"/>
                </w:tcPr>
                <w:p w14:paraId="4ACC1E2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bidi="ar-SA"/>
                    </w:rPr>
                  </w:pPr>
                  <w:r>
                    <w:rPr>
                      <w:rFonts w:hint="default" w:ascii="Times New Roman" w:hAnsi="Times New Roman" w:eastAsia="宋体" w:cs="Times New Roman"/>
                      <w:b w:val="0"/>
                      <w:bCs w:val="0"/>
                      <w:color w:val="auto"/>
                      <w:kern w:val="0"/>
                      <w:sz w:val="21"/>
                      <w:szCs w:val="21"/>
                      <w:vertAlign w:val="baseline"/>
                      <w:lang w:val="en-US" w:eastAsia="zh-CN" w:bidi="ar-SA"/>
                    </w:rPr>
                    <w:t>成型恶臭</w:t>
                  </w:r>
                </w:p>
              </w:tc>
              <w:tc>
                <w:tcPr>
                  <w:tcW w:w="330" w:type="pct"/>
                  <w:vMerge w:val="continue"/>
                  <w:noWrap w:val="0"/>
                  <w:vAlign w:val="center"/>
                </w:tcPr>
                <w:p w14:paraId="54105BC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542" w:type="pct"/>
                  <w:vMerge w:val="continue"/>
                  <w:noWrap w:val="0"/>
                  <w:vAlign w:val="center"/>
                </w:tcPr>
                <w:p w14:paraId="2FAA1848">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601" w:type="pct"/>
                  <w:vMerge w:val="continue"/>
                  <w:noWrap w:val="0"/>
                  <w:vAlign w:val="center"/>
                </w:tcPr>
                <w:p w14:paraId="6D4A7587">
                  <w:pPr>
                    <w:pStyle w:val="62"/>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345" w:type="pct"/>
                  <w:vMerge w:val="continue"/>
                  <w:noWrap w:val="0"/>
                  <w:vAlign w:val="center"/>
                </w:tcPr>
                <w:p w14:paraId="212F1D14">
                  <w:pPr>
                    <w:pStyle w:val="6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p>
              </w:tc>
              <w:tc>
                <w:tcPr>
                  <w:tcW w:w="1979" w:type="pct"/>
                  <w:noWrap w:val="0"/>
                  <w:vAlign w:val="center"/>
                </w:tcPr>
                <w:p w14:paraId="05347D6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val="en-US" w:eastAsia="zh-CN" w:bidi="ar"/>
                    </w:rPr>
                    <w:t>密闭成型间长10m、宽5m，高2m，容积约100m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，换气次数为0-100次/小时，本次评价取50次/小时。所需风量为5000m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/h，考虑风量损失，设计风量为6000m</w:t>
                  </w:r>
                  <w:r>
                    <w:rPr>
                      <w:rFonts w:hint="default" w:ascii="Times New Roman" w:hAnsi="Times New Roman" w:eastAsia="宋体" w:cs="Times New Roman"/>
                      <w:color w:val="auto"/>
                      <w:sz w:val="21"/>
                      <w:szCs w:val="21"/>
                      <w:vertAlign w:val="superscript"/>
                      <w:lang w:val="en-US" w:eastAsia="zh-CN" w:bidi="ar"/>
                    </w:rPr>
                    <w:t>3</w:t>
                  </w:r>
                  <w:r>
                    <w:rPr>
                      <w:rFonts w:hint="default" w:ascii="Times New Roman" w:hAnsi="Times New Roman" w:eastAsia="宋体" w:cs="Times New Roman"/>
                      <w:color w:val="auto"/>
                      <w:sz w:val="21"/>
                      <w:szCs w:val="21"/>
                      <w:lang w:val="en-US" w:eastAsia="zh-CN" w:bidi="ar"/>
                    </w:rPr>
                    <w:t>/h。</w:t>
                  </w:r>
                </w:p>
              </w:tc>
              <w:tc>
                <w:tcPr>
                  <w:tcW w:w="761" w:type="pct"/>
                  <w:vMerge w:val="continue"/>
                  <w:noWrap w:val="0"/>
                  <w:vAlign w:val="center"/>
                </w:tcPr>
                <w:p w14:paraId="00A055A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vertAlign w:val="baseline"/>
                      <w:lang w:val="en-US" w:eastAsia="zh-CN"/>
                    </w:rPr>
                  </w:pPr>
                </w:p>
              </w:tc>
            </w:tr>
          </w:tbl>
          <w:p w14:paraId="0299A11C">
            <w:pPr>
              <w:pStyle w:val="42"/>
              <w:rPr>
                <w:rFonts w:hint="default" w:ascii="Times New Roman" w:hAnsi="Times New Roman" w:eastAsia="宋体" w:cs="Times New Roman"/>
                <w:color w:val="auto"/>
                <w:lang w:val="en-US" w:eastAsia="zh-CN"/>
              </w:rPr>
            </w:pPr>
          </w:p>
          <w:p w14:paraId="0917DADF">
            <w:pPr>
              <w:pStyle w:val="12"/>
              <w:adjustRightInd w:val="0"/>
              <w:spacing w:before="0" w:after="0" w:line="360" w:lineRule="auto"/>
              <w:ind w:right="0" w:firstLine="482" w:firstLineChars="200"/>
              <w:rPr>
                <w:rFonts w:hint="default" w:ascii="Times New Roman" w:hAnsi="Times New Roman" w:eastAsia="宋体" w:cs="Times New Roman"/>
                <w:b/>
                <w:color w:val="auto"/>
                <w:sz w:val="24"/>
              </w:rPr>
            </w:pPr>
            <w:r>
              <w:rPr>
                <w:rFonts w:hint="default" w:ascii="Times New Roman" w:hAnsi="Times New Roman" w:eastAsia="宋体" w:cs="Times New Roman"/>
                <w:b/>
                <w:color w:val="auto"/>
                <w:sz w:val="24"/>
              </w:rPr>
              <w:t>3.非正常排放源强分析</w:t>
            </w:r>
          </w:p>
          <w:p w14:paraId="73344B77">
            <w:pPr>
              <w:pStyle w:val="12"/>
              <w:adjustRightInd w:val="0"/>
              <w:spacing w:before="0" w:after="0" w:line="360" w:lineRule="auto"/>
              <w:ind w:right="0" w:firstLine="480" w:firstLineChars="200"/>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本项目采用较先进的工艺技术和生产设施，设专人管理，设备出现故障时，可以做到随时停机检修，对职工上岗前进行培训实行规范化管理，严格岗前岗中岗后维护检查和交接班制度，尽可能杜绝废气非正常排放的发生。</w:t>
            </w:r>
          </w:p>
          <w:p w14:paraId="384005BF">
            <w:pPr>
              <w:pStyle w:val="12"/>
              <w:adjustRightInd w:val="0"/>
              <w:spacing w:before="0" w:after="0" w:line="360" w:lineRule="auto"/>
              <w:ind w:right="0" w:firstLine="480" w:firstLineChars="200"/>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根据《环境影响评价技术导则 大气环境》（HJ2.2-2018），非正常排放指的是生产过程中开停车设备检修，工艺设备运转异常以及污染物排放控制达不到应有效率等情况下的排放。本项目可能发生的非正常排放的情况为工艺设备运转异常，污染控制措施达不到应有效率。按照最不利条件进行核算污染源强，考虑废气处理效率为</w:t>
            </w:r>
            <w:r>
              <w:rPr>
                <w:rFonts w:hint="default" w:ascii="Times New Roman" w:hAnsi="Times New Roman" w:eastAsia="宋体" w:cs="Times New Roman"/>
                <w:bCs/>
                <w:color w:val="auto"/>
                <w:sz w:val="24"/>
                <w:lang w:val="en-US" w:eastAsia="zh-CN"/>
              </w:rPr>
              <w:t>50%</w:t>
            </w:r>
            <w:r>
              <w:rPr>
                <w:rFonts w:hint="default" w:ascii="Times New Roman" w:hAnsi="Times New Roman" w:eastAsia="宋体" w:cs="Times New Roman"/>
                <w:bCs/>
                <w:color w:val="auto"/>
                <w:sz w:val="24"/>
              </w:rPr>
              <w:t>，事故处理时间为0.5h，发生频次为1次/年，非正常排放参数详见表4-</w:t>
            </w:r>
            <w:r>
              <w:rPr>
                <w:rFonts w:hint="default" w:ascii="Times New Roman" w:hAnsi="Times New Roman" w:eastAsia="宋体" w:cs="Times New Roman"/>
                <w:bCs/>
                <w:color w:val="auto"/>
                <w:sz w:val="24"/>
                <w:lang w:val="en-US" w:eastAsia="zh-CN"/>
              </w:rPr>
              <w:t>8</w:t>
            </w:r>
            <w:r>
              <w:rPr>
                <w:rFonts w:hint="default" w:ascii="Times New Roman" w:hAnsi="Times New Roman" w:eastAsia="宋体" w:cs="Times New Roman"/>
                <w:bCs/>
                <w:color w:val="auto"/>
                <w:sz w:val="24"/>
              </w:rPr>
              <w:t>所示。</w:t>
            </w:r>
          </w:p>
          <w:p w14:paraId="0B29516C">
            <w:pPr>
              <w:pStyle w:val="12"/>
              <w:adjustRightInd w:val="0"/>
              <w:spacing w:before="0" w:after="0" w:line="240" w:lineRule="auto"/>
              <w:ind w:right="0"/>
              <w:jc w:val="center"/>
              <w:rPr>
                <w:rFonts w:hint="default" w:ascii="Times New Roman" w:hAnsi="Times New Roman" w:eastAsia="宋体" w:cs="Times New Roman"/>
                <w:b/>
                <w:color w:val="auto"/>
                <w:sz w:val="21"/>
                <w:szCs w:val="16"/>
              </w:rPr>
            </w:pPr>
            <w:r>
              <w:rPr>
                <w:rFonts w:hint="default" w:ascii="Times New Roman" w:hAnsi="Times New Roman" w:eastAsia="宋体" w:cs="Times New Roman"/>
                <w:b/>
                <w:color w:val="auto"/>
                <w:sz w:val="21"/>
                <w:szCs w:val="16"/>
              </w:rPr>
              <w:t>表4-</w:t>
            </w:r>
            <w:r>
              <w:rPr>
                <w:rFonts w:hint="default" w:ascii="Times New Roman" w:hAnsi="Times New Roman" w:eastAsia="宋体" w:cs="Times New Roman"/>
                <w:b/>
                <w:color w:val="auto"/>
                <w:sz w:val="21"/>
                <w:szCs w:val="16"/>
                <w:lang w:val="en-US" w:eastAsia="zh-CN"/>
              </w:rPr>
              <w:t>8</w:t>
            </w:r>
            <w:r>
              <w:rPr>
                <w:rFonts w:hint="default" w:ascii="Times New Roman" w:hAnsi="Times New Roman" w:eastAsia="宋体" w:cs="Times New Roman"/>
                <w:b/>
                <w:color w:val="auto"/>
                <w:sz w:val="21"/>
                <w:szCs w:val="16"/>
              </w:rPr>
              <w:t xml:space="preserve">  非正常排放参数表</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8"/>
              <w:gridCol w:w="852"/>
              <w:gridCol w:w="795"/>
              <w:gridCol w:w="1123"/>
              <w:gridCol w:w="894"/>
              <w:gridCol w:w="4151"/>
            </w:tblGrid>
            <w:tr w14:paraId="7D626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95" w:type="pct"/>
                  <w:tcBorders>
                    <w:tl2br w:val="nil"/>
                    <w:tr2bl w:val="nil"/>
                  </w:tcBorders>
                  <w:vAlign w:val="center"/>
                </w:tcPr>
                <w:p w14:paraId="4B255854">
                  <w:pPr>
                    <w:pStyle w:val="12"/>
                    <w:adjustRightInd w:val="0"/>
                    <w:spacing w:before="0" w:after="0" w:line="240" w:lineRule="auto"/>
                    <w:ind w:right="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非正常排放源</w:t>
                  </w:r>
                </w:p>
              </w:tc>
              <w:tc>
                <w:tcPr>
                  <w:tcW w:w="491" w:type="pct"/>
                  <w:tcBorders>
                    <w:tl2br w:val="nil"/>
                    <w:tr2bl w:val="nil"/>
                  </w:tcBorders>
                  <w:vAlign w:val="center"/>
                </w:tcPr>
                <w:p w14:paraId="72BA5BEA">
                  <w:pPr>
                    <w:pStyle w:val="12"/>
                    <w:adjustRightInd w:val="0"/>
                    <w:spacing w:before="0" w:after="0" w:line="240" w:lineRule="auto"/>
                    <w:ind w:right="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非正常排放原因</w:t>
                  </w:r>
                </w:p>
              </w:tc>
              <w:tc>
                <w:tcPr>
                  <w:tcW w:w="458" w:type="pct"/>
                  <w:tcBorders>
                    <w:tl2br w:val="nil"/>
                    <w:tr2bl w:val="nil"/>
                  </w:tcBorders>
                  <w:vAlign w:val="center"/>
                </w:tcPr>
                <w:p w14:paraId="72651232">
                  <w:pPr>
                    <w:pStyle w:val="12"/>
                    <w:adjustRightInd w:val="0"/>
                    <w:spacing w:before="0" w:after="0" w:line="240" w:lineRule="auto"/>
                    <w:ind w:right="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污染物</w:t>
                  </w:r>
                </w:p>
              </w:tc>
              <w:tc>
                <w:tcPr>
                  <w:tcW w:w="647" w:type="pct"/>
                  <w:tcBorders>
                    <w:tl2br w:val="nil"/>
                    <w:tr2bl w:val="nil"/>
                  </w:tcBorders>
                  <w:vAlign w:val="center"/>
                </w:tcPr>
                <w:p w14:paraId="2A78017A">
                  <w:pPr>
                    <w:pStyle w:val="12"/>
                    <w:adjustRightInd w:val="0"/>
                    <w:spacing w:before="0" w:after="0" w:line="240" w:lineRule="auto"/>
                    <w:ind w:right="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非正常排放速率(kg/h）</w:t>
                  </w:r>
                </w:p>
              </w:tc>
              <w:tc>
                <w:tcPr>
                  <w:tcW w:w="515" w:type="pct"/>
                  <w:tcBorders>
                    <w:tl2br w:val="nil"/>
                    <w:tr2bl w:val="nil"/>
                  </w:tcBorders>
                  <w:vAlign w:val="center"/>
                </w:tcPr>
                <w:p w14:paraId="58DD5BCB">
                  <w:pPr>
                    <w:pStyle w:val="12"/>
                    <w:adjustRightInd w:val="0"/>
                    <w:spacing w:before="0" w:after="0" w:line="240" w:lineRule="auto"/>
                    <w:ind w:right="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单次持续时间/h</w:t>
                  </w:r>
                </w:p>
              </w:tc>
              <w:tc>
                <w:tcPr>
                  <w:tcW w:w="2392" w:type="pct"/>
                  <w:tcBorders>
                    <w:tl2br w:val="nil"/>
                    <w:tr2bl w:val="nil"/>
                  </w:tcBorders>
                  <w:vAlign w:val="center"/>
                </w:tcPr>
                <w:p w14:paraId="3F17569C">
                  <w:pPr>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kern w:val="0"/>
                      <w:sz w:val="21"/>
                      <w:szCs w:val="21"/>
                      <w:lang w:bidi="ar"/>
                    </w:rPr>
                    <w:t>措施</w:t>
                  </w:r>
                </w:p>
              </w:tc>
            </w:tr>
            <w:tr w14:paraId="6F07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7" w:hRule="atLeast"/>
                <w:jc w:val="center"/>
              </w:trPr>
              <w:tc>
                <w:tcPr>
                  <w:tcW w:w="495" w:type="pct"/>
                  <w:tcBorders>
                    <w:tl2br w:val="nil"/>
                    <w:tr2bl w:val="nil"/>
                  </w:tcBorders>
                  <w:vAlign w:val="center"/>
                </w:tcPr>
                <w:p w14:paraId="43EFDFB2">
                  <w:pPr>
                    <w:pStyle w:val="12"/>
                    <w:adjustRightInd w:val="0"/>
                    <w:spacing w:before="0" w:after="0" w:line="240" w:lineRule="auto"/>
                    <w:ind w:right="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DA001</w:t>
                  </w:r>
                </w:p>
              </w:tc>
              <w:tc>
                <w:tcPr>
                  <w:tcW w:w="491" w:type="pct"/>
                  <w:vMerge w:val="restart"/>
                  <w:tcBorders>
                    <w:tl2br w:val="nil"/>
                    <w:tr2bl w:val="nil"/>
                  </w:tcBorders>
                  <w:vAlign w:val="center"/>
                </w:tcPr>
                <w:p w14:paraId="64658801">
                  <w:pPr>
                    <w:pStyle w:val="12"/>
                    <w:adjustRightInd w:val="0"/>
                    <w:spacing w:before="0" w:after="0" w:line="240" w:lineRule="auto"/>
                    <w:ind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废气处理设备运转异常</w:t>
                  </w:r>
                </w:p>
              </w:tc>
              <w:tc>
                <w:tcPr>
                  <w:tcW w:w="458" w:type="pct"/>
                  <w:tcBorders>
                    <w:tl2br w:val="nil"/>
                    <w:tr2bl w:val="nil"/>
                  </w:tcBorders>
                  <w:vAlign w:val="center"/>
                </w:tcPr>
                <w:p w14:paraId="261F6E20">
                  <w:pPr>
                    <w:pStyle w:val="12"/>
                    <w:adjustRightInd w:val="0"/>
                    <w:spacing w:before="0" w:after="0" w:line="240" w:lineRule="auto"/>
                    <w:ind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颗粒物</w:t>
                  </w:r>
                </w:p>
              </w:tc>
              <w:tc>
                <w:tcPr>
                  <w:tcW w:w="647" w:type="pct"/>
                  <w:tcBorders>
                    <w:tl2br w:val="nil"/>
                    <w:tr2bl w:val="nil"/>
                  </w:tcBorders>
                  <w:vAlign w:val="center"/>
                </w:tcPr>
                <w:p w14:paraId="1ED07A59">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3.64</w:t>
                  </w:r>
                </w:p>
              </w:tc>
              <w:tc>
                <w:tcPr>
                  <w:tcW w:w="515" w:type="pct"/>
                  <w:tcBorders>
                    <w:tl2br w:val="nil"/>
                    <w:tr2bl w:val="nil"/>
                  </w:tcBorders>
                  <w:vAlign w:val="center"/>
                </w:tcPr>
                <w:p w14:paraId="3EF26F11">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w:t>
                  </w:r>
                </w:p>
              </w:tc>
              <w:tc>
                <w:tcPr>
                  <w:tcW w:w="2392" w:type="pct"/>
                  <w:vMerge w:val="restart"/>
                  <w:tcBorders>
                    <w:tl2br w:val="nil"/>
                    <w:tr2bl w:val="nil"/>
                  </w:tcBorders>
                  <w:vAlign w:val="center"/>
                </w:tcPr>
                <w:p w14:paraId="759BA4A2">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bidi="ar"/>
                    </w:rPr>
                    <w:t>废气收集处理系统应与生产工艺设备同步运行。废气收集处理系统发生故障或检修时，对应的生产工艺设备应停止运行，待排除故障或检修完毕后同步投入使用</w:t>
                  </w:r>
                </w:p>
              </w:tc>
            </w:tr>
            <w:tr w14:paraId="79ED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 w:hRule="atLeast"/>
                <w:jc w:val="center"/>
              </w:trPr>
              <w:tc>
                <w:tcPr>
                  <w:tcW w:w="495" w:type="pct"/>
                  <w:tcBorders>
                    <w:tl2br w:val="nil"/>
                    <w:tr2bl w:val="nil"/>
                  </w:tcBorders>
                  <w:vAlign w:val="center"/>
                </w:tcPr>
                <w:p w14:paraId="17DC42E8">
                  <w:pPr>
                    <w:pStyle w:val="12"/>
                    <w:adjustRightInd w:val="0"/>
                    <w:spacing w:before="0" w:after="0" w:line="240" w:lineRule="auto"/>
                    <w:ind w:right="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DA002</w:t>
                  </w:r>
                </w:p>
              </w:tc>
              <w:tc>
                <w:tcPr>
                  <w:tcW w:w="491" w:type="pct"/>
                  <w:vMerge w:val="continue"/>
                  <w:tcBorders>
                    <w:tl2br w:val="nil"/>
                    <w:tr2bl w:val="nil"/>
                  </w:tcBorders>
                  <w:vAlign w:val="center"/>
                </w:tcPr>
                <w:p w14:paraId="77FF8157">
                  <w:pPr>
                    <w:pStyle w:val="12"/>
                    <w:adjustRightInd w:val="0"/>
                    <w:spacing w:before="0" w:after="0" w:line="240" w:lineRule="auto"/>
                    <w:ind w:right="0"/>
                    <w:jc w:val="center"/>
                    <w:rPr>
                      <w:rFonts w:hint="default" w:ascii="Times New Roman" w:hAnsi="Times New Roman" w:eastAsia="宋体" w:cs="Times New Roman"/>
                      <w:color w:val="auto"/>
                      <w:sz w:val="21"/>
                      <w:szCs w:val="21"/>
                    </w:rPr>
                  </w:pPr>
                </w:p>
              </w:tc>
              <w:tc>
                <w:tcPr>
                  <w:tcW w:w="458" w:type="pct"/>
                  <w:tcBorders>
                    <w:tl2br w:val="nil"/>
                    <w:tr2bl w:val="nil"/>
                  </w:tcBorders>
                  <w:vAlign w:val="center"/>
                </w:tcPr>
                <w:p w14:paraId="2011D640">
                  <w:pPr>
                    <w:pStyle w:val="12"/>
                    <w:adjustRightInd w:val="0"/>
                    <w:spacing w:before="0" w:after="0" w:line="240" w:lineRule="auto"/>
                    <w:ind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颗粒物</w:t>
                  </w:r>
                </w:p>
              </w:tc>
              <w:tc>
                <w:tcPr>
                  <w:tcW w:w="647" w:type="pct"/>
                  <w:tcBorders>
                    <w:tl2br w:val="nil"/>
                    <w:tr2bl w:val="nil"/>
                  </w:tcBorders>
                  <w:vAlign w:val="center"/>
                </w:tcPr>
                <w:p w14:paraId="6755219A">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0.90</w:t>
                  </w:r>
                </w:p>
              </w:tc>
              <w:tc>
                <w:tcPr>
                  <w:tcW w:w="515" w:type="pct"/>
                  <w:tcBorders>
                    <w:tl2br w:val="nil"/>
                    <w:tr2bl w:val="nil"/>
                  </w:tcBorders>
                  <w:vAlign w:val="center"/>
                </w:tcPr>
                <w:p w14:paraId="47F6EE4E">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w:t>
                  </w:r>
                </w:p>
              </w:tc>
              <w:tc>
                <w:tcPr>
                  <w:tcW w:w="2392" w:type="pct"/>
                  <w:vMerge w:val="continue"/>
                  <w:tcBorders>
                    <w:tl2br w:val="nil"/>
                    <w:tr2bl w:val="nil"/>
                  </w:tcBorders>
                  <w:vAlign w:val="center"/>
                </w:tcPr>
                <w:p w14:paraId="67210C9C">
                  <w:pPr>
                    <w:adjustRightInd w:val="0"/>
                    <w:spacing w:line="240" w:lineRule="auto"/>
                    <w:ind w:firstLine="0" w:firstLineChars="0"/>
                    <w:jc w:val="center"/>
                    <w:rPr>
                      <w:rFonts w:hint="default" w:ascii="Times New Roman" w:hAnsi="Times New Roman" w:eastAsia="宋体" w:cs="Times New Roman"/>
                      <w:color w:val="auto"/>
                      <w:sz w:val="21"/>
                      <w:szCs w:val="21"/>
                    </w:rPr>
                  </w:pPr>
                </w:p>
              </w:tc>
            </w:tr>
            <w:tr w14:paraId="393A1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 w:hRule="atLeast"/>
                <w:jc w:val="center"/>
              </w:trPr>
              <w:tc>
                <w:tcPr>
                  <w:tcW w:w="495" w:type="pct"/>
                  <w:tcBorders>
                    <w:tl2br w:val="nil"/>
                    <w:tr2bl w:val="nil"/>
                  </w:tcBorders>
                  <w:vAlign w:val="center"/>
                </w:tcPr>
                <w:p w14:paraId="301A930F">
                  <w:pPr>
                    <w:pStyle w:val="12"/>
                    <w:adjustRightInd w:val="0"/>
                    <w:spacing w:before="0" w:after="0" w:line="240" w:lineRule="auto"/>
                    <w:ind w:right="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DA003</w:t>
                  </w:r>
                </w:p>
              </w:tc>
              <w:tc>
                <w:tcPr>
                  <w:tcW w:w="491" w:type="pct"/>
                  <w:vMerge w:val="continue"/>
                  <w:tcBorders>
                    <w:tl2br w:val="nil"/>
                    <w:tr2bl w:val="nil"/>
                  </w:tcBorders>
                  <w:vAlign w:val="center"/>
                </w:tcPr>
                <w:p w14:paraId="06886638">
                  <w:pPr>
                    <w:pStyle w:val="12"/>
                    <w:adjustRightInd w:val="0"/>
                    <w:spacing w:before="0" w:after="0" w:line="240" w:lineRule="auto"/>
                    <w:ind w:right="0"/>
                    <w:jc w:val="center"/>
                    <w:rPr>
                      <w:rFonts w:hint="default" w:ascii="Times New Roman" w:hAnsi="Times New Roman" w:eastAsia="宋体" w:cs="Times New Roman"/>
                      <w:color w:val="auto"/>
                      <w:sz w:val="21"/>
                      <w:szCs w:val="21"/>
                    </w:rPr>
                  </w:pPr>
                </w:p>
              </w:tc>
              <w:tc>
                <w:tcPr>
                  <w:tcW w:w="458" w:type="pct"/>
                  <w:tcBorders>
                    <w:tl2br w:val="nil"/>
                    <w:tr2bl w:val="nil"/>
                  </w:tcBorders>
                  <w:vAlign w:val="center"/>
                </w:tcPr>
                <w:p w14:paraId="39C61590">
                  <w:pPr>
                    <w:pStyle w:val="12"/>
                    <w:adjustRightInd w:val="0"/>
                    <w:spacing w:before="0" w:after="0" w:line="240" w:lineRule="auto"/>
                    <w:ind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颗粒物</w:t>
                  </w:r>
                </w:p>
              </w:tc>
              <w:tc>
                <w:tcPr>
                  <w:tcW w:w="647" w:type="pct"/>
                  <w:tcBorders>
                    <w:tl2br w:val="nil"/>
                    <w:tr2bl w:val="nil"/>
                  </w:tcBorders>
                  <w:vAlign w:val="center"/>
                </w:tcPr>
                <w:p w14:paraId="7F35F705">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33.36</w:t>
                  </w:r>
                </w:p>
              </w:tc>
              <w:tc>
                <w:tcPr>
                  <w:tcW w:w="515" w:type="pct"/>
                  <w:tcBorders>
                    <w:tl2br w:val="nil"/>
                    <w:tr2bl w:val="nil"/>
                  </w:tcBorders>
                  <w:vAlign w:val="center"/>
                </w:tcPr>
                <w:p w14:paraId="5452867B">
                  <w:pPr>
                    <w:adjustRightIn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w:t>
                  </w:r>
                </w:p>
              </w:tc>
              <w:tc>
                <w:tcPr>
                  <w:tcW w:w="2392" w:type="pct"/>
                  <w:vMerge w:val="continue"/>
                  <w:tcBorders>
                    <w:tl2br w:val="nil"/>
                    <w:tr2bl w:val="nil"/>
                  </w:tcBorders>
                  <w:vAlign w:val="center"/>
                </w:tcPr>
                <w:p w14:paraId="7CFE0CB3">
                  <w:pPr>
                    <w:adjustRightInd w:val="0"/>
                    <w:spacing w:line="240" w:lineRule="auto"/>
                    <w:ind w:firstLine="0" w:firstLineChars="0"/>
                    <w:jc w:val="center"/>
                    <w:rPr>
                      <w:rFonts w:hint="default" w:ascii="Times New Roman" w:hAnsi="Times New Roman" w:eastAsia="宋体" w:cs="Times New Roman"/>
                      <w:color w:val="auto"/>
                      <w:sz w:val="21"/>
                      <w:szCs w:val="21"/>
                    </w:rPr>
                  </w:pPr>
                </w:p>
              </w:tc>
            </w:tr>
            <w:tr w14:paraId="386AF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 w:hRule="atLeast"/>
                <w:jc w:val="center"/>
              </w:trPr>
              <w:tc>
                <w:tcPr>
                  <w:tcW w:w="495" w:type="pct"/>
                  <w:vMerge w:val="restart"/>
                  <w:tcBorders>
                    <w:tl2br w:val="nil"/>
                    <w:tr2bl w:val="nil"/>
                  </w:tcBorders>
                  <w:vAlign w:val="center"/>
                </w:tcPr>
                <w:p w14:paraId="5B3C9629">
                  <w:pPr>
                    <w:pStyle w:val="12"/>
                    <w:adjustRightInd w:val="0"/>
                    <w:spacing w:before="0" w:after="0" w:line="240" w:lineRule="auto"/>
                    <w:ind w:right="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DA004</w:t>
                  </w:r>
                </w:p>
              </w:tc>
              <w:tc>
                <w:tcPr>
                  <w:tcW w:w="491" w:type="pct"/>
                  <w:vMerge w:val="continue"/>
                  <w:tcBorders>
                    <w:tl2br w:val="nil"/>
                    <w:tr2bl w:val="nil"/>
                  </w:tcBorders>
                  <w:vAlign w:val="center"/>
                </w:tcPr>
                <w:p w14:paraId="2560CFC1">
                  <w:pPr>
                    <w:pStyle w:val="12"/>
                    <w:adjustRightInd w:val="0"/>
                    <w:spacing w:before="0" w:after="0" w:line="240" w:lineRule="auto"/>
                    <w:ind w:right="0"/>
                    <w:jc w:val="center"/>
                    <w:rPr>
                      <w:rFonts w:hint="default" w:ascii="Times New Roman" w:hAnsi="Times New Roman" w:eastAsia="宋体" w:cs="Times New Roman"/>
                      <w:color w:val="auto"/>
                      <w:sz w:val="21"/>
                      <w:szCs w:val="21"/>
                    </w:rPr>
                  </w:pPr>
                </w:p>
              </w:tc>
              <w:tc>
                <w:tcPr>
                  <w:tcW w:w="458" w:type="pct"/>
                  <w:tcBorders>
                    <w:tl2br w:val="nil"/>
                    <w:tr2bl w:val="nil"/>
                  </w:tcBorders>
                  <w:vAlign w:val="center"/>
                </w:tcPr>
                <w:p w14:paraId="7453C349">
                  <w:pPr>
                    <w:widowControl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氨</w:t>
                  </w:r>
                </w:p>
              </w:tc>
              <w:tc>
                <w:tcPr>
                  <w:tcW w:w="647" w:type="pct"/>
                  <w:tcBorders>
                    <w:tl2br w:val="nil"/>
                    <w:tr2bl w:val="nil"/>
                  </w:tcBorders>
                  <w:vAlign w:val="center"/>
                </w:tcPr>
                <w:p w14:paraId="3557F255">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17.66</w:t>
                  </w:r>
                </w:p>
              </w:tc>
              <w:tc>
                <w:tcPr>
                  <w:tcW w:w="515" w:type="pct"/>
                  <w:tcBorders>
                    <w:tl2br w:val="nil"/>
                    <w:tr2bl w:val="nil"/>
                  </w:tcBorders>
                  <w:vAlign w:val="center"/>
                </w:tcPr>
                <w:p w14:paraId="3B38D3FA">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w:t>
                  </w:r>
                </w:p>
              </w:tc>
              <w:tc>
                <w:tcPr>
                  <w:tcW w:w="2392" w:type="pct"/>
                  <w:vMerge w:val="continue"/>
                  <w:tcBorders>
                    <w:tl2br w:val="nil"/>
                    <w:tr2bl w:val="nil"/>
                  </w:tcBorders>
                  <w:vAlign w:val="center"/>
                </w:tcPr>
                <w:p w14:paraId="20177186">
                  <w:pPr>
                    <w:adjustRightInd w:val="0"/>
                    <w:spacing w:line="240" w:lineRule="auto"/>
                    <w:ind w:firstLine="0" w:firstLineChars="0"/>
                    <w:jc w:val="center"/>
                    <w:rPr>
                      <w:rFonts w:hint="default" w:ascii="Times New Roman" w:hAnsi="Times New Roman" w:eastAsia="宋体" w:cs="Times New Roman"/>
                      <w:color w:val="auto"/>
                      <w:sz w:val="21"/>
                      <w:szCs w:val="21"/>
                    </w:rPr>
                  </w:pPr>
                </w:p>
              </w:tc>
            </w:tr>
            <w:tr w14:paraId="088B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 w:hRule="atLeast"/>
                <w:jc w:val="center"/>
              </w:trPr>
              <w:tc>
                <w:tcPr>
                  <w:tcW w:w="495" w:type="pct"/>
                  <w:vMerge w:val="continue"/>
                  <w:tcBorders>
                    <w:tl2br w:val="nil"/>
                    <w:tr2bl w:val="nil"/>
                  </w:tcBorders>
                  <w:vAlign w:val="center"/>
                </w:tcPr>
                <w:p w14:paraId="17057C37">
                  <w:pPr>
                    <w:pStyle w:val="12"/>
                    <w:adjustRightInd w:val="0"/>
                    <w:spacing w:before="0" w:after="0" w:line="240" w:lineRule="auto"/>
                    <w:ind w:right="0"/>
                    <w:jc w:val="center"/>
                    <w:rPr>
                      <w:rFonts w:hint="default" w:ascii="Times New Roman" w:hAnsi="Times New Roman" w:eastAsia="宋体" w:cs="Times New Roman"/>
                      <w:bCs/>
                      <w:color w:val="auto"/>
                      <w:sz w:val="21"/>
                      <w:szCs w:val="21"/>
                      <w:lang w:val="en-US" w:eastAsia="zh-CN"/>
                    </w:rPr>
                  </w:pPr>
                </w:p>
              </w:tc>
              <w:tc>
                <w:tcPr>
                  <w:tcW w:w="491" w:type="pct"/>
                  <w:vMerge w:val="continue"/>
                  <w:tcBorders>
                    <w:tl2br w:val="nil"/>
                    <w:tr2bl w:val="nil"/>
                  </w:tcBorders>
                  <w:vAlign w:val="center"/>
                </w:tcPr>
                <w:p w14:paraId="68E1B017">
                  <w:pPr>
                    <w:pStyle w:val="12"/>
                    <w:adjustRightInd w:val="0"/>
                    <w:spacing w:before="0" w:after="0" w:line="240" w:lineRule="auto"/>
                    <w:ind w:right="0"/>
                    <w:jc w:val="center"/>
                    <w:rPr>
                      <w:rFonts w:hint="default" w:ascii="Times New Roman" w:hAnsi="Times New Roman" w:eastAsia="宋体" w:cs="Times New Roman"/>
                      <w:color w:val="auto"/>
                      <w:sz w:val="21"/>
                      <w:szCs w:val="21"/>
                    </w:rPr>
                  </w:pPr>
                </w:p>
              </w:tc>
              <w:tc>
                <w:tcPr>
                  <w:tcW w:w="458" w:type="pct"/>
                  <w:tcBorders>
                    <w:tl2br w:val="nil"/>
                    <w:tr2bl w:val="nil"/>
                  </w:tcBorders>
                  <w:vAlign w:val="center"/>
                </w:tcPr>
                <w:p w14:paraId="1CFAD9BB">
                  <w:pPr>
                    <w:widowControl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硫化氢</w:t>
                  </w:r>
                </w:p>
              </w:tc>
              <w:tc>
                <w:tcPr>
                  <w:tcW w:w="647" w:type="pct"/>
                  <w:tcBorders>
                    <w:tl2br w:val="nil"/>
                    <w:tr2bl w:val="nil"/>
                  </w:tcBorders>
                  <w:vAlign w:val="center"/>
                </w:tcPr>
                <w:p w14:paraId="08824679">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0.74</w:t>
                  </w:r>
                </w:p>
              </w:tc>
              <w:tc>
                <w:tcPr>
                  <w:tcW w:w="515" w:type="pct"/>
                  <w:tcBorders>
                    <w:tl2br w:val="nil"/>
                    <w:tr2bl w:val="nil"/>
                  </w:tcBorders>
                  <w:vAlign w:val="center"/>
                </w:tcPr>
                <w:p w14:paraId="16F6D570">
                  <w:pPr>
                    <w:adjustRightIn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w:t>
                  </w:r>
                </w:p>
              </w:tc>
              <w:tc>
                <w:tcPr>
                  <w:tcW w:w="2392" w:type="pct"/>
                  <w:vMerge w:val="continue"/>
                  <w:tcBorders>
                    <w:tl2br w:val="nil"/>
                    <w:tr2bl w:val="nil"/>
                  </w:tcBorders>
                  <w:vAlign w:val="center"/>
                </w:tcPr>
                <w:p w14:paraId="0067F89E">
                  <w:pPr>
                    <w:adjustRightInd w:val="0"/>
                    <w:spacing w:line="240" w:lineRule="auto"/>
                    <w:ind w:firstLine="0" w:firstLineChars="0"/>
                    <w:jc w:val="center"/>
                    <w:rPr>
                      <w:rFonts w:hint="default" w:ascii="Times New Roman" w:hAnsi="Times New Roman" w:eastAsia="宋体" w:cs="Times New Roman"/>
                      <w:color w:val="auto"/>
                      <w:sz w:val="21"/>
                      <w:szCs w:val="21"/>
                    </w:rPr>
                  </w:pPr>
                </w:p>
              </w:tc>
            </w:tr>
          </w:tbl>
          <w:p w14:paraId="05A079E0">
            <w:pPr>
              <w:pStyle w:val="12"/>
              <w:spacing w:before="0" w:after="0" w:line="360" w:lineRule="auto"/>
              <w:ind w:right="0" w:firstLine="482" w:firstLineChars="200"/>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4.废气收集处理措施可行性分析</w:t>
            </w:r>
          </w:p>
          <w:p w14:paraId="3B5F7284">
            <w:pPr>
              <w:pStyle w:val="178"/>
              <w:adjustRightInd w:val="0"/>
              <w:snapToGrid w:val="0"/>
              <w:ind w:firstLine="480"/>
              <w:rPr>
                <w:rFonts w:hint="default" w:ascii="Times New Roman" w:hAnsi="Times New Roman" w:eastAsia="宋体" w:cs="Times New Roman"/>
                <w:b w:val="0"/>
                <w:color w:val="auto"/>
                <w:lang w:val="en-US" w:eastAsia="zh-CN"/>
              </w:rPr>
            </w:pPr>
            <w:r>
              <w:rPr>
                <w:rFonts w:hint="default" w:ascii="Times New Roman" w:hAnsi="Times New Roman" w:eastAsia="宋体" w:cs="Times New Roman"/>
                <w:b w:val="0"/>
                <w:color w:val="auto"/>
                <w:lang w:val="en-US" w:eastAsia="zh-CN"/>
              </w:rPr>
              <w:t>（1）布袋除尘</w:t>
            </w:r>
          </w:p>
          <w:p w14:paraId="787037F9">
            <w:pPr>
              <w:pStyle w:val="178"/>
              <w:adjustRightInd w:val="0"/>
              <w:snapToGrid w:val="0"/>
              <w:ind w:firstLine="480"/>
              <w:rPr>
                <w:rFonts w:hint="default" w:ascii="Times New Roman" w:hAnsi="Times New Roman" w:eastAsia="宋体" w:cs="Times New Roman"/>
                <w:b w:val="0"/>
                <w:color w:val="auto"/>
              </w:rPr>
            </w:pPr>
            <w:r>
              <w:rPr>
                <w:rFonts w:hint="default" w:ascii="Times New Roman" w:hAnsi="Times New Roman" w:eastAsia="宋体" w:cs="Times New Roman"/>
                <w:b w:val="0"/>
                <w:color w:val="auto"/>
              </w:rPr>
              <w:t>布袋式除尘器的工作机理是含尘烟气通过过滤材料，尘粒被过滤下来，过滤材料捕集粗粒粉尘主要靠惯性碰撞作用，捕集细粒粉尘主要靠扩散和筛分作用；滤料的粉尘层也有一定的过滤作用。是利用多孔的袋状过滤材料从含尘气体中捕集粉尘的一种除尘设备，主要由过滤材料、清灰装置及控制装置、存输灰装置和风机五部分组成。过滤材料的作用是捕集粉尘；清灰装置的作用是定期清除滤袋上的积尘，以保持除尘器的处理能力；控制装置的作用是使除尘器按一定周期、一定程序清灰。其主要特</w:t>
            </w:r>
            <w:r>
              <w:rPr>
                <w:rFonts w:hint="eastAsia" w:ascii="Times New Roman" w:hAnsi="Times New Roman" w:eastAsia="宋体" w:cs="Times New Roman"/>
                <w:b w:val="0"/>
                <w:color w:val="auto"/>
                <w:lang w:eastAsia="zh-CN"/>
              </w:rPr>
              <w:t>点是</w:t>
            </w:r>
            <w:r>
              <w:rPr>
                <w:rFonts w:hint="default" w:ascii="Times New Roman" w:hAnsi="Times New Roman" w:eastAsia="宋体" w:cs="Times New Roman"/>
                <w:b w:val="0"/>
                <w:color w:val="auto"/>
              </w:rPr>
              <w:t>除尘效果好、适应性强、便于回收干物料，无废水排放和污泥处理等后遗症。布袋除尘器的净化效率很高，一般达95%以上。但随着滤料表面捕集的粉尘量的增加，系统阻力亦随之增加。为恢复滤料的过滤作用必须进行反吹。反吹方式可分为脉冲反吹和回转反吹，反吹形式可分为在线反吹和离线反吹。滤布起着形成粉尘初层和支撑它的骨架作用，但随着粉尘在滤袋上积聚，滤袋两侧的压力差增大，会把有些已附在滤料上的细小粉尘挤压过去，使除尘效率下降。另外，若除尘器阻力过高，还会使除尘系统的处理气体量显著下降，影响生产系统的排风效果。因此，除尘器阻力达到一定数值后，要及时清灰。清灰不能过分，即不应破坏粉尘初层，否则会引起除尘效率显著降低。</w:t>
            </w:r>
          </w:p>
          <w:p w14:paraId="0420551B">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袋式除尘器为国内较为普遍的颗粒物处理方式，根据工程分析可知，处理后的颗粒物排放浓度能满足相关环保要求。参照《排污许可证申请与核发技术规范 石墨及其他非金属矿物制品制造》（HJ1119—2019）、《排污许可证申请与核发技术规范 水泥工业》（HJ847—2017）、《排污许可证申请与核发技术规范 废弃资源加工工业》（HJ1034—2019），本项目</w:t>
            </w:r>
            <w:r>
              <w:rPr>
                <w:rFonts w:hint="default" w:ascii="Times New Roman" w:hAnsi="Times New Roman" w:eastAsia="宋体" w:cs="Times New Roman"/>
                <w:color w:val="auto"/>
                <w:lang w:val="en-US" w:eastAsia="zh-CN"/>
              </w:rPr>
              <w:t>给料、</w:t>
            </w:r>
            <w:r>
              <w:rPr>
                <w:rFonts w:hint="default" w:ascii="Times New Roman" w:hAnsi="Times New Roman" w:eastAsia="宋体" w:cs="Times New Roman"/>
                <w:color w:val="auto"/>
              </w:rPr>
              <w:t>破碎筛分、投料</w:t>
            </w:r>
            <w:r>
              <w:rPr>
                <w:rFonts w:hint="default" w:ascii="Times New Roman" w:hAnsi="Times New Roman" w:eastAsia="宋体" w:cs="Times New Roman"/>
                <w:color w:val="auto"/>
                <w:lang w:val="en-US" w:eastAsia="zh-CN"/>
              </w:rPr>
              <w:t>搅拌等</w:t>
            </w:r>
            <w:r>
              <w:rPr>
                <w:rFonts w:hint="default" w:ascii="Times New Roman" w:hAnsi="Times New Roman" w:eastAsia="宋体" w:cs="Times New Roman"/>
                <w:color w:val="auto"/>
              </w:rPr>
              <w:t>粉尘采用“袋式除尘器”为可行技术，项目废气治理措施合理可行。</w:t>
            </w:r>
          </w:p>
          <w:p w14:paraId="7B2D2E50">
            <w:pPr>
              <w:ind w:firstLine="480"/>
              <w:rPr>
                <w:rFonts w:hint="default" w:ascii="Times New Roman" w:hAnsi="Times New Roman" w:eastAsia="宋体" w:cs="Times New Roman"/>
                <w:color w:val="auto"/>
                <w:lang w:eastAsia="zh-CN"/>
              </w:rPr>
            </w:pPr>
            <w:r>
              <w:rPr>
                <w:rFonts w:hint="default" w:ascii="Times New Roman" w:hAnsi="Times New Roman" w:eastAsia="宋体" w:cs="Times New Roman"/>
                <w:b w:val="0"/>
                <w:bCs/>
                <w:color w:val="auto"/>
                <w:kern w:val="0"/>
                <w:sz w:val="24"/>
                <w:lang w:eastAsia="zh-CN"/>
              </w:rPr>
              <w:t>（</w:t>
            </w:r>
            <w:r>
              <w:rPr>
                <w:rFonts w:hint="default" w:ascii="Times New Roman" w:hAnsi="Times New Roman" w:eastAsia="宋体" w:cs="Times New Roman"/>
                <w:b w:val="0"/>
                <w:bCs/>
                <w:color w:val="auto"/>
                <w:kern w:val="0"/>
                <w:sz w:val="24"/>
                <w:lang w:val="en-US" w:eastAsia="zh-CN"/>
              </w:rPr>
              <w:t>2</w:t>
            </w:r>
            <w:r>
              <w:rPr>
                <w:rFonts w:hint="default" w:ascii="Times New Roman" w:hAnsi="Times New Roman" w:eastAsia="宋体" w:cs="Times New Roman"/>
                <w:b w:val="0"/>
                <w:bCs/>
                <w:color w:val="auto"/>
                <w:kern w:val="0"/>
                <w:sz w:val="24"/>
                <w:lang w:eastAsia="zh-CN"/>
              </w:rPr>
              <w:t>）生物除臭塔</w:t>
            </w:r>
          </w:p>
          <w:p w14:paraId="63E1FC15">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废气经收集后输送至生物除臭塔内进行除臭，除臭效率可达85%。生物除臭塔上层布置载体，下层布置除臭液。载体通常采用泥炭、堆肥、木屑、灌木等有机物，恶臭气体进入塔体内，通过约0.5-1m厚的生物活性填料层。生物填料通过除臭液自动加湿和供给营养使生物菌可以不断地自身繁殖、代谢、再生，不需要人工更换。</w:t>
            </w:r>
            <w:r>
              <w:rPr>
                <w:rFonts w:hint="default" w:ascii="Times New Roman" w:hAnsi="Times New Roman" w:eastAsia="宋体" w:cs="Times New Roman"/>
                <w:color w:val="auto"/>
                <w:lang w:val="en-US" w:eastAsia="zh-CN"/>
              </w:rPr>
              <w:t xml:space="preserve">  </w:t>
            </w:r>
            <w:r>
              <w:rPr>
                <w:rFonts w:hint="default" w:ascii="Times New Roman" w:hAnsi="Times New Roman" w:eastAsia="宋体" w:cs="Times New Roman"/>
                <w:color w:val="auto"/>
              </w:rPr>
              <w:t>当废气通过生物填料层时，填料上的微生物能将废气中的污染物降解成为无毒无害无刺激性气味的气体，如CO</w:t>
            </w:r>
            <w:r>
              <w:rPr>
                <w:rFonts w:hint="default" w:ascii="Times New Roman" w:hAnsi="Times New Roman" w:eastAsia="宋体" w:cs="Times New Roman"/>
                <w:color w:val="auto"/>
                <w:vertAlign w:val="subscript"/>
              </w:rPr>
              <w:t>2</w:t>
            </w:r>
            <w:r>
              <w:rPr>
                <w:rFonts w:hint="default" w:ascii="Times New Roman" w:hAnsi="Times New Roman" w:eastAsia="宋体" w:cs="Times New Roman"/>
                <w:color w:val="auto"/>
              </w:rPr>
              <w:t>和水等，同时微生物以转化过程中产生的能量作为自身生长与繁殖的能源，使恶臭气体物质的转化持续进行。</w:t>
            </w:r>
          </w:p>
          <w:p w14:paraId="33FC308C">
            <w:pPr>
              <w:ind w:firstLine="480"/>
              <w:jc w:val="center"/>
              <w:rPr>
                <w:rFonts w:hint="default" w:ascii="Times New Roman" w:hAnsi="Times New Roman" w:eastAsia="宋体" w:cs="Times New Roman"/>
                <w:color w:val="auto"/>
              </w:rPr>
            </w:pPr>
            <w:r>
              <w:rPr>
                <w:rFonts w:hint="default" w:ascii="Times New Roman" w:hAnsi="Times New Roman" w:eastAsia="宋体" w:cs="Times New Roman"/>
                <w:color w:val="auto"/>
              </w:rPr>
              <w:fldChar w:fldCharType="begin"/>
            </w:r>
            <w:r>
              <w:rPr>
                <w:rFonts w:hint="default" w:ascii="Times New Roman" w:hAnsi="Times New Roman" w:eastAsia="宋体" w:cs="Times New Roman"/>
              </w:rPr>
              <w:instrText xml:space="preserve"> INCLUDEPICTURE "D:\\xwechat_files\\wxid_xx9zbr59wdek22_dbfc\\msg\\file\\2026-01\\07—4.24修改-六安华仁现代牧场有限公司安徽六安华仁现代牧场3000头基础母猪场建设项目\\l\\AppData\\Roaming\\Tencent\\Users\\1217429853\\QQ\\WinTemp\\RichOle\\KMA_7MVJM%5d)EF9DXVF(%60%7b)E.png" \* MERGEFORMAT \d </w:instrText>
            </w:r>
            <w:r>
              <w:rPr>
                <w:rFonts w:hint="default" w:ascii="Times New Roman" w:hAnsi="Times New Roman" w:eastAsia="宋体" w:cs="Times New Roman"/>
                <w:color w:val="auto"/>
              </w:rPr>
              <w:fldChar w:fldCharType="separate"/>
            </w:r>
            <w:r>
              <w:rPr>
                <w:rFonts w:hint="default" w:ascii="Times New Roman" w:hAnsi="Times New Roman" w:eastAsia="宋体" w:cs="Times New Roman"/>
                <w:color w:val="auto"/>
              </w:rPr>
              <w:drawing>
                <wp:inline distT="0" distB="0" distL="114300" distR="114300">
                  <wp:extent cx="2265680" cy="2687955"/>
                  <wp:effectExtent l="0" t="0" r="1270" b="17145"/>
                  <wp:docPr id="7"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1"/>
                          </pic:cNvPicPr>
                        </pic:nvPicPr>
                        <pic:blipFill>
                          <a:blip r:embed="rId28"/>
                          <a:stretch>
                            <a:fillRect/>
                          </a:stretch>
                        </pic:blipFill>
                        <pic:spPr>
                          <a:xfrm>
                            <a:off x="0" y="0"/>
                            <a:ext cx="2265680" cy="2687955"/>
                          </a:xfrm>
                          <a:prstGeom prst="rect">
                            <a:avLst/>
                          </a:prstGeom>
                          <a:noFill/>
                          <a:ln>
                            <a:noFill/>
                          </a:ln>
                        </pic:spPr>
                      </pic:pic>
                    </a:graphicData>
                  </a:graphic>
                </wp:inline>
              </w:drawing>
            </w:r>
            <w:r>
              <w:rPr>
                <w:rFonts w:hint="default" w:ascii="Times New Roman" w:hAnsi="Times New Roman" w:eastAsia="宋体" w:cs="Times New Roman"/>
                <w:color w:val="auto"/>
              </w:rPr>
              <w:fldChar w:fldCharType="end"/>
            </w:r>
          </w:p>
          <w:p w14:paraId="74CE79A8">
            <w:pPr>
              <w:ind w:firstLine="480"/>
              <w:jc w:val="center"/>
              <w:rPr>
                <w:rFonts w:hint="default" w:ascii="Times New Roman" w:hAnsi="Times New Roman" w:eastAsia="宋体" w:cs="Times New Roman"/>
                <w:color w:val="auto"/>
              </w:rPr>
            </w:pPr>
            <w:r>
              <w:rPr>
                <w:rFonts w:hint="default" w:ascii="Times New Roman" w:hAnsi="Times New Roman" w:eastAsia="宋体" w:cs="Times New Roman"/>
                <w:color w:val="auto"/>
              </w:rPr>
              <w:t>图</w:t>
            </w:r>
            <w:r>
              <w:rPr>
                <w:rFonts w:hint="default" w:ascii="Times New Roman" w:hAnsi="Times New Roman" w:eastAsia="宋体" w:cs="Times New Roman"/>
                <w:color w:val="auto"/>
                <w:lang w:val="en-US" w:eastAsia="zh-CN"/>
              </w:rPr>
              <w:t>4-1</w:t>
            </w:r>
            <w:r>
              <w:rPr>
                <w:rFonts w:hint="default" w:ascii="Times New Roman" w:hAnsi="Times New Roman" w:eastAsia="宋体" w:cs="Times New Roman"/>
                <w:color w:val="auto"/>
              </w:rPr>
              <w:t xml:space="preserve"> 生物除臭塔除臭原理图</w:t>
            </w:r>
          </w:p>
          <w:p w14:paraId="052CE6E9">
            <w:pPr>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生物除臭塔净化后的气体经离心风机引至</w:t>
            </w:r>
            <w:bookmarkStart w:id="74" w:name="OLE_LINK71"/>
            <w:r>
              <w:rPr>
                <w:rFonts w:hint="default" w:ascii="Times New Roman" w:hAnsi="Times New Roman" w:eastAsia="宋体" w:cs="Times New Roman"/>
                <w:color w:val="auto"/>
              </w:rPr>
              <w:t>一根15m高排气筒高空排放</w:t>
            </w:r>
            <w:bookmarkEnd w:id="74"/>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本项目</w:t>
            </w:r>
            <w:r>
              <w:rPr>
                <w:rFonts w:hint="default" w:ascii="Times New Roman" w:hAnsi="Times New Roman" w:eastAsia="宋体" w:cs="Times New Roman"/>
                <w:color w:val="auto"/>
                <w:lang w:eastAsia="zh-CN"/>
              </w:rPr>
              <w:t>污泥暂存期间</w:t>
            </w:r>
            <w:r>
              <w:rPr>
                <w:rFonts w:hint="default" w:ascii="Times New Roman" w:hAnsi="Times New Roman" w:eastAsia="宋体" w:cs="Times New Roman"/>
                <w:color w:val="auto"/>
              </w:rPr>
              <w:t>产生的恶臭</w:t>
            </w:r>
            <w:r>
              <w:rPr>
                <w:rFonts w:hint="default" w:ascii="Times New Roman" w:hAnsi="Times New Roman" w:eastAsia="宋体" w:cs="Times New Roman"/>
                <w:color w:val="auto"/>
                <w:lang w:eastAsia="zh-CN"/>
              </w:rPr>
              <w:t>及成型过程产生的恶臭</w:t>
            </w:r>
            <w:r>
              <w:rPr>
                <w:rFonts w:hint="default" w:ascii="Times New Roman" w:hAnsi="Times New Roman" w:eastAsia="宋体" w:cs="Times New Roman"/>
                <w:color w:val="auto"/>
              </w:rPr>
              <w:t>在采取封闭式车间、负压通风以及生物除臭塔处理后可满足《恶臭污染物排放标准》(GB14554-93)</w:t>
            </w:r>
            <w:r>
              <w:rPr>
                <w:rFonts w:hint="default" w:ascii="Times New Roman" w:hAnsi="Times New Roman" w:eastAsia="宋体" w:cs="Times New Roman"/>
                <w:color w:val="auto"/>
                <w:lang w:val="en-US" w:eastAsia="zh-CN"/>
              </w:rPr>
              <w:t>中相应标准要求</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lang w:val="en-US" w:eastAsia="zh-CN"/>
              </w:rPr>
              <w:t>废气污染防治措施可行。</w:t>
            </w:r>
          </w:p>
          <w:p w14:paraId="410F8646">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（3）无组织粉尘控制技术</w:t>
            </w:r>
          </w:p>
          <w:p w14:paraId="70DDF4B7">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干雾抑尘是一种高效、环保的粉尘治理技术，核心通过产生微米级超细雾滴，快速捕捉空气中的粉尘颗粒，实现“以雾捕尘”的治理目标。干雾抑尘的核心逻辑是雾滴与粉尘的“精准匹配”和“物理作用”，具体可分为三个关键环节：</w:t>
            </w:r>
          </w:p>
          <w:p w14:paraId="315A3132">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雾滴生成：通过高压干雾系统（核心组件包括高压泵、雾化喷嘴、管路），将水加压至数十兆帕（通常30-100MPa），再通过特殊设计的雾化喷嘴（如撞击式、离心式喷嘴），将水流分裂成直径1-10微米的超细雾滴（俗称“干雾”）——雾滴粒径与可吸入粉尘（PM</w:t>
            </w:r>
            <w:r>
              <w:rPr>
                <w:rFonts w:hint="default" w:ascii="Times New Roman" w:hAnsi="Times New Roman" w:eastAsia="宋体" w:cs="Times New Roman"/>
                <w:b w:val="0"/>
                <w:bCs w:val="0"/>
                <w:color w:val="auto"/>
                <w:vertAlign w:val="subscript"/>
                <w:lang w:val="en-US" w:eastAsia="zh-CN"/>
              </w:rPr>
              <w:t>10</w:t>
            </w:r>
            <w:r>
              <w:rPr>
                <w:rFonts w:hint="default" w:ascii="Times New Roman" w:hAnsi="Times New Roman" w:eastAsia="宋体" w:cs="Times New Roman"/>
                <w:b w:val="0"/>
                <w:bCs w:val="0"/>
                <w:color w:val="auto"/>
                <w:lang w:val="en-US" w:eastAsia="zh-CN"/>
              </w:rPr>
              <w:t>）、呼吸性粉尘（PM</w:t>
            </w:r>
            <w:r>
              <w:rPr>
                <w:rFonts w:hint="default" w:ascii="Times New Roman" w:hAnsi="Times New Roman" w:eastAsia="宋体" w:cs="Times New Roman"/>
                <w:b w:val="0"/>
                <w:bCs w:val="0"/>
                <w:color w:val="auto"/>
                <w:vertAlign w:val="subscript"/>
                <w:lang w:val="en-US" w:eastAsia="zh-CN"/>
              </w:rPr>
              <w:t>2.5</w:t>
            </w:r>
            <w:r>
              <w:rPr>
                <w:rFonts w:hint="default" w:ascii="Times New Roman" w:hAnsi="Times New Roman" w:eastAsia="宋体" w:cs="Times New Roman"/>
                <w:b w:val="0"/>
                <w:bCs w:val="0"/>
                <w:color w:val="auto"/>
                <w:lang w:val="en-US" w:eastAsia="zh-CN"/>
              </w:rPr>
              <w:t>）的粒径高度匹配，且雾滴质量轻、悬浮时间长，能与空气中的粉尘颗粒充分接触。</w:t>
            </w:r>
          </w:p>
          <w:p w14:paraId="4D1016B0">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捕尘机制：雾滴与粉尘接触后，通过三种核心作用完成捕尘：</w:t>
            </w:r>
          </w:p>
          <w:p w14:paraId="79AE647B">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惯性碰撞：雾滴与粉尘在气流中运动时，因惯性相互碰撞，雾滴吸附在粉尘表面；</w:t>
            </w:r>
          </w:p>
          <w:p w14:paraId="26517EB8">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布朗运动：对于PM</w:t>
            </w:r>
            <w:r>
              <w:rPr>
                <w:rFonts w:hint="default" w:ascii="Times New Roman" w:hAnsi="Times New Roman" w:eastAsia="宋体" w:cs="Times New Roman"/>
                <w:b w:val="0"/>
                <w:bCs w:val="0"/>
                <w:color w:val="auto"/>
                <w:vertAlign w:val="subscript"/>
                <w:lang w:val="en-US" w:eastAsia="zh-CN"/>
              </w:rPr>
              <w:t>2.5</w:t>
            </w:r>
            <w:r>
              <w:rPr>
                <w:rFonts w:hint="default" w:ascii="Times New Roman" w:hAnsi="Times New Roman" w:eastAsia="宋体" w:cs="Times New Roman"/>
                <w:b w:val="0"/>
                <w:bCs w:val="0"/>
                <w:color w:val="auto"/>
                <w:lang w:val="en-US" w:eastAsia="zh-CN"/>
              </w:rPr>
              <w:t>等超细粉尘，雾滴会随气流做无规则布朗运动，主动接触并包裹粉尘；</w:t>
            </w:r>
          </w:p>
          <w:p w14:paraId="03AAC62D">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凝结团聚：雾滴吸附粉尘后，自身会相互凝结，使粉尘颗粒从“超细分散态”团聚成“大颗粒聚合体”，重力大幅增加。</w:t>
            </w:r>
          </w:p>
          <w:p w14:paraId="5DAD0FFB">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沉降原理：团聚后的粉尘颗粒（粒径可达数百微米），重力超过空气浮力，无法再悬浮于空气中，会自然沉降至地面或料堆表面，从而实现粉尘的“从空气到固体表面”的转移，避免二次扬尘。</w:t>
            </w:r>
          </w:p>
          <w:p w14:paraId="56C2F673">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干雾抑尘对PM</w:t>
            </w:r>
            <w:r>
              <w:rPr>
                <w:rFonts w:hint="default" w:ascii="Times New Roman" w:hAnsi="Times New Roman" w:eastAsia="宋体" w:cs="Times New Roman"/>
                <w:b w:val="0"/>
                <w:bCs w:val="0"/>
                <w:color w:val="auto"/>
                <w:vertAlign w:val="subscript"/>
                <w:lang w:val="en-US" w:eastAsia="zh-CN"/>
              </w:rPr>
              <w:t>10</w:t>
            </w:r>
            <w:r>
              <w:rPr>
                <w:rFonts w:hint="default" w:ascii="Times New Roman" w:hAnsi="Times New Roman" w:eastAsia="宋体" w:cs="Times New Roman"/>
                <w:b w:val="0"/>
                <w:bCs w:val="0"/>
                <w:color w:val="auto"/>
                <w:lang w:val="en-US" w:eastAsia="zh-CN"/>
              </w:rPr>
              <w:t>（可吸入粉尘）抑尘效率可达85%-95%，对PM</w:t>
            </w:r>
            <w:r>
              <w:rPr>
                <w:rFonts w:hint="default" w:ascii="Times New Roman" w:hAnsi="Times New Roman" w:eastAsia="宋体" w:cs="Times New Roman"/>
                <w:b w:val="0"/>
                <w:bCs w:val="0"/>
                <w:color w:val="auto"/>
                <w:vertAlign w:val="subscript"/>
                <w:lang w:val="en-US" w:eastAsia="zh-CN"/>
              </w:rPr>
              <w:t>2.5</w:t>
            </w:r>
            <w:r>
              <w:rPr>
                <w:rFonts w:hint="default" w:ascii="Times New Roman" w:hAnsi="Times New Roman" w:eastAsia="宋体" w:cs="Times New Roman"/>
                <w:b w:val="0"/>
                <w:bCs w:val="0"/>
                <w:color w:val="auto"/>
                <w:lang w:val="en-US" w:eastAsia="zh-CN"/>
              </w:rPr>
              <w:t>（呼吸性粉尘）效率可达70%-85%，远优于传统喷雾；尤其适用于无组织排放粉尘（如矿山开采、皮带输送、料仓卸料、装卸料等场景），能从粉尘产生源头进行拦截，避免粉尘扩散。干雾抑尘与雾炮机结合属于“互补式抑尘方案”——二者针对不同粉尘粒径、扩散范围、作业场景形成协同，既能解决“源头细尘拦截”，又能应对“扩散粉尘覆盖”，综上，本项目针对无组织粉尘采取干雾抑尘+雾炮机抑尘属于可行技术。</w:t>
            </w:r>
          </w:p>
          <w:p w14:paraId="2662F448">
            <w:pPr>
              <w:widowControl/>
              <w:ind w:firstLine="482"/>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5.环境防护距离</w:t>
            </w:r>
          </w:p>
          <w:p w14:paraId="4BC0FA9C">
            <w:pPr>
              <w:widowControl/>
              <w:ind w:firstLine="482"/>
              <w:rPr>
                <w:rFonts w:hint="default" w:ascii="Times New Roman" w:hAnsi="Times New Roman" w:eastAsia="宋体" w:cs="Times New Roman"/>
                <w:b w:val="0"/>
                <w:bCs w:val="0"/>
                <w:color w:val="auto"/>
                <w:lang w:val="en-US" w:eastAsia="zh-CN"/>
              </w:rPr>
            </w:pPr>
            <w:r>
              <w:rPr>
                <w:rFonts w:hint="default" w:ascii="Times New Roman" w:hAnsi="Times New Roman" w:eastAsia="宋体" w:cs="Times New Roman"/>
                <w:b w:val="0"/>
                <w:bCs w:val="0"/>
                <w:color w:val="auto"/>
                <w:lang w:val="en-US" w:eastAsia="zh-CN"/>
              </w:rPr>
              <w:t>根据《环境影响评价技术导则大气环境》(HJ2.2-2018)“在底图上标注从厂界起所有超过环境空气质量短期浓度标准值的网格区域，以自厂界起至超标区域的最远垂直距离作为大气环境防护距离”，本项目无需设置大气专项评价，故不设置大气环境防护距离。</w:t>
            </w:r>
          </w:p>
          <w:p w14:paraId="7347406C">
            <w:pPr>
              <w:widowControl/>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lang w:val="en-US" w:eastAsia="zh-CN"/>
              </w:rPr>
              <w:t>6</w:t>
            </w:r>
            <w:r>
              <w:rPr>
                <w:rFonts w:hint="default" w:ascii="Times New Roman" w:hAnsi="Times New Roman" w:eastAsia="宋体" w:cs="Times New Roman"/>
                <w:b/>
                <w:bCs/>
                <w:color w:val="auto"/>
              </w:rPr>
              <w:t>.环境影响</w:t>
            </w:r>
          </w:p>
          <w:p w14:paraId="0F7F6579">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大气环境影响从以下几个方面分析，详情如下：</w:t>
            </w:r>
          </w:p>
          <w:p w14:paraId="25649EB6">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1）环境质量现状</w:t>
            </w:r>
          </w:p>
          <w:p w14:paraId="20297819">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szCs w:val="22"/>
              </w:rPr>
              <w:t>2024年，</w:t>
            </w:r>
            <w:r>
              <w:rPr>
                <w:rFonts w:hint="default" w:ascii="Times New Roman" w:hAnsi="Times New Roman" w:eastAsia="宋体" w:cs="Times New Roman"/>
                <w:color w:val="auto"/>
                <w:szCs w:val="22"/>
                <w:lang w:val="en-US" w:eastAsia="zh-CN"/>
              </w:rPr>
              <w:t>东至县</w:t>
            </w:r>
            <w:r>
              <w:rPr>
                <w:rFonts w:hint="default" w:ascii="Times New Roman" w:hAnsi="Times New Roman" w:eastAsia="宋体" w:cs="Times New Roman"/>
                <w:color w:val="auto"/>
                <w:szCs w:val="22"/>
              </w:rPr>
              <w:t>为环境空气质量达标区，</w:t>
            </w:r>
            <w:r>
              <w:rPr>
                <w:rFonts w:hint="default" w:ascii="Times New Roman" w:hAnsi="Times New Roman" w:eastAsia="宋体" w:cs="Times New Roman"/>
                <w:color w:val="auto"/>
                <w:szCs w:val="22"/>
                <w:highlight w:val="none"/>
              </w:rPr>
              <w:t>根据</w:t>
            </w:r>
            <w:r>
              <w:rPr>
                <w:rFonts w:hint="default" w:ascii="Times New Roman" w:hAnsi="Times New Roman" w:eastAsia="宋体" w:cs="Times New Roman"/>
                <w:color w:val="auto"/>
                <w:szCs w:val="22"/>
                <w:highlight w:val="none"/>
                <w:lang w:val="en-US" w:eastAsia="zh-CN"/>
              </w:rPr>
              <w:t>引用监测</w:t>
            </w:r>
            <w:r>
              <w:rPr>
                <w:rFonts w:hint="default" w:ascii="Times New Roman" w:hAnsi="Times New Roman" w:eastAsia="宋体" w:cs="Times New Roman"/>
                <w:color w:val="auto"/>
                <w:szCs w:val="22"/>
                <w:highlight w:val="none"/>
              </w:rPr>
              <w:t>数据，区域的TSP均能满足相应环境质量标准要求</w:t>
            </w:r>
            <w:r>
              <w:rPr>
                <w:rFonts w:hint="default" w:ascii="Times New Roman" w:hAnsi="Times New Roman" w:eastAsia="宋体" w:cs="Times New Roman"/>
                <w:color w:val="auto"/>
                <w:highlight w:val="none"/>
              </w:rPr>
              <w:t>。</w:t>
            </w:r>
          </w:p>
          <w:p w14:paraId="71F11199">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2）环境保护目标</w:t>
            </w:r>
          </w:p>
          <w:p w14:paraId="483D1577">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szCs w:val="22"/>
                <w:lang w:val="en-US" w:eastAsia="zh-CN"/>
              </w:rPr>
              <w:t>本项目建设地点位于尧渡镇滨河新区地块，南临创业南路（暂未建设），</w:t>
            </w:r>
            <w:r>
              <w:rPr>
                <w:rFonts w:hint="default" w:ascii="Times New Roman" w:hAnsi="Times New Roman" w:eastAsia="宋体" w:cs="Times New Roman"/>
                <w:bCs/>
                <w:color w:val="auto"/>
                <w:lang w:val="en-US" w:eastAsia="zh-CN"/>
              </w:rPr>
              <w:t>项目50m范围内无声环境保护目标，项目西南侧95m为杨家畈，项目北侧105m为</w:t>
            </w:r>
            <w:r>
              <w:rPr>
                <w:rFonts w:hint="default" w:ascii="Times New Roman" w:hAnsi="Times New Roman" w:eastAsia="宋体" w:cs="Times New Roman"/>
                <w:color w:val="auto"/>
                <w:spacing w:val="7"/>
                <w:szCs w:val="21"/>
                <w:lang w:val="en-US" w:eastAsia="zh-CN"/>
              </w:rPr>
              <w:t>石坡滩</w:t>
            </w:r>
            <w:r>
              <w:rPr>
                <w:rFonts w:hint="default" w:ascii="Times New Roman" w:hAnsi="Times New Roman" w:eastAsia="宋体" w:cs="Times New Roman"/>
                <w:bCs/>
                <w:color w:val="auto"/>
                <w:lang w:val="en-US" w:eastAsia="zh-CN"/>
              </w:rPr>
              <w:t>，项目西南侧410m为余家边，项目东侧125m为散户居民点，项目东南侧250m为散户居民点，项目周边无生态保护红线和其他环境敏感目标</w:t>
            </w:r>
            <w:r>
              <w:rPr>
                <w:rFonts w:hint="default" w:ascii="Times New Roman" w:hAnsi="Times New Roman" w:eastAsia="宋体" w:cs="Times New Roman"/>
                <w:color w:val="auto"/>
              </w:rPr>
              <w:t>。</w:t>
            </w:r>
          </w:p>
          <w:p w14:paraId="6A6D4BDF">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3）项目采取的污染防治措施、污染物排放强度及排放方式</w:t>
            </w:r>
          </w:p>
          <w:p w14:paraId="7E049B73">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项目</w:t>
            </w:r>
            <w:r>
              <w:rPr>
                <w:rFonts w:hint="default" w:ascii="Times New Roman" w:hAnsi="Times New Roman" w:eastAsia="宋体" w:cs="Times New Roman"/>
                <w:color w:val="auto"/>
                <w:lang w:val="en-US" w:eastAsia="zh-CN"/>
              </w:rPr>
              <w:t>骨料生产线给料、</w:t>
            </w:r>
            <w:r>
              <w:rPr>
                <w:rFonts w:hint="default" w:ascii="Times New Roman" w:hAnsi="Times New Roman" w:eastAsia="宋体" w:cs="Times New Roman"/>
                <w:color w:val="auto"/>
              </w:rPr>
              <w:t>破碎</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筛分粉尘采用布袋除尘器处理后通过15m高排气筒（DA001）排放，水稳</w:t>
            </w:r>
            <w:r>
              <w:rPr>
                <w:rFonts w:hint="default" w:ascii="Times New Roman" w:hAnsi="Times New Roman" w:eastAsia="宋体" w:cs="Times New Roman"/>
                <w:color w:val="auto"/>
                <w:lang w:val="en-US" w:eastAsia="zh-CN"/>
              </w:rPr>
              <w:t>生产线</w:t>
            </w:r>
            <w:r>
              <w:rPr>
                <w:rFonts w:hint="default" w:ascii="Times New Roman" w:hAnsi="Times New Roman" w:eastAsia="宋体" w:cs="Times New Roman"/>
                <w:color w:val="auto"/>
              </w:rPr>
              <w:t>投料搅拌粉尘采用集气罩收集后通过布袋除尘器处理后通过15m高排气筒（DA002）排放，</w:t>
            </w:r>
            <w:r>
              <w:rPr>
                <w:rFonts w:hint="default" w:ascii="Times New Roman" w:hAnsi="Times New Roman" w:eastAsia="宋体" w:cs="Times New Roman"/>
                <w:color w:val="auto"/>
                <w:lang w:val="en-US" w:eastAsia="zh-CN"/>
              </w:rPr>
              <w:t>RDF燃料生产线</w:t>
            </w:r>
            <w:r>
              <w:rPr>
                <w:rFonts w:hint="default" w:ascii="Times New Roman" w:hAnsi="Times New Roman" w:eastAsia="宋体" w:cs="Times New Roman"/>
                <w:color w:val="auto"/>
              </w:rPr>
              <w:t>投料搅拌粉尘采用集气罩收集后通过布袋除尘器处理后通过15m高排气筒（DA003）排放</w:t>
            </w:r>
            <w:r>
              <w:rPr>
                <w:rFonts w:hint="default" w:ascii="Times New Roman" w:hAnsi="Times New Roman" w:eastAsia="宋体" w:cs="Times New Roman"/>
                <w:color w:val="auto"/>
                <w:lang w:val="en-US" w:eastAsia="zh-CN"/>
              </w:rPr>
              <w:t>，</w:t>
            </w:r>
            <w:r>
              <w:rPr>
                <w:rFonts w:hint="default" w:ascii="Times New Roman" w:hAnsi="Times New Roman" w:eastAsia="宋体" w:cs="Times New Roman"/>
                <w:color w:val="auto"/>
              </w:rPr>
              <w:t>有组织废气可达标排放</w:t>
            </w:r>
            <w:r>
              <w:rPr>
                <w:rFonts w:hint="default" w:ascii="Times New Roman" w:hAnsi="Times New Roman" w:eastAsia="宋体" w:cs="Times New Roman"/>
                <w:color w:val="auto"/>
                <w:lang w:eastAsia="zh-CN"/>
              </w:rPr>
              <w:t>；</w:t>
            </w:r>
            <w:r>
              <w:rPr>
                <w:rFonts w:hint="default" w:ascii="Times New Roman" w:hAnsi="Times New Roman" w:eastAsia="宋体" w:cs="Times New Roman"/>
                <w:bCs/>
                <w:color w:val="auto"/>
                <w:sz w:val="24"/>
                <w:lang w:val="en-US" w:eastAsia="zh-CN"/>
              </w:rPr>
              <w:t>污泥贮存过程产生的臭气以及成型产生的臭气经过密闭贮存收集，经生物除臭塔处理后由15m高排气筒（DA004）外排</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水泥筒仓粉尘经仓顶除尘器处理后无组织排放，原料库和骨料库装卸粉尘采用干雾抑尘和雾炮机抑尘，</w:t>
            </w:r>
            <w:r>
              <w:rPr>
                <w:rFonts w:hint="default" w:ascii="Times New Roman" w:hAnsi="Times New Roman" w:eastAsia="宋体" w:cs="Times New Roman"/>
                <w:color w:val="auto"/>
              </w:rPr>
              <w:t>项目搅拌</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lang w:val="en-US" w:eastAsia="zh-CN"/>
              </w:rPr>
              <w:t>库房</w:t>
            </w:r>
            <w:r>
              <w:rPr>
                <w:rFonts w:hint="default" w:ascii="Times New Roman" w:hAnsi="Times New Roman" w:eastAsia="宋体" w:cs="Times New Roman"/>
                <w:color w:val="auto"/>
              </w:rPr>
              <w:t>均为密闭厂房，且各区域设置干雾抑尘装置，密闭皮带输送等，</w:t>
            </w:r>
            <w:r>
              <w:rPr>
                <w:rFonts w:hint="default" w:ascii="Times New Roman" w:hAnsi="Times New Roman" w:eastAsia="宋体" w:cs="Times New Roman"/>
                <w:color w:val="auto"/>
                <w:lang w:val="en-US" w:eastAsia="zh-CN"/>
              </w:rPr>
              <w:t>项目车辆进出口设置车辆冲洗平台，并限制车速，减少运输扬尘，</w:t>
            </w:r>
            <w:r>
              <w:rPr>
                <w:rFonts w:hint="default" w:ascii="Times New Roman" w:hAnsi="Times New Roman" w:eastAsia="宋体" w:cs="Times New Roman"/>
                <w:color w:val="auto"/>
              </w:rPr>
              <w:t>厂界颗粒物可满足相应标准要求，项目采取的措施为可行措施，排放浓度可满足相应标准限值要求。</w:t>
            </w:r>
          </w:p>
          <w:p w14:paraId="11CC8B22">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综上，拟建项目在采取有效的污染防治措施，加强管理的前提下，运营期产生的废气污染物对周边大气环境影响较小。</w:t>
            </w:r>
          </w:p>
          <w:p w14:paraId="6F0250AB">
            <w:pPr>
              <w:pStyle w:val="12"/>
              <w:spacing w:before="0" w:after="0" w:line="360" w:lineRule="auto"/>
              <w:ind w:right="0" w:firstLine="482" w:firstLineChars="200"/>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val="en-US" w:eastAsia="zh-CN"/>
              </w:rPr>
              <w:t>7</w:t>
            </w:r>
            <w:r>
              <w:rPr>
                <w:rFonts w:hint="default" w:ascii="Times New Roman" w:hAnsi="Times New Roman" w:eastAsia="宋体" w:cs="Times New Roman"/>
                <w:b/>
                <w:bCs/>
                <w:color w:val="auto"/>
                <w:sz w:val="24"/>
                <w:szCs w:val="24"/>
              </w:rPr>
              <w:t>.监测要求</w:t>
            </w:r>
          </w:p>
          <w:p w14:paraId="46DDAE9A">
            <w:pPr>
              <w:keepNext w:val="0"/>
              <w:keepLines w:val="0"/>
              <w:widowControl/>
              <w:suppressLineNumbers w:val="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lang w:val="en-US" w:eastAsia="zh-CN" w:bidi="ar"/>
              </w:rPr>
              <w:t>根据《固定污染源排污许可分类管理名录》（2019年版）规定，企业无需申领排污许可证，故亦无需开展自行监测；鉴于企业运营期有废气排放，建议企业运营期开展废气监测。</w:t>
            </w:r>
            <w:r>
              <w:rPr>
                <w:rFonts w:hint="default" w:ascii="Times New Roman" w:hAnsi="Times New Roman" w:eastAsia="宋体" w:cs="Times New Roman"/>
                <w:color w:val="auto"/>
                <w:sz w:val="24"/>
                <w:szCs w:val="24"/>
                <w:lang w:val="en-US" w:eastAsia="zh-CN"/>
              </w:rPr>
              <w:t>参照</w:t>
            </w:r>
            <w:r>
              <w:rPr>
                <w:rFonts w:hint="default" w:ascii="Times New Roman" w:hAnsi="Times New Roman" w:eastAsia="宋体" w:cs="Times New Roman"/>
                <w:color w:val="auto"/>
                <w:sz w:val="24"/>
                <w:szCs w:val="24"/>
              </w:rPr>
              <w:t>《</w:t>
            </w:r>
            <w:bookmarkStart w:id="75" w:name="OLE_LINK186"/>
            <w:r>
              <w:rPr>
                <w:rFonts w:hint="default" w:ascii="Times New Roman" w:hAnsi="Times New Roman" w:eastAsia="宋体" w:cs="Times New Roman"/>
                <w:color w:val="auto"/>
                <w:sz w:val="24"/>
                <w:szCs w:val="24"/>
              </w:rPr>
              <w:t>排污单位自行监测技术指南</w:t>
            </w:r>
            <w:bookmarkEnd w:id="75"/>
            <w:r>
              <w:rPr>
                <w:rFonts w:hint="default" w:ascii="Times New Roman" w:hAnsi="Times New Roman" w:eastAsia="宋体" w:cs="Times New Roman"/>
                <w:color w:val="auto"/>
                <w:sz w:val="24"/>
                <w:szCs w:val="24"/>
              </w:rPr>
              <w:t xml:space="preserve"> 总则》（HJ819-2017）、</w:t>
            </w:r>
            <w:r>
              <w:rPr>
                <w:rFonts w:hint="default" w:ascii="Times New Roman" w:hAnsi="Times New Roman" w:eastAsia="宋体" w:cs="Times New Roman"/>
                <w:color w:val="auto"/>
                <w:sz w:val="24"/>
              </w:rPr>
              <w:t>《排污许可证申请与核发技术规范 石墨及其他非金属矿物制品制造》（HJ1119—2019）、《排污单位自行监测技术指南 水泥工业》（HJ848—2017）、《排污许可证申请与核发技术规范 废弃资源加工工业》（HJ1034—2019）</w:t>
            </w:r>
            <w:r>
              <w:rPr>
                <w:rFonts w:hint="default" w:ascii="Times New Roman" w:hAnsi="Times New Roman" w:eastAsia="宋体" w:cs="Times New Roman"/>
                <w:color w:val="auto"/>
                <w:sz w:val="24"/>
                <w:szCs w:val="24"/>
              </w:rPr>
              <w:t>，项目建成后，废气污染源监测计划汇总见表4-</w:t>
            </w:r>
            <w:r>
              <w:rPr>
                <w:rFonts w:hint="default" w:ascii="Times New Roman" w:hAnsi="Times New Roman" w:eastAsia="宋体" w:cs="Times New Roman"/>
                <w:color w:val="auto"/>
                <w:sz w:val="24"/>
                <w:szCs w:val="24"/>
                <w:lang w:val="en-US" w:eastAsia="zh-CN"/>
              </w:rPr>
              <w:t>9</w:t>
            </w:r>
            <w:r>
              <w:rPr>
                <w:rFonts w:hint="default" w:ascii="Times New Roman" w:hAnsi="Times New Roman" w:eastAsia="宋体" w:cs="Times New Roman"/>
                <w:color w:val="auto"/>
                <w:sz w:val="24"/>
                <w:szCs w:val="24"/>
              </w:rPr>
              <w:t>。</w:t>
            </w:r>
          </w:p>
          <w:p w14:paraId="418014CD">
            <w:pPr>
              <w:pStyle w:val="12"/>
              <w:spacing w:before="0" w:after="0" w:line="240" w:lineRule="auto"/>
              <w:ind w:right="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表4-</w:t>
            </w:r>
            <w:r>
              <w:rPr>
                <w:rFonts w:hint="default" w:ascii="Times New Roman" w:hAnsi="Times New Roman" w:eastAsia="宋体" w:cs="Times New Roman"/>
                <w:b/>
                <w:bCs/>
                <w:color w:val="auto"/>
                <w:sz w:val="21"/>
                <w:szCs w:val="21"/>
                <w:lang w:val="en-US" w:eastAsia="zh-CN"/>
              </w:rPr>
              <w:t>9</w:t>
            </w:r>
            <w:r>
              <w:rPr>
                <w:rFonts w:hint="default" w:ascii="Times New Roman" w:hAnsi="Times New Roman" w:eastAsia="宋体" w:cs="Times New Roman"/>
                <w:b/>
                <w:bCs/>
                <w:color w:val="auto"/>
                <w:sz w:val="21"/>
                <w:szCs w:val="21"/>
              </w:rPr>
              <w:t xml:space="preserve">  废气污染物自行监测情况一览表</w:t>
            </w:r>
          </w:p>
          <w:tbl>
            <w:tblPr>
              <w:tblStyle w:val="34"/>
              <w:tblW w:w="5000" w:type="pct"/>
              <w:tblInd w:w="-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46"/>
              <w:gridCol w:w="1017"/>
              <w:gridCol w:w="5341"/>
              <w:gridCol w:w="1072"/>
            </w:tblGrid>
            <w:tr w14:paraId="56D050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4"/>
                  <w:tcBorders>
                    <w:bottom w:val="single" w:color="auto" w:sz="6" w:space="0"/>
                  </w:tcBorders>
                  <w:vAlign w:val="center"/>
                </w:tcPr>
                <w:p w14:paraId="69AAC18E">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有组织排放</w:t>
                  </w:r>
                </w:p>
              </w:tc>
            </w:tr>
            <w:tr w14:paraId="35BF0B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8" w:type="pct"/>
                  <w:tcBorders>
                    <w:top w:val="single" w:color="auto" w:sz="6" w:space="0"/>
                    <w:bottom w:val="single" w:color="auto" w:sz="6" w:space="0"/>
                    <w:right w:val="single" w:color="auto" w:sz="6" w:space="0"/>
                  </w:tcBorders>
                  <w:vAlign w:val="center"/>
                </w:tcPr>
                <w:p w14:paraId="10AF4DFA">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586" w:type="pct"/>
                  <w:tcBorders>
                    <w:top w:val="single" w:color="auto" w:sz="6" w:space="0"/>
                    <w:left w:val="single" w:color="auto" w:sz="6" w:space="0"/>
                    <w:bottom w:val="single" w:color="auto" w:sz="6" w:space="0"/>
                    <w:right w:val="single" w:color="auto" w:sz="6" w:space="0"/>
                  </w:tcBorders>
                  <w:vAlign w:val="center"/>
                </w:tcPr>
                <w:p w14:paraId="304F22FF">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监测指标</w:t>
                  </w:r>
                </w:p>
              </w:tc>
              <w:tc>
                <w:tcPr>
                  <w:tcW w:w="3078" w:type="pct"/>
                  <w:tcBorders>
                    <w:top w:val="single" w:color="auto" w:sz="6" w:space="0"/>
                    <w:left w:val="single" w:color="auto" w:sz="6" w:space="0"/>
                    <w:bottom w:val="single" w:color="auto" w:sz="6" w:space="0"/>
                    <w:right w:val="single" w:color="auto" w:sz="6" w:space="0"/>
                  </w:tcBorders>
                  <w:vAlign w:val="center"/>
                </w:tcPr>
                <w:p w14:paraId="66FE6CCC">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w:t>
                  </w:r>
                </w:p>
              </w:tc>
              <w:tc>
                <w:tcPr>
                  <w:tcW w:w="617" w:type="pct"/>
                  <w:tcBorders>
                    <w:top w:val="single" w:color="auto" w:sz="6" w:space="0"/>
                    <w:left w:val="single" w:color="auto" w:sz="6" w:space="0"/>
                    <w:bottom w:val="single" w:color="auto" w:sz="6" w:space="0"/>
                  </w:tcBorders>
                  <w:vAlign w:val="center"/>
                </w:tcPr>
                <w:p w14:paraId="49A0B7FC">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最低监测频次</w:t>
                  </w:r>
                </w:p>
              </w:tc>
            </w:tr>
            <w:tr w14:paraId="0A1D53D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8" w:type="pct"/>
                  <w:tcBorders>
                    <w:top w:val="single" w:color="auto" w:sz="6" w:space="0"/>
                    <w:bottom w:val="single" w:color="auto" w:sz="6" w:space="0"/>
                    <w:right w:val="single" w:color="auto" w:sz="6" w:space="0"/>
                  </w:tcBorders>
                  <w:vAlign w:val="center"/>
                </w:tcPr>
                <w:p w14:paraId="7D205644">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DA001</w:t>
                  </w:r>
                </w:p>
              </w:tc>
              <w:tc>
                <w:tcPr>
                  <w:tcW w:w="586" w:type="pct"/>
                  <w:tcBorders>
                    <w:top w:val="single" w:color="auto" w:sz="6" w:space="0"/>
                    <w:left w:val="single" w:color="auto" w:sz="6" w:space="0"/>
                    <w:bottom w:val="single" w:color="auto" w:sz="6" w:space="0"/>
                    <w:right w:val="single" w:color="auto" w:sz="6" w:space="0"/>
                  </w:tcBorders>
                  <w:vAlign w:val="center"/>
                </w:tcPr>
                <w:p w14:paraId="5C9A66BD">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颗粒物</w:t>
                  </w:r>
                </w:p>
              </w:tc>
              <w:tc>
                <w:tcPr>
                  <w:tcW w:w="3078" w:type="pct"/>
                  <w:tcBorders>
                    <w:top w:val="single" w:color="auto" w:sz="6" w:space="0"/>
                    <w:left w:val="single" w:color="auto" w:sz="6" w:space="0"/>
                    <w:bottom w:val="single" w:color="auto" w:sz="4" w:space="0"/>
                    <w:right w:val="single" w:color="auto" w:sz="6" w:space="0"/>
                  </w:tcBorders>
                  <w:vAlign w:val="center"/>
                </w:tcPr>
                <w:p w14:paraId="2A643A33">
                  <w:pPr>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Cs/>
                      <w:color w:val="auto"/>
                      <w:sz w:val="21"/>
                      <w:szCs w:val="21"/>
                      <w:lang w:eastAsia="zh-CN"/>
                    </w:rPr>
                    <w:t>《</w:t>
                  </w:r>
                  <w:r>
                    <w:rPr>
                      <w:rFonts w:hint="default" w:ascii="Times New Roman" w:hAnsi="Times New Roman" w:eastAsia="宋体" w:cs="Times New Roman"/>
                      <w:bCs/>
                      <w:color w:val="auto"/>
                      <w:sz w:val="21"/>
                      <w:szCs w:val="21"/>
                      <w:lang w:val="en-US" w:eastAsia="zh-CN"/>
                    </w:rPr>
                    <w:t>大气污染物综合排放标准</w:t>
                  </w:r>
                  <w:r>
                    <w:rPr>
                      <w:rFonts w:hint="default" w:ascii="Times New Roman" w:hAnsi="Times New Roman" w:eastAsia="宋体" w:cs="Times New Roman"/>
                      <w:bCs/>
                      <w:color w:val="auto"/>
                      <w:sz w:val="21"/>
                      <w:szCs w:val="21"/>
                      <w:lang w:eastAsia="zh-CN"/>
                    </w:rPr>
                    <w:t>》（</w:t>
                  </w:r>
                  <w:r>
                    <w:rPr>
                      <w:rFonts w:hint="default" w:ascii="Times New Roman" w:hAnsi="Times New Roman" w:eastAsia="宋体" w:cs="Times New Roman"/>
                      <w:bCs/>
                      <w:color w:val="auto"/>
                      <w:sz w:val="21"/>
                      <w:szCs w:val="21"/>
                      <w:lang w:val="en-US" w:eastAsia="zh-CN"/>
                    </w:rPr>
                    <w:t>GB16297-1996</w:t>
                  </w:r>
                  <w:r>
                    <w:rPr>
                      <w:rFonts w:hint="default" w:ascii="Times New Roman" w:hAnsi="Times New Roman" w:eastAsia="宋体" w:cs="Times New Roman"/>
                      <w:bCs/>
                      <w:color w:val="auto"/>
                      <w:sz w:val="21"/>
                      <w:szCs w:val="21"/>
                      <w:lang w:eastAsia="zh-CN"/>
                    </w:rPr>
                    <w:t>）</w:t>
                  </w:r>
                </w:p>
              </w:tc>
              <w:tc>
                <w:tcPr>
                  <w:tcW w:w="617" w:type="pct"/>
                  <w:tcBorders>
                    <w:top w:val="single" w:color="auto" w:sz="6" w:space="0"/>
                    <w:left w:val="single" w:color="auto" w:sz="6" w:space="0"/>
                    <w:bottom w:val="single" w:color="auto" w:sz="6" w:space="0"/>
                  </w:tcBorders>
                  <w:vAlign w:val="center"/>
                </w:tcPr>
                <w:p w14:paraId="621992B0">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b w:val="0"/>
                      <w:bCs/>
                      <w:color w:val="auto"/>
                      <w:sz w:val="21"/>
                      <w:szCs w:val="21"/>
                    </w:rPr>
                    <w:t>1次/年</w:t>
                  </w:r>
                </w:p>
              </w:tc>
            </w:tr>
            <w:tr w14:paraId="55F7C6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8" w:type="pct"/>
                  <w:tcBorders>
                    <w:top w:val="single" w:color="auto" w:sz="6" w:space="0"/>
                    <w:right w:val="single" w:color="auto" w:sz="6" w:space="0"/>
                  </w:tcBorders>
                  <w:vAlign w:val="center"/>
                </w:tcPr>
                <w:p w14:paraId="22251F4B">
                  <w:pPr>
                    <w:pStyle w:val="194"/>
                    <w:adjustRightInd w:val="0"/>
                    <w:snapToGrid w:val="0"/>
                    <w:ind w:firstLine="0" w:firstLineChars="0"/>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rPr>
                    <w:t>DA00</w:t>
                  </w:r>
                  <w:r>
                    <w:rPr>
                      <w:rFonts w:hint="default" w:ascii="Times New Roman" w:hAnsi="Times New Roman" w:eastAsia="宋体" w:cs="Times New Roman"/>
                      <w:b w:val="0"/>
                      <w:bCs/>
                      <w:color w:val="auto"/>
                      <w:sz w:val="21"/>
                      <w:szCs w:val="21"/>
                      <w:lang w:val="en-US" w:eastAsia="zh-CN"/>
                    </w:rPr>
                    <w:t>2</w:t>
                  </w:r>
                </w:p>
              </w:tc>
              <w:tc>
                <w:tcPr>
                  <w:tcW w:w="586" w:type="pct"/>
                  <w:tcBorders>
                    <w:top w:val="single" w:color="auto" w:sz="6" w:space="0"/>
                    <w:left w:val="single" w:color="auto" w:sz="6" w:space="0"/>
                    <w:bottom w:val="single" w:color="auto" w:sz="6" w:space="0"/>
                    <w:right w:val="single" w:color="auto" w:sz="6" w:space="0"/>
                  </w:tcBorders>
                  <w:vAlign w:val="center"/>
                </w:tcPr>
                <w:p w14:paraId="052E33BA">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颗粒物</w:t>
                  </w:r>
                </w:p>
              </w:tc>
              <w:tc>
                <w:tcPr>
                  <w:tcW w:w="3078" w:type="pct"/>
                  <w:tcBorders>
                    <w:top w:val="single" w:color="auto" w:sz="4" w:space="0"/>
                    <w:left w:val="single" w:color="auto" w:sz="6" w:space="0"/>
                    <w:right w:val="single" w:color="auto" w:sz="6" w:space="0"/>
                  </w:tcBorders>
                  <w:vAlign w:val="center"/>
                </w:tcPr>
                <w:p w14:paraId="588311E1">
                  <w:pPr>
                    <w:keepNext w:val="0"/>
                    <w:keepLines w:val="0"/>
                    <w:pageBreakBefore w:val="0"/>
                    <w:widowControl w:val="0"/>
                    <w:kinsoku/>
                    <w:wordWrap w:val="0"/>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Cs/>
                      <w:color w:val="auto"/>
                      <w:sz w:val="21"/>
                      <w:szCs w:val="21"/>
                      <w:highlight w:val="none"/>
                    </w:rPr>
                    <w:t>《水泥工业大气污染物排放标准》（DB34/3576-2020）</w:t>
                  </w:r>
                </w:p>
              </w:tc>
              <w:tc>
                <w:tcPr>
                  <w:tcW w:w="617" w:type="pct"/>
                  <w:tcBorders>
                    <w:top w:val="single" w:color="auto" w:sz="6" w:space="0"/>
                    <w:left w:val="single" w:color="auto" w:sz="6" w:space="0"/>
                  </w:tcBorders>
                  <w:vAlign w:val="center"/>
                </w:tcPr>
                <w:p w14:paraId="3751BE21">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1次/年</w:t>
                  </w:r>
                </w:p>
              </w:tc>
            </w:tr>
            <w:tr w14:paraId="0E0E63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8" w:type="pct"/>
                  <w:tcBorders>
                    <w:top w:val="single" w:color="auto" w:sz="6" w:space="0"/>
                    <w:right w:val="single" w:color="auto" w:sz="6" w:space="0"/>
                  </w:tcBorders>
                  <w:vAlign w:val="center"/>
                </w:tcPr>
                <w:p w14:paraId="1D7BF7BC">
                  <w:pPr>
                    <w:pStyle w:val="194"/>
                    <w:adjustRightInd w:val="0"/>
                    <w:snapToGrid w:val="0"/>
                    <w:ind w:firstLine="0" w:firstLineChars="0"/>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rPr>
                    <w:t>DA00</w:t>
                  </w:r>
                  <w:r>
                    <w:rPr>
                      <w:rFonts w:hint="default" w:ascii="Times New Roman" w:hAnsi="Times New Roman" w:eastAsia="宋体" w:cs="Times New Roman"/>
                      <w:b w:val="0"/>
                      <w:bCs/>
                      <w:color w:val="auto"/>
                      <w:sz w:val="21"/>
                      <w:szCs w:val="21"/>
                      <w:lang w:val="en-US" w:eastAsia="zh-CN"/>
                    </w:rPr>
                    <w:t>3</w:t>
                  </w:r>
                </w:p>
              </w:tc>
              <w:tc>
                <w:tcPr>
                  <w:tcW w:w="586" w:type="pct"/>
                  <w:tcBorders>
                    <w:top w:val="single" w:color="auto" w:sz="6" w:space="0"/>
                    <w:left w:val="single" w:color="auto" w:sz="6" w:space="0"/>
                    <w:bottom w:val="single" w:color="auto" w:sz="6" w:space="0"/>
                    <w:right w:val="single" w:color="auto" w:sz="6" w:space="0"/>
                  </w:tcBorders>
                  <w:vAlign w:val="center"/>
                </w:tcPr>
                <w:p w14:paraId="37DBB346">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颗粒物</w:t>
                  </w:r>
                </w:p>
              </w:tc>
              <w:tc>
                <w:tcPr>
                  <w:tcW w:w="3078" w:type="pct"/>
                  <w:tcBorders>
                    <w:left w:val="single" w:color="auto" w:sz="6" w:space="0"/>
                    <w:bottom w:val="single" w:color="auto" w:sz="4" w:space="0"/>
                    <w:right w:val="single" w:color="auto" w:sz="6" w:space="0"/>
                  </w:tcBorders>
                  <w:vAlign w:val="center"/>
                </w:tcPr>
                <w:p w14:paraId="02796551">
                  <w:pPr>
                    <w:widowControl/>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Cs/>
                      <w:color w:val="auto"/>
                      <w:sz w:val="21"/>
                      <w:szCs w:val="21"/>
                      <w:lang w:eastAsia="zh-CN"/>
                    </w:rPr>
                    <w:t>《</w:t>
                  </w:r>
                  <w:r>
                    <w:rPr>
                      <w:rFonts w:hint="default" w:ascii="Times New Roman" w:hAnsi="Times New Roman" w:eastAsia="宋体" w:cs="Times New Roman"/>
                      <w:bCs/>
                      <w:color w:val="auto"/>
                      <w:sz w:val="21"/>
                      <w:szCs w:val="21"/>
                      <w:lang w:val="en-US" w:eastAsia="zh-CN"/>
                    </w:rPr>
                    <w:t>大气污染物综合排放标准</w:t>
                  </w:r>
                  <w:r>
                    <w:rPr>
                      <w:rFonts w:hint="default" w:ascii="Times New Roman" w:hAnsi="Times New Roman" w:eastAsia="宋体" w:cs="Times New Roman"/>
                      <w:bCs/>
                      <w:color w:val="auto"/>
                      <w:sz w:val="21"/>
                      <w:szCs w:val="21"/>
                      <w:lang w:eastAsia="zh-CN"/>
                    </w:rPr>
                    <w:t>》（</w:t>
                  </w:r>
                  <w:r>
                    <w:rPr>
                      <w:rFonts w:hint="default" w:ascii="Times New Roman" w:hAnsi="Times New Roman" w:eastAsia="宋体" w:cs="Times New Roman"/>
                      <w:bCs/>
                      <w:color w:val="auto"/>
                      <w:sz w:val="21"/>
                      <w:szCs w:val="21"/>
                      <w:lang w:val="en-US" w:eastAsia="zh-CN"/>
                    </w:rPr>
                    <w:t>GB16297-1996</w:t>
                  </w:r>
                  <w:r>
                    <w:rPr>
                      <w:rFonts w:hint="default" w:ascii="Times New Roman" w:hAnsi="Times New Roman" w:eastAsia="宋体" w:cs="Times New Roman"/>
                      <w:bCs/>
                      <w:color w:val="auto"/>
                      <w:sz w:val="21"/>
                      <w:szCs w:val="21"/>
                      <w:lang w:eastAsia="zh-CN"/>
                    </w:rPr>
                    <w:t>）</w:t>
                  </w:r>
                </w:p>
              </w:tc>
              <w:tc>
                <w:tcPr>
                  <w:tcW w:w="617" w:type="pct"/>
                  <w:tcBorders>
                    <w:top w:val="single" w:color="auto" w:sz="6" w:space="0"/>
                    <w:left w:val="single" w:color="auto" w:sz="6" w:space="0"/>
                  </w:tcBorders>
                  <w:vAlign w:val="center"/>
                </w:tcPr>
                <w:p w14:paraId="06308296">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1次/年</w:t>
                  </w:r>
                </w:p>
              </w:tc>
            </w:tr>
            <w:tr w14:paraId="5ACA07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8" w:type="pct"/>
                  <w:tcBorders>
                    <w:top w:val="single" w:color="auto" w:sz="6" w:space="0"/>
                    <w:right w:val="single" w:color="auto" w:sz="6" w:space="0"/>
                  </w:tcBorders>
                  <w:vAlign w:val="center"/>
                </w:tcPr>
                <w:p w14:paraId="3605CF53">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DA00</w:t>
                  </w:r>
                  <w:r>
                    <w:rPr>
                      <w:rFonts w:hint="default" w:ascii="Times New Roman" w:hAnsi="Times New Roman" w:eastAsia="宋体" w:cs="Times New Roman"/>
                      <w:b w:val="0"/>
                      <w:bCs/>
                      <w:color w:val="auto"/>
                      <w:sz w:val="21"/>
                      <w:szCs w:val="21"/>
                      <w:lang w:val="en-US" w:eastAsia="zh-CN"/>
                    </w:rPr>
                    <w:t>4</w:t>
                  </w:r>
                </w:p>
              </w:tc>
              <w:tc>
                <w:tcPr>
                  <w:tcW w:w="586" w:type="pct"/>
                  <w:tcBorders>
                    <w:top w:val="single" w:color="auto" w:sz="6" w:space="0"/>
                    <w:left w:val="single" w:color="auto" w:sz="6" w:space="0"/>
                    <w:bottom w:val="single" w:color="auto" w:sz="6" w:space="0"/>
                    <w:right w:val="single" w:color="auto" w:sz="6" w:space="0"/>
                  </w:tcBorders>
                  <w:vAlign w:val="center"/>
                </w:tcPr>
                <w:p w14:paraId="215187E4">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NH</w:t>
                  </w:r>
                  <w:r>
                    <w:rPr>
                      <w:rFonts w:hint="default" w:ascii="Times New Roman" w:hAnsi="Times New Roman" w:eastAsia="宋体" w:cs="Times New Roman"/>
                      <w:b w:val="0"/>
                      <w:bCs/>
                      <w:color w:val="auto"/>
                      <w:sz w:val="21"/>
                      <w:szCs w:val="21"/>
                      <w:vertAlign w:val="subscript"/>
                      <w:lang w:val="en-US" w:eastAsia="zh-CN"/>
                    </w:rPr>
                    <w:t>3</w:t>
                  </w:r>
                  <w:r>
                    <w:rPr>
                      <w:rFonts w:hint="default" w:ascii="Times New Roman" w:hAnsi="Times New Roman" w:eastAsia="宋体" w:cs="Times New Roman"/>
                      <w:b w:val="0"/>
                      <w:bCs/>
                      <w:color w:val="auto"/>
                      <w:sz w:val="21"/>
                      <w:szCs w:val="21"/>
                      <w:lang w:val="en-US" w:eastAsia="zh-CN"/>
                    </w:rPr>
                    <w:t>、H</w:t>
                  </w:r>
                  <w:r>
                    <w:rPr>
                      <w:rFonts w:hint="default" w:ascii="Times New Roman" w:hAnsi="Times New Roman" w:eastAsia="宋体" w:cs="Times New Roman"/>
                      <w:b w:val="0"/>
                      <w:bCs/>
                      <w:color w:val="auto"/>
                      <w:sz w:val="21"/>
                      <w:szCs w:val="21"/>
                      <w:vertAlign w:val="subscript"/>
                      <w:lang w:val="en-US" w:eastAsia="zh-CN"/>
                    </w:rPr>
                    <w:t>2</w:t>
                  </w:r>
                  <w:r>
                    <w:rPr>
                      <w:rFonts w:hint="default" w:ascii="Times New Roman" w:hAnsi="Times New Roman" w:eastAsia="宋体" w:cs="Times New Roman"/>
                      <w:b w:val="0"/>
                      <w:bCs/>
                      <w:color w:val="auto"/>
                      <w:sz w:val="21"/>
                      <w:szCs w:val="21"/>
                      <w:lang w:val="en-US" w:eastAsia="zh-CN"/>
                    </w:rPr>
                    <w:t xml:space="preserve">S、臭 </w:t>
                  </w:r>
                </w:p>
                <w:p w14:paraId="0AF440E1">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 xml:space="preserve">气浓度 </w:t>
                  </w:r>
                </w:p>
              </w:tc>
              <w:tc>
                <w:tcPr>
                  <w:tcW w:w="3078" w:type="pct"/>
                  <w:tcBorders>
                    <w:left w:val="single" w:color="auto" w:sz="6" w:space="0"/>
                    <w:bottom w:val="single" w:color="auto" w:sz="4" w:space="0"/>
                    <w:right w:val="single" w:color="auto" w:sz="6" w:space="0"/>
                  </w:tcBorders>
                  <w:vAlign w:val="center"/>
                </w:tcPr>
                <w:p w14:paraId="001454E0">
                  <w:pPr>
                    <w:widowControl/>
                    <w:adjustRightInd w:val="0"/>
                    <w:snapToGrid w:val="0"/>
                    <w:spacing w:line="240" w:lineRule="auto"/>
                    <w:ind w:firstLine="0" w:firstLineChars="0"/>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《恶臭污染物排放标准》（GB 14554-1993）</w:t>
                  </w:r>
                </w:p>
              </w:tc>
              <w:tc>
                <w:tcPr>
                  <w:tcW w:w="617" w:type="pct"/>
                  <w:tcBorders>
                    <w:top w:val="single" w:color="auto" w:sz="6" w:space="0"/>
                    <w:left w:val="single" w:color="auto" w:sz="6" w:space="0"/>
                  </w:tcBorders>
                  <w:vAlign w:val="center"/>
                </w:tcPr>
                <w:p w14:paraId="78286EA6">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1 次/ 年</w:t>
                  </w:r>
                </w:p>
              </w:tc>
            </w:tr>
            <w:tr w14:paraId="43B945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4"/>
                  <w:tcBorders>
                    <w:top w:val="single" w:color="auto" w:sz="6" w:space="0"/>
                    <w:bottom w:val="single" w:color="auto" w:sz="6" w:space="0"/>
                  </w:tcBorders>
                  <w:vAlign w:val="center"/>
                </w:tcPr>
                <w:p w14:paraId="32A37481">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无组织排放</w:t>
                  </w:r>
                </w:p>
              </w:tc>
            </w:tr>
            <w:tr w14:paraId="7F1947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8" w:type="pct"/>
                  <w:tcBorders>
                    <w:top w:val="single" w:color="auto" w:sz="6" w:space="0"/>
                    <w:bottom w:val="single" w:color="auto" w:sz="6" w:space="0"/>
                    <w:right w:val="single" w:color="auto" w:sz="6" w:space="0"/>
                  </w:tcBorders>
                  <w:vAlign w:val="center"/>
                </w:tcPr>
                <w:p w14:paraId="35BDEB0C">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586" w:type="pct"/>
                  <w:tcBorders>
                    <w:top w:val="single" w:color="auto" w:sz="6" w:space="0"/>
                    <w:left w:val="single" w:color="auto" w:sz="6" w:space="0"/>
                    <w:bottom w:val="single" w:color="auto" w:sz="6" w:space="0"/>
                    <w:right w:val="single" w:color="auto" w:sz="6" w:space="0"/>
                  </w:tcBorders>
                  <w:vAlign w:val="center"/>
                </w:tcPr>
                <w:p w14:paraId="51EF0ECA">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监测指标</w:t>
                  </w:r>
                </w:p>
              </w:tc>
              <w:tc>
                <w:tcPr>
                  <w:tcW w:w="3078" w:type="pct"/>
                  <w:tcBorders>
                    <w:top w:val="single" w:color="auto" w:sz="6" w:space="0"/>
                    <w:left w:val="single" w:color="auto" w:sz="6" w:space="0"/>
                    <w:bottom w:val="single" w:color="auto" w:sz="6" w:space="0"/>
                    <w:right w:val="single" w:color="auto" w:sz="6" w:space="0"/>
                  </w:tcBorders>
                  <w:vAlign w:val="center"/>
                </w:tcPr>
                <w:p w14:paraId="5B1736A5">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w:t>
                  </w:r>
                </w:p>
              </w:tc>
              <w:tc>
                <w:tcPr>
                  <w:tcW w:w="617" w:type="pct"/>
                  <w:tcBorders>
                    <w:top w:val="single" w:color="auto" w:sz="6" w:space="0"/>
                    <w:left w:val="single" w:color="auto" w:sz="6" w:space="0"/>
                    <w:bottom w:val="single" w:color="auto" w:sz="6" w:space="0"/>
                  </w:tcBorders>
                  <w:vAlign w:val="center"/>
                </w:tcPr>
                <w:p w14:paraId="24983AEC">
                  <w:pPr>
                    <w:pStyle w:val="194"/>
                    <w:adjustRightInd w:val="0"/>
                    <w:snapToGrid w:val="0"/>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最低监测频次</w:t>
                  </w:r>
                </w:p>
              </w:tc>
            </w:tr>
            <w:tr w14:paraId="4F40079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8" w:type="pct"/>
                  <w:vMerge w:val="restart"/>
                  <w:tcBorders>
                    <w:top w:val="single" w:color="auto" w:sz="6" w:space="0"/>
                    <w:right w:val="single" w:color="auto" w:sz="6" w:space="0"/>
                  </w:tcBorders>
                  <w:vAlign w:val="center"/>
                </w:tcPr>
                <w:p w14:paraId="07DAC192">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厂界</w:t>
                  </w:r>
                </w:p>
              </w:tc>
              <w:tc>
                <w:tcPr>
                  <w:tcW w:w="586" w:type="pct"/>
                  <w:tcBorders>
                    <w:top w:val="single" w:color="auto" w:sz="6" w:space="0"/>
                    <w:left w:val="single" w:color="auto" w:sz="6" w:space="0"/>
                    <w:bottom w:val="single" w:color="auto" w:sz="6" w:space="0"/>
                    <w:right w:val="single" w:color="auto" w:sz="6" w:space="0"/>
                  </w:tcBorders>
                  <w:vAlign w:val="center"/>
                </w:tcPr>
                <w:p w14:paraId="6E40AD51">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颗粒物</w:t>
                  </w:r>
                </w:p>
              </w:tc>
              <w:tc>
                <w:tcPr>
                  <w:tcW w:w="3078" w:type="pct"/>
                  <w:tcBorders>
                    <w:top w:val="single" w:color="auto" w:sz="6" w:space="0"/>
                    <w:left w:val="single" w:color="auto" w:sz="6" w:space="0"/>
                    <w:bottom w:val="single" w:color="auto" w:sz="6" w:space="0"/>
                    <w:right w:val="single" w:color="auto" w:sz="6" w:space="0"/>
                  </w:tcBorders>
                  <w:vAlign w:val="center"/>
                </w:tcPr>
                <w:p w14:paraId="4245EDDE">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《水泥工业大气污染物排放标准》（DB34/3576-2020）</w:t>
                  </w:r>
                </w:p>
              </w:tc>
              <w:tc>
                <w:tcPr>
                  <w:tcW w:w="617" w:type="pct"/>
                  <w:tcBorders>
                    <w:top w:val="single" w:color="auto" w:sz="6" w:space="0"/>
                    <w:left w:val="single" w:color="auto" w:sz="6" w:space="0"/>
                    <w:bottom w:val="single" w:color="auto" w:sz="6" w:space="0"/>
                  </w:tcBorders>
                  <w:vAlign w:val="center"/>
                </w:tcPr>
                <w:p w14:paraId="0FC337CA">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1次/季度</w:t>
                  </w:r>
                </w:p>
              </w:tc>
            </w:tr>
            <w:tr w14:paraId="3E6CBB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18" w:type="pct"/>
                  <w:vMerge w:val="continue"/>
                  <w:tcBorders>
                    <w:right w:val="single" w:color="auto" w:sz="6" w:space="0"/>
                  </w:tcBorders>
                  <w:vAlign w:val="center"/>
                </w:tcPr>
                <w:p w14:paraId="41859D5F">
                  <w:pPr>
                    <w:pStyle w:val="194"/>
                    <w:adjustRightInd w:val="0"/>
                    <w:snapToGrid w:val="0"/>
                    <w:ind w:firstLine="0" w:firstLineChars="0"/>
                    <w:rPr>
                      <w:rFonts w:hint="default" w:ascii="Times New Roman" w:hAnsi="Times New Roman" w:eastAsia="宋体" w:cs="Times New Roman"/>
                      <w:b w:val="0"/>
                      <w:bCs/>
                      <w:color w:val="auto"/>
                      <w:sz w:val="21"/>
                      <w:szCs w:val="21"/>
                    </w:rPr>
                  </w:pPr>
                </w:p>
              </w:tc>
              <w:tc>
                <w:tcPr>
                  <w:tcW w:w="586" w:type="pct"/>
                  <w:tcBorders>
                    <w:top w:val="single" w:color="auto" w:sz="6" w:space="0"/>
                    <w:left w:val="single" w:color="auto" w:sz="6" w:space="0"/>
                    <w:right w:val="single" w:color="auto" w:sz="6" w:space="0"/>
                  </w:tcBorders>
                  <w:vAlign w:val="center"/>
                </w:tcPr>
                <w:p w14:paraId="696D8797">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 xml:space="preserve">NH3、H2S、臭 </w:t>
                  </w:r>
                </w:p>
                <w:p w14:paraId="6B0E70AD">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 xml:space="preserve">气浓度 </w:t>
                  </w:r>
                </w:p>
              </w:tc>
              <w:tc>
                <w:tcPr>
                  <w:tcW w:w="3078" w:type="pct"/>
                  <w:tcBorders>
                    <w:top w:val="single" w:color="auto" w:sz="6" w:space="0"/>
                    <w:left w:val="single" w:color="auto" w:sz="6" w:space="0"/>
                    <w:right w:val="single" w:color="auto" w:sz="6" w:space="0"/>
                  </w:tcBorders>
                  <w:vAlign w:val="center"/>
                </w:tcPr>
                <w:p w14:paraId="6E25D583">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《恶臭污染物排放标准》（GB 14554-1993）</w:t>
                  </w:r>
                </w:p>
              </w:tc>
              <w:tc>
                <w:tcPr>
                  <w:tcW w:w="617" w:type="pct"/>
                  <w:tcBorders>
                    <w:top w:val="single" w:color="auto" w:sz="6" w:space="0"/>
                    <w:left w:val="single" w:color="auto" w:sz="6" w:space="0"/>
                  </w:tcBorders>
                  <w:vAlign w:val="center"/>
                </w:tcPr>
                <w:p w14:paraId="2DA639EE">
                  <w:pPr>
                    <w:pStyle w:val="194"/>
                    <w:adjustRightInd w:val="0"/>
                    <w:snapToGrid w:val="0"/>
                    <w:ind w:firstLine="0" w:firstLineChars="0"/>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1 次/ 年</w:t>
                  </w:r>
                </w:p>
              </w:tc>
            </w:tr>
          </w:tbl>
          <w:p w14:paraId="52D2015A">
            <w:pPr>
              <w:adjustRightInd w:val="0"/>
              <w:snapToGrid w:val="0"/>
              <w:ind w:firstLine="462"/>
              <w:rPr>
                <w:rFonts w:hint="default" w:ascii="Times New Roman" w:hAnsi="Times New Roman" w:eastAsia="宋体" w:cs="Times New Roman"/>
                <w:b/>
                <w:color w:val="auto"/>
              </w:rPr>
            </w:pPr>
            <w:r>
              <w:rPr>
                <w:rFonts w:hint="default" w:ascii="Times New Roman" w:hAnsi="Times New Roman" w:eastAsia="宋体" w:cs="Times New Roman"/>
                <w:b/>
                <w:bCs/>
                <w:color w:val="auto"/>
                <w:spacing w:val="-10"/>
              </w:rPr>
              <w:t>（二）废水</w:t>
            </w:r>
          </w:p>
          <w:p w14:paraId="45FD01AF">
            <w:pPr>
              <w:pStyle w:val="178"/>
              <w:ind w:firstLine="480"/>
              <w:rPr>
                <w:rFonts w:hint="default" w:ascii="Times New Roman" w:hAnsi="Times New Roman" w:eastAsia="宋体" w:cs="Times New Roman"/>
                <w:b/>
                <w:bCs w:val="0"/>
                <w:color w:val="auto"/>
                <w:lang w:val="en-US" w:eastAsia="zh-CN"/>
              </w:rPr>
            </w:pPr>
            <w:r>
              <w:rPr>
                <w:rFonts w:hint="default" w:ascii="Times New Roman" w:hAnsi="Times New Roman" w:eastAsia="宋体" w:cs="Times New Roman"/>
                <w:b/>
                <w:bCs w:val="0"/>
                <w:color w:val="auto"/>
                <w:lang w:val="en-US" w:eastAsia="zh-CN"/>
              </w:rPr>
              <w:t>1、废水源强核算</w:t>
            </w:r>
          </w:p>
          <w:p w14:paraId="2DF0D69D">
            <w:pPr>
              <w:pStyle w:val="178"/>
              <w:ind w:firstLine="48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rPr>
              <w:t>废水产污环节、污染物种类及污染治理设施等见表4-</w:t>
            </w:r>
            <w:r>
              <w:rPr>
                <w:rFonts w:hint="default" w:ascii="Times New Roman" w:hAnsi="Times New Roman" w:eastAsia="宋体" w:cs="Times New Roman"/>
                <w:b w:val="0"/>
                <w:bCs/>
                <w:color w:val="auto"/>
                <w:lang w:val="en-US" w:eastAsia="zh-CN"/>
              </w:rPr>
              <w:t>10</w:t>
            </w:r>
            <w:r>
              <w:rPr>
                <w:rFonts w:hint="default" w:ascii="Times New Roman" w:hAnsi="Times New Roman" w:eastAsia="宋体" w:cs="Times New Roman"/>
                <w:b w:val="0"/>
                <w:bCs/>
                <w:color w:val="auto"/>
              </w:rPr>
              <w:t>。生活污水产生及处置情况见表4-</w:t>
            </w:r>
            <w:r>
              <w:rPr>
                <w:rFonts w:hint="default" w:ascii="Times New Roman" w:hAnsi="Times New Roman" w:eastAsia="宋体" w:cs="Times New Roman"/>
                <w:b w:val="0"/>
                <w:bCs/>
                <w:color w:val="auto"/>
                <w:lang w:val="en-US" w:eastAsia="zh-CN"/>
              </w:rPr>
              <w:t>11</w:t>
            </w:r>
            <w:r>
              <w:rPr>
                <w:rFonts w:hint="default" w:ascii="Times New Roman" w:hAnsi="Times New Roman" w:eastAsia="宋体" w:cs="Times New Roman"/>
                <w:b w:val="0"/>
                <w:bCs/>
                <w:color w:val="auto"/>
              </w:rPr>
              <w:t>。</w:t>
            </w:r>
          </w:p>
          <w:p w14:paraId="0B661822">
            <w:pPr>
              <w:pStyle w:val="178"/>
              <w:adjustRightInd w:val="0"/>
              <w:snapToGrid w:val="0"/>
              <w:spacing w:line="240" w:lineRule="auto"/>
              <w:ind w:firstLine="48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表4-</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rPr>
              <w:t xml:space="preserve">  废水产污环节、污染物种类及污染治理设施等一览表</w:t>
            </w:r>
          </w:p>
          <w:tbl>
            <w:tblPr>
              <w:tblStyle w:val="34"/>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991"/>
              <w:gridCol w:w="1004"/>
              <w:gridCol w:w="1517"/>
              <w:gridCol w:w="1583"/>
              <w:gridCol w:w="952"/>
              <w:gridCol w:w="760"/>
              <w:gridCol w:w="864"/>
            </w:tblGrid>
            <w:tr w14:paraId="21AA8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148" w:type="pct"/>
                  <w:tcBorders>
                    <w:tl2br w:val="nil"/>
                    <w:tr2bl w:val="nil"/>
                  </w:tcBorders>
                  <w:vAlign w:val="center"/>
                </w:tcPr>
                <w:p w14:paraId="66B894AF">
                  <w:pPr>
                    <w:pStyle w:val="17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废水类别</w:t>
                  </w:r>
                </w:p>
              </w:tc>
              <w:tc>
                <w:tcPr>
                  <w:tcW w:w="578" w:type="pct"/>
                  <w:tcBorders>
                    <w:tl2br w:val="nil"/>
                    <w:tr2bl w:val="nil"/>
                  </w:tcBorders>
                  <w:vAlign w:val="center"/>
                </w:tcPr>
                <w:p w14:paraId="522CF097">
                  <w:pPr>
                    <w:pStyle w:val="17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产污环节</w:t>
                  </w:r>
                </w:p>
              </w:tc>
              <w:tc>
                <w:tcPr>
                  <w:tcW w:w="874" w:type="pct"/>
                  <w:tcBorders>
                    <w:tl2br w:val="nil"/>
                    <w:tr2bl w:val="nil"/>
                  </w:tcBorders>
                  <w:vAlign w:val="center"/>
                </w:tcPr>
                <w:p w14:paraId="2116A3BA">
                  <w:pPr>
                    <w:pStyle w:val="17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污染物种类</w:t>
                  </w:r>
                </w:p>
              </w:tc>
              <w:tc>
                <w:tcPr>
                  <w:tcW w:w="912" w:type="pct"/>
                  <w:tcBorders>
                    <w:tl2br w:val="nil"/>
                    <w:tr2bl w:val="nil"/>
                  </w:tcBorders>
                  <w:vAlign w:val="center"/>
                </w:tcPr>
                <w:p w14:paraId="7C93EC5C">
                  <w:pPr>
                    <w:pStyle w:val="17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污染治理设施及工艺</w:t>
                  </w:r>
                </w:p>
              </w:tc>
              <w:tc>
                <w:tcPr>
                  <w:tcW w:w="548" w:type="pct"/>
                  <w:tcBorders>
                    <w:tl2br w:val="nil"/>
                    <w:tr2bl w:val="nil"/>
                  </w:tcBorders>
                  <w:vAlign w:val="center"/>
                </w:tcPr>
                <w:p w14:paraId="51DF84CD">
                  <w:pPr>
                    <w:pStyle w:val="17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是否为可行技术</w:t>
                  </w:r>
                </w:p>
              </w:tc>
              <w:tc>
                <w:tcPr>
                  <w:tcW w:w="438" w:type="pct"/>
                  <w:tcBorders>
                    <w:tl2br w:val="nil"/>
                    <w:tr2bl w:val="nil"/>
                  </w:tcBorders>
                  <w:vAlign w:val="center"/>
                </w:tcPr>
                <w:p w14:paraId="06F67E39">
                  <w:pPr>
                    <w:pStyle w:val="17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w:t>
                  </w:r>
                </w:p>
                <w:p w14:paraId="39550AB4">
                  <w:pPr>
                    <w:pStyle w:val="17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去向</w:t>
                  </w:r>
                </w:p>
              </w:tc>
              <w:tc>
                <w:tcPr>
                  <w:tcW w:w="498" w:type="pct"/>
                  <w:tcBorders>
                    <w:tl2br w:val="nil"/>
                    <w:tr2bl w:val="nil"/>
                  </w:tcBorders>
                  <w:vAlign w:val="center"/>
                </w:tcPr>
                <w:p w14:paraId="0E886580">
                  <w:pPr>
                    <w:pStyle w:val="17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排放口类别</w:t>
                  </w:r>
                </w:p>
              </w:tc>
            </w:tr>
            <w:tr w14:paraId="7ADB9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148" w:type="pct"/>
                  <w:tcBorders>
                    <w:tl2br w:val="nil"/>
                    <w:tr2bl w:val="nil"/>
                  </w:tcBorders>
                  <w:vAlign w:val="center"/>
                </w:tcPr>
                <w:p w14:paraId="25C74A29">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生活污水</w:t>
                  </w:r>
                </w:p>
              </w:tc>
              <w:tc>
                <w:tcPr>
                  <w:tcW w:w="578" w:type="pct"/>
                  <w:tcBorders>
                    <w:tl2br w:val="nil"/>
                    <w:tr2bl w:val="nil"/>
                  </w:tcBorders>
                  <w:vAlign w:val="center"/>
                </w:tcPr>
                <w:p w14:paraId="6974D32B">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职工生活</w:t>
                  </w:r>
                </w:p>
              </w:tc>
              <w:tc>
                <w:tcPr>
                  <w:tcW w:w="874" w:type="pct"/>
                  <w:tcBorders>
                    <w:tl2br w:val="nil"/>
                    <w:tr2bl w:val="nil"/>
                  </w:tcBorders>
                  <w:vAlign w:val="center"/>
                </w:tcPr>
                <w:p w14:paraId="41D61560">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rPr>
                    <w:t>pH、COD、SS、BOD</w:t>
                  </w:r>
                  <w:r>
                    <w:rPr>
                      <w:rFonts w:hint="default" w:ascii="Times New Roman" w:hAnsi="Times New Roman" w:eastAsia="宋体" w:cs="Times New Roman"/>
                      <w:bCs/>
                      <w:color w:val="auto"/>
                      <w:sz w:val="21"/>
                      <w:szCs w:val="21"/>
                      <w:vertAlign w:val="subscript"/>
                    </w:rPr>
                    <w:t>5</w:t>
                  </w:r>
                  <w:r>
                    <w:rPr>
                      <w:rFonts w:hint="default" w:ascii="Times New Roman" w:hAnsi="Times New Roman" w:eastAsia="宋体" w:cs="Times New Roman"/>
                      <w:bCs/>
                      <w:color w:val="auto"/>
                      <w:sz w:val="21"/>
                      <w:szCs w:val="21"/>
                    </w:rPr>
                    <w:t>，NH</w:t>
                  </w:r>
                  <w:r>
                    <w:rPr>
                      <w:rFonts w:hint="default" w:ascii="Times New Roman" w:hAnsi="Times New Roman" w:eastAsia="宋体" w:cs="Times New Roman"/>
                      <w:bCs/>
                      <w:color w:val="auto"/>
                      <w:sz w:val="21"/>
                      <w:szCs w:val="21"/>
                      <w:vertAlign w:val="subscript"/>
                    </w:rPr>
                    <w:t>3</w:t>
                  </w:r>
                  <w:r>
                    <w:rPr>
                      <w:rFonts w:hint="default" w:ascii="Times New Roman" w:hAnsi="Times New Roman" w:eastAsia="宋体" w:cs="Times New Roman"/>
                      <w:bCs/>
                      <w:color w:val="auto"/>
                      <w:sz w:val="21"/>
                      <w:szCs w:val="21"/>
                    </w:rPr>
                    <w:t>-N</w:t>
                  </w:r>
                </w:p>
              </w:tc>
              <w:tc>
                <w:tcPr>
                  <w:tcW w:w="912" w:type="pct"/>
                  <w:tcBorders>
                    <w:tl2br w:val="nil"/>
                    <w:tr2bl w:val="nil"/>
                  </w:tcBorders>
                  <w:vAlign w:val="center"/>
                </w:tcPr>
                <w:p w14:paraId="4CFEEE46">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经化粪池处理后排 入 收集池存放，采用槽罐车定期送至</w:t>
                  </w:r>
                  <w:r>
                    <w:rPr>
                      <w:rFonts w:hint="eastAsia" w:ascii="Times New Roman" w:hAnsi="Times New Roman" w:eastAsia="宋体" w:cs="Times New Roman"/>
                      <w:color w:val="auto"/>
                      <w:sz w:val="21"/>
                      <w:szCs w:val="21"/>
                      <w:lang w:val="en-US" w:eastAsia="zh-CN"/>
                    </w:rPr>
                    <w:t>东至县国祯污水处理厂</w:t>
                  </w:r>
                  <w:r>
                    <w:rPr>
                      <w:rFonts w:hint="default" w:ascii="Times New Roman" w:hAnsi="Times New Roman" w:eastAsia="宋体" w:cs="Times New Roman"/>
                      <w:color w:val="auto"/>
                      <w:sz w:val="21"/>
                      <w:szCs w:val="21"/>
                      <w:lang w:val="en-US" w:eastAsia="zh-CN"/>
                    </w:rPr>
                    <w:t>处置</w:t>
                  </w:r>
                </w:p>
              </w:tc>
              <w:tc>
                <w:tcPr>
                  <w:tcW w:w="548" w:type="pct"/>
                  <w:tcBorders>
                    <w:tl2br w:val="nil"/>
                    <w:tr2bl w:val="nil"/>
                  </w:tcBorders>
                  <w:vAlign w:val="center"/>
                </w:tcPr>
                <w:p w14:paraId="6B07CA92">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是</w:t>
                  </w:r>
                </w:p>
              </w:tc>
              <w:tc>
                <w:tcPr>
                  <w:tcW w:w="438" w:type="pct"/>
                  <w:tcBorders>
                    <w:tl2br w:val="nil"/>
                    <w:tr2bl w:val="nil"/>
                  </w:tcBorders>
                  <w:vAlign w:val="center"/>
                </w:tcPr>
                <w:p w14:paraId="24F32665">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东至县国祯污水处理厂</w:t>
                  </w:r>
                </w:p>
              </w:tc>
              <w:tc>
                <w:tcPr>
                  <w:tcW w:w="498" w:type="pct"/>
                  <w:tcBorders>
                    <w:tl2br w:val="nil"/>
                    <w:tr2bl w:val="nil"/>
                  </w:tcBorders>
                  <w:vAlign w:val="center"/>
                </w:tcPr>
                <w:p w14:paraId="1F14C523">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w:t>
                  </w:r>
                </w:p>
              </w:tc>
            </w:tr>
            <w:tr w14:paraId="7AA13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148" w:type="pct"/>
                  <w:tcBorders>
                    <w:tl2br w:val="nil"/>
                    <w:tr2bl w:val="nil"/>
                  </w:tcBorders>
                  <w:vAlign w:val="center"/>
                </w:tcPr>
                <w:p w14:paraId="56583187">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车辆冲洗水</w:t>
                  </w:r>
                </w:p>
              </w:tc>
              <w:tc>
                <w:tcPr>
                  <w:tcW w:w="578" w:type="pct"/>
                  <w:tcBorders>
                    <w:tl2br w:val="nil"/>
                    <w:tr2bl w:val="nil"/>
                  </w:tcBorders>
                  <w:vAlign w:val="center"/>
                </w:tcPr>
                <w:p w14:paraId="1070E1BC">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车辆冲洗</w:t>
                  </w:r>
                </w:p>
              </w:tc>
              <w:tc>
                <w:tcPr>
                  <w:tcW w:w="874" w:type="pct"/>
                  <w:tcBorders>
                    <w:tl2br w:val="nil"/>
                    <w:tr2bl w:val="nil"/>
                  </w:tcBorders>
                  <w:vAlign w:val="center"/>
                </w:tcPr>
                <w:p w14:paraId="5590AD08">
                  <w:pPr>
                    <w:adjustRightInd w:val="0"/>
                    <w:snapToGrid w:val="0"/>
                    <w:spacing w:line="240" w:lineRule="auto"/>
                    <w:ind w:firstLine="0" w:firstLineChars="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pH、</w:t>
                  </w:r>
                  <w:r>
                    <w:rPr>
                      <w:rFonts w:hint="default" w:ascii="Times New Roman" w:hAnsi="Times New Roman" w:eastAsia="宋体" w:cs="Times New Roman"/>
                      <w:bCs/>
                      <w:color w:val="auto"/>
                      <w:sz w:val="21"/>
                      <w:szCs w:val="21"/>
                    </w:rPr>
                    <w:t>SS</w:t>
                  </w:r>
                </w:p>
              </w:tc>
              <w:tc>
                <w:tcPr>
                  <w:tcW w:w="912" w:type="pct"/>
                  <w:tcBorders>
                    <w:tl2br w:val="nil"/>
                    <w:tr2bl w:val="nil"/>
                  </w:tcBorders>
                  <w:vAlign w:val="center"/>
                </w:tcPr>
                <w:p w14:paraId="2A4AED8A">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循环利用不外排</w:t>
                  </w:r>
                </w:p>
              </w:tc>
              <w:tc>
                <w:tcPr>
                  <w:tcW w:w="548" w:type="pct"/>
                  <w:tcBorders>
                    <w:tl2br w:val="nil"/>
                    <w:tr2bl w:val="nil"/>
                  </w:tcBorders>
                  <w:vAlign w:val="center"/>
                </w:tcPr>
                <w:p w14:paraId="1787949D">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是</w:t>
                  </w:r>
                </w:p>
              </w:tc>
              <w:tc>
                <w:tcPr>
                  <w:tcW w:w="438" w:type="pct"/>
                  <w:tcBorders>
                    <w:tl2br w:val="nil"/>
                    <w:tr2bl w:val="nil"/>
                  </w:tcBorders>
                  <w:vAlign w:val="center"/>
                </w:tcPr>
                <w:p w14:paraId="475CF778">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不排放</w:t>
                  </w:r>
                </w:p>
              </w:tc>
              <w:tc>
                <w:tcPr>
                  <w:tcW w:w="498" w:type="pct"/>
                  <w:tcBorders>
                    <w:tl2br w:val="nil"/>
                    <w:tr2bl w:val="nil"/>
                  </w:tcBorders>
                  <w:vAlign w:val="center"/>
                </w:tcPr>
                <w:p w14:paraId="548E856B">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w:t>
                  </w:r>
                </w:p>
              </w:tc>
            </w:tr>
            <w:tr w14:paraId="3B74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148" w:type="pct"/>
                  <w:tcBorders>
                    <w:tl2br w:val="nil"/>
                    <w:tr2bl w:val="nil"/>
                  </w:tcBorders>
                  <w:vAlign w:val="center"/>
                </w:tcPr>
                <w:p w14:paraId="15C8191A">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地面、搅拌机冲洗水</w:t>
                  </w:r>
                </w:p>
              </w:tc>
              <w:tc>
                <w:tcPr>
                  <w:tcW w:w="578" w:type="pct"/>
                  <w:tcBorders>
                    <w:tl2br w:val="nil"/>
                    <w:tr2bl w:val="nil"/>
                  </w:tcBorders>
                  <w:vAlign w:val="center"/>
                </w:tcPr>
                <w:p w14:paraId="3877B81D">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冲洗</w:t>
                  </w:r>
                </w:p>
              </w:tc>
              <w:tc>
                <w:tcPr>
                  <w:tcW w:w="874" w:type="pct"/>
                  <w:tcBorders>
                    <w:tl2br w:val="nil"/>
                    <w:tr2bl w:val="nil"/>
                  </w:tcBorders>
                  <w:vAlign w:val="center"/>
                </w:tcPr>
                <w:p w14:paraId="63DEF6D1">
                  <w:pPr>
                    <w:adjustRightInd w:val="0"/>
                    <w:snapToGrid w:val="0"/>
                    <w:spacing w:line="240" w:lineRule="auto"/>
                    <w:ind w:firstLine="0" w:firstLineChars="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pH、</w:t>
                  </w:r>
                  <w:r>
                    <w:rPr>
                      <w:rFonts w:hint="default" w:ascii="Times New Roman" w:hAnsi="Times New Roman" w:eastAsia="宋体" w:cs="Times New Roman"/>
                      <w:bCs/>
                      <w:color w:val="auto"/>
                      <w:sz w:val="21"/>
                      <w:szCs w:val="21"/>
                    </w:rPr>
                    <w:t>SS</w:t>
                  </w:r>
                </w:p>
              </w:tc>
              <w:tc>
                <w:tcPr>
                  <w:tcW w:w="912" w:type="pct"/>
                  <w:tcBorders>
                    <w:tl2br w:val="nil"/>
                    <w:tr2bl w:val="nil"/>
                  </w:tcBorders>
                  <w:vAlign w:val="center"/>
                </w:tcPr>
                <w:p w14:paraId="7BAF984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沉淀池回用于生产</w:t>
                  </w:r>
                </w:p>
              </w:tc>
              <w:tc>
                <w:tcPr>
                  <w:tcW w:w="548" w:type="pct"/>
                  <w:tcBorders>
                    <w:tl2br w:val="nil"/>
                    <w:tr2bl w:val="nil"/>
                  </w:tcBorders>
                  <w:vAlign w:val="center"/>
                </w:tcPr>
                <w:p w14:paraId="1A729CCA">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是</w:t>
                  </w:r>
                </w:p>
              </w:tc>
              <w:tc>
                <w:tcPr>
                  <w:tcW w:w="438" w:type="pct"/>
                  <w:tcBorders>
                    <w:tl2br w:val="nil"/>
                    <w:tr2bl w:val="nil"/>
                  </w:tcBorders>
                  <w:vAlign w:val="center"/>
                </w:tcPr>
                <w:p w14:paraId="39F5AA8E">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不排放</w:t>
                  </w:r>
                </w:p>
              </w:tc>
              <w:tc>
                <w:tcPr>
                  <w:tcW w:w="498" w:type="pct"/>
                  <w:tcBorders>
                    <w:tl2br w:val="nil"/>
                    <w:tr2bl w:val="nil"/>
                  </w:tcBorders>
                  <w:vAlign w:val="center"/>
                </w:tcPr>
                <w:p w14:paraId="209CD3C4">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w:t>
                  </w:r>
                </w:p>
              </w:tc>
            </w:tr>
            <w:tr w14:paraId="3F80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148" w:type="pct"/>
                  <w:tcBorders>
                    <w:tl2br w:val="nil"/>
                    <w:tr2bl w:val="nil"/>
                  </w:tcBorders>
                  <w:vAlign w:val="center"/>
                </w:tcPr>
                <w:p w14:paraId="21B702C8">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初期雨水</w:t>
                  </w:r>
                </w:p>
              </w:tc>
              <w:tc>
                <w:tcPr>
                  <w:tcW w:w="578" w:type="pct"/>
                  <w:tcBorders>
                    <w:tl2br w:val="nil"/>
                    <w:tr2bl w:val="nil"/>
                  </w:tcBorders>
                  <w:vAlign w:val="center"/>
                </w:tcPr>
                <w:p w14:paraId="320DFF2D">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雨水</w:t>
                  </w:r>
                </w:p>
              </w:tc>
              <w:tc>
                <w:tcPr>
                  <w:tcW w:w="874" w:type="pct"/>
                  <w:tcBorders>
                    <w:tl2br w:val="nil"/>
                    <w:tr2bl w:val="nil"/>
                  </w:tcBorders>
                  <w:vAlign w:val="center"/>
                </w:tcPr>
                <w:p w14:paraId="48B39F1E">
                  <w:pPr>
                    <w:adjustRightInd w:val="0"/>
                    <w:snapToGrid w:val="0"/>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pH、</w:t>
                  </w:r>
                  <w:r>
                    <w:rPr>
                      <w:rFonts w:hint="default" w:ascii="Times New Roman" w:hAnsi="Times New Roman" w:eastAsia="宋体" w:cs="Times New Roman"/>
                      <w:bCs/>
                      <w:color w:val="auto"/>
                      <w:sz w:val="21"/>
                      <w:szCs w:val="21"/>
                    </w:rPr>
                    <w:t>SS</w:t>
                  </w:r>
                </w:p>
              </w:tc>
              <w:tc>
                <w:tcPr>
                  <w:tcW w:w="912" w:type="pct"/>
                  <w:tcBorders>
                    <w:tl2br w:val="nil"/>
                    <w:tr2bl w:val="nil"/>
                  </w:tcBorders>
                  <w:vAlign w:val="center"/>
                </w:tcPr>
                <w:p w14:paraId="146D960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沉淀池回用于生产</w:t>
                  </w:r>
                </w:p>
              </w:tc>
              <w:tc>
                <w:tcPr>
                  <w:tcW w:w="548" w:type="pct"/>
                  <w:tcBorders>
                    <w:tl2br w:val="nil"/>
                    <w:tr2bl w:val="nil"/>
                  </w:tcBorders>
                  <w:vAlign w:val="center"/>
                </w:tcPr>
                <w:p w14:paraId="19F222C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是</w:t>
                  </w:r>
                </w:p>
              </w:tc>
              <w:tc>
                <w:tcPr>
                  <w:tcW w:w="438" w:type="pct"/>
                  <w:tcBorders>
                    <w:tl2br w:val="nil"/>
                    <w:tr2bl w:val="nil"/>
                  </w:tcBorders>
                  <w:vAlign w:val="center"/>
                </w:tcPr>
                <w:p w14:paraId="2DB0625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不排放</w:t>
                  </w:r>
                </w:p>
              </w:tc>
              <w:tc>
                <w:tcPr>
                  <w:tcW w:w="498" w:type="pct"/>
                  <w:tcBorders>
                    <w:tl2br w:val="nil"/>
                    <w:tr2bl w:val="nil"/>
                  </w:tcBorders>
                  <w:vAlign w:val="center"/>
                </w:tcPr>
                <w:p w14:paraId="4950B5A3">
                  <w:pPr>
                    <w:pStyle w:val="178"/>
                    <w:adjustRightInd w:val="0"/>
                    <w:snapToGrid w:val="0"/>
                    <w:spacing w:line="240" w:lineRule="auto"/>
                    <w:ind w:firstLine="0" w:firstLineChars="0"/>
                    <w:jc w:val="center"/>
                    <w:rPr>
                      <w:rFonts w:hint="default" w:ascii="Times New Roman" w:hAnsi="Times New Roman" w:eastAsia="宋体" w:cs="Times New Roman"/>
                      <w:b w:val="0"/>
                      <w:color w:val="auto"/>
                      <w:sz w:val="21"/>
                      <w:szCs w:val="21"/>
                    </w:rPr>
                  </w:pPr>
                  <w:r>
                    <w:rPr>
                      <w:rFonts w:hint="default" w:ascii="Times New Roman" w:hAnsi="Times New Roman" w:eastAsia="宋体" w:cs="Times New Roman"/>
                      <w:b w:val="0"/>
                      <w:color w:val="auto"/>
                      <w:sz w:val="21"/>
                      <w:szCs w:val="21"/>
                    </w:rPr>
                    <w:t>/</w:t>
                  </w:r>
                </w:p>
              </w:tc>
            </w:tr>
            <w:tr w14:paraId="28804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000" w:type="pct"/>
                  <w:gridSpan w:val="7"/>
                  <w:tcBorders>
                    <w:tl2br w:val="nil"/>
                    <w:tr2bl w:val="nil"/>
                  </w:tcBorders>
                  <w:vAlign w:val="center"/>
                </w:tcPr>
                <w:p w14:paraId="4F74067A">
                  <w:pPr>
                    <w:pStyle w:val="139"/>
                    <w:keepNext w:val="0"/>
                    <w:keepLines w:val="0"/>
                    <w:pageBreakBefore w:val="0"/>
                    <w:widowControl w:val="0"/>
                    <w:kinsoku/>
                    <w:wordWrap/>
                    <w:overflowPunct/>
                    <w:topLinePunct w:val="0"/>
                    <w:autoSpaceDE w:val="0"/>
                    <w:autoSpaceDN w:val="0"/>
                    <w:bidi w:val="0"/>
                    <w:adjustRightInd w:val="0"/>
                    <w:snapToGrid w:val="0"/>
                    <w:spacing w:line="360" w:lineRule="auto"/>
                    <w:ind w:firstLine="400" w:firstLineChars="200"/>
                    <w:jc w:val="both"/>
                    <w:textAlignment w:val="auto"/>
                    <w:rPr>
                      <w:rFonts w:hint="default" w:ascii="Times New Roman" w:hAnsi="Times New Roman" w:eastAsia="宋体" w:cs="Times New Roman"/>
                      <w:b w:val="0"/>
                      <w:color w:val="auto"/>
                      <w:sz w:val="21"/>
                      <w:szCs w:val="21"/>
                    </w:rPr>
                  </w:pPr>
                  <w:r>
                    <w:rPr>
                      <w:rFonts w:hint="default" w:ascii="Times New Roman" w:hAnsi="Times New Roman" w:eastAsia="宋体" w:cs="Times New Roman"/>
                      <w:color w:val="auto"/>
                      <w:sz w:val="20"/>
                      <w:szCs w:val="20"/>
                    </w:rPr>
                    <w:t>参考《环境工程技术手册 废水污染控制技术手册》（潘涛、李安峰、杜兵主编）中表1-1-1典型生活污水水质，本项目生活污水污染物产生浓度取值为COD 400mg/L、BOD</w:t>
                  </w:r>
                  <w:r>
                    <w:rPr>
                      <w:rFonts w:hint="default" w:ascii="Times New Roman" w:hAnsi="Times New Roman" w:eastAsia="宋体" w:cs="Times New Roman"/>
                      <w:color w:val="auto"/>
                      <w:sz w:val="20"/>
                      <w:szCs w:val="20"/>
                      <w:vertAlign w:val="subscript"/>
                    </w:rPr>
                    <w:t xml:space="preserve">5 </w:t>
                  </w:r>
                  <w:r>
                    <w:rPr>
                      <w:rFonts w:hint="default" w:ascii="Times New Roman" w:hAnsi="Times New Roman" w:eastAsia="宋体" w:cs="Times New Roman"/>
                      <w:color w:val="auto"/>
                      <w:sz w:val="20"/>
                      <w:szCs w:val="20"/>
                    </w:rPr>
                    <w:t>220mg/L、SS 200mg/L、氨氮（参考游离氮）25mg/L。</w:t>
                  </w:r>
                </w:p>
              </w:tc>
            </w:tr>
          </w:tbl>
          <w:p w14:paraId="77839F62">
            <w:pPr>
              <w:numPr>
                <w:ilvl w:val="0"/>
                <w:numId w:val="9"/>
              </w:numPr>
              <w:tabs>
                <w:tab w:val="left" w:pos="5040"/>
              </w:tabs>
              <w:spacing w:line="360" w:lineRule="auto"/>
              <w:ind w:firstLine="482"/>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生活污水</w:t>
            </w:r>
          </w:p>
          <w:p w14:paraId="7FB71D98">
            <w:pPr>
              <w:keepNext w:val="0"/>
              <w:keepLines w:val="0"/>
              <w:pageBreakBefore w:val="0"/>
              <w:widowControl w:val="0"/>
              <w:numPr>
                <w:ilvl w:val="0"/>
                <w:numId w:val="0"/>
              </w:numPr>
              <w:tabs>
                <w:tab w:val="left" w:pos="5040"/>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val="0"/>
                <w:bCs w:val="0"/>
                <w:color w:val="auto"/>
                <w:sz w:val="24"/>
                <w:szCs w:val="24"/>
                <w:lang w:val="en-US" w:eastAsia="zh-CN"/>
              </w:rPr>
              <w:t>项目生活污水产排污情况见下表。</w:t>
            </w:r>
          </w:p>
          <w:p w14:paraId="3618A4A3">
            <w:pPr>
              <w:tabs>
                <w:tab w:val="left" w:pos="5040"/>
              </w:tabs>
              <w:spacing w:line="240" w:lineRule="auto"/>
              <w:ind w:firstLine="482"/>
              <w:jc w:val="center"/>
              <w:rPr>
                <w:rFonts w:hint="default" w:ascii="Times New Roman" w:hAnsi="Times New Roman" w:eastAsia="宋体" w:cs="Times New Roman"/>
                <w:b/>
                <w:bCs/>
                <w:color w:val="auto"/>
              </w:rPr>
            </w:pPr>
            <w:r>
              <w:rPr>
                <w:rFonts w:hint="default" w:ascii="Times New Roman" w:hAnsi="Times New Roman" w:eastAsia="宋体" w:cs="Times New Roman"/>
                <w:b/>
                <w:bCs/>
                <w:color w:val="auto"/>
                <w:sz w:val="21"/>
                <w:szCs w:val="21"/>
              </w:rPr>
              <w:t>表4-</w:t>
            </w:r>
            <w:r>
              <w:rPr>
                <w:rFonts w:hint="default" w:ascii="Times New Roman" w:hAnsi="Times New Roman" w:eastAsia="宋体" w:cs="Times New Roman"/>
                <w:b/>
                <w:bCs/>
                <w:color w:val="auto"/>
                <w:sz w:val="21"/>
                <w:szCs w:val="21"/>
                <w:lang w:val="en-US" w:eastAsia="zh-CN"/>
              </w:rPr>
              <w:t>11</w:t>
            </w:r>
            <w:r>
              <w:rPr>
                <w:rFonts w:hint="default" w:ascii="Times New Roman" w:hAnsi="Times New Roman" w:eastAsia="宋体" w:cs="Times New Roman"/>
                <w:b/>
                <w:bCs/>
                <w:color w:val="auto"/>
                <w:sz w:val="21"/>
                <w:szCs w:val="21"/>
              </w:rPr>
              <w:t>废水产生及排放情况</w:t>
            </w:r>
          </w:p>
          <w:tbl>
            <w:tblPr>
              <w:tblStyle w:val="34"/>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4"/>
              <w:gridCol w:w="987"/>
              <w:gridCol w:w="1013"/>
              <w:gridCol w:w="1099"/>
              <w:gridCol w:w="1067"/>
              <w:gridCol w:w="737"/>
              <w:gridCol w:w="862"/>
              <w:gridCol w:w="1099"/>
              <w:gridCol w:w="1073"/>
            </w:tblGrid>
            <w:tr w14:paraId="147D3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rPr>
              <w:tc>
                <w:tcPr>
                  <w:tcW w:w="423" w:type="pct"/>
                  <w:vMerge w:val="restart"/>
                  <w:vAlign w:val="center"/>
                </w:tcPr>
                <w:p w14:paraId="6A70DE59">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种类</w:t>
                  </w:r>
                </w:p>
              </w:tc>
              <w:tc>
                <w:tcPr>
                  <w:tcW w:w="569" w:type="pct"/>
                  <w:vMerge w:val="restart"/>
                  <w:vAlign w:val="center"/>
                </w:tcPr>
                <w:p w14:paraId="070EF412">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废水量m</w:t>
                  </w:r>
                  <w:r>
                    <w:rPr>
                      <w:rFonts w:hint="default" w:ascii="Times New Roman" w:hAnsi="Times New Roman" w:eastAsia="宋体" w:cs="Times New Roman"/>
                      <w:b/>
                      <w:color w:val="auto"/>
                      <w:sz w:val="21"/>
                      <w:szCs w:val="21"/>
                      <w:vertAlign w:val="superscript"/>
                    </w:rPr>
                    <w:t>3</w:t>
                  </w:r>
                  <w:r>
                    <w:rPr>
                      <w:rFonts w:hint="default" w:ascii="Times New Roman" w:hAnsi="Times New Roman" w:eastAsia="宋体" w:cs="Times New Roman"/>
                      <w:b/>
                      <w:color w:val="auto"/>
                      <w:sz w:val="21"/>
                      <w:szCs w:val="21"/>
                    </w:rPr>
                    <w:t>/a</w:t>
                  </w:r>
                </w:p>
              </w:tc>
              <w:tc>
                <w:tcPr>
                  <w:tcW w:w="584" w:type="pct"/>
                  <w:vMerge w:val="restart"/>
                  <w:vAlign w:val="center"/>
                </w:tcPr>
                <w:p w14:paraId="63B6140E">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污染物名称</w:t>
                  </w:r>
                </w:p>
              </w:tc>
              <w:tc>
                <w:tcPr>
                  <w:tcW w:w="1249" w:type="pct"/>
                  <w:gridSpan w:val="2"/>
                  <w:vAlign w:val="center"/>
                </w:tcPr>
                <w:p w14:paraId="5B2C3BCB">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产生情况</w:t>
                  </w:r>
                </w:p>
              </w:tc>
              <w:tc>
                <w:tcPr>
                  <w:tcW w:w="425" w:type="pct"/>
                  <w:vMerge w:val="restart"/>
                  <w:vAlign w:val="center"/>
                </w:tcPr>
                <w:p w14:paraId="4AFECB5D">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治理措施</w:t>
                  </w:r>
                </w:p>
              </w:tc>
              <w:tc>
                <w:tcPr>
                  <w:tcW w:w="497" w:type="pct"/>
                  <w:vMerge w:val="restart"/>
                  <w:vAlign w:val="center"/>
                </w:tcPr>
                <w:p w14:paraId="400471B4">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去除效率%</w:t>
                  </w:r>
                </w:p>
              </w:tc>
              <w:tc>
                <w:tcPr>
                  <w:tcW w:w="1249" w:type="pct"/>
                  <w:gridSpan w:val="2"/>
                  <w:vAlign w:val="center"/>
                </w:tcPr>
                <w:p w14:paraId="2BCC88DA">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排放情况</w:t>
                  </w:r>
                </w:p>
              </w:tc>
            </w:tr>
            <w:tr w14:paraId="4F380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rPr>
              <w:tc>
                <w:tcPr>
                  <w:tcW w:w="423" w:type="pct"/>
                  <w:vMerge w:val="continue"/>
                  <w:vAlign w:val="center"/>
                </w:tcPr>
                <w:p w14:paraId="21ADD756">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p>
              </w:tc>
              <w:tc>
                <w:tcPr>
                  <w:tcW w:w="569" w:type="pct"/>
                  <w:vMerge w:val="continue"/>
                  <w:vAlign w:val="center"/>
                </w:tcPr>
                <w:p w14:paraId="252ABF6F">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p>
              </w:tc>
              <w:tc>
                <w:tcPr>
                  <w:tcW w:w="584" w:type="pct"/>
                  <w:vMerge w:val="continue"/>
                  <w:vAlign w:val="center"/>
                </w:tcPr>
                <w:p w14:paraId="73FEB9D9">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p>
              </w:tc>
              <w:tc>
                <w:tcPr>
                  <w:tcW w:w="634" w:type="pct"/>
                  <w:vAlign w:val="center"/>
                </w:tcPr>
                <w:p w14:paraId="0E2CA056">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浓度(mg/L)</w:t>
                  </w:r>
                </w:p>
              </w:tc>
              <w:tc>
                <w:tcPr>
                  <w:tcW w:w="615" w:type="pct"/>
                  <w:vAlign w:val="center"/>
                </w:tcPr>
                <w:p w14:paraId="610FC94C">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产生量(t/a)</w:t>
                  </w:r>
                </w:p>
              </w:tc>
              <w:tc>
                <w:tcPr>
                  <w:tcW w:w="425" w:type="pct"/>
                  <w:vMerge w:val="continue"/>
                  <w:vAlign w:val="center"/>
                </w:tcPr>
                <w:p w14:paraId="35AA6272">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p>
              </w:tc>
              <w:tc>
                <w:tcPr>
                  <w:tcW w:w="497" w:type="pct"/>
                  <w:vMerge w:val="continue"/>
                  <w:vAlign w:val="center"/>
                </w:tcPr>
                <w:p w14:paraId="045DB7B3">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p>
              </w:tc>
              <w:tc>
                <w:tcPr>
                  <w:tcW w:w="634" w:type="pct"/>
                  <w:vAlign w:val="center"/>
                </w:tcPr>
                <w:p w14:paraId="648F703A">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浓度(mg/L)</w:t>
                  </w:r>
                </w:p>
              </w:tc>
              <w:tc>
                <w:tcPr>
                  <w:tcW w:w="615" w:type="pct"/>
                  <w:vAlign w:val="center"/>
                </w:tcPr>
                <w:p w14:paraId="6DD13F7A">
                  <w:pPr>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排放量(t/a)</w:t>
                  </w:r>
                </w:p>
              </w:tc>
            </w:tr>
            <w:tr w14:paraId="579C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423" w:type="pct"/>
                  <w:vMerge w:val="restart"/>
                  <w:vAlign w:val="center"/>
                </w:tcPr>
                <w:p w14:paraId="3486666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生活污水</w:t>
                  </w:r>
                </w:p>
              </w:tc>
              <w:tc>
                <w:tcPr>
                  <w:tcW w:w="569" w:type="pct"/>
                  <w:vMerge w:val="restart"/>
                  <w:vAlign w:val="center"/>
                </w:tcPr>
                <w:p w14:paraId="2312E152">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800</w:t>
                  </w:r>
                </w:p>
              </w:tc>
              <w:tc>
                <w:tcPr>
                  <w:tcW w:w="584" w:type="pct"/>
                  <w:vAlign w:val="center"/>
                </w:tcPr>
                <w:p w14:paraId="265ADC36">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COD</w:t>
                  </w:r>
                </w:p>
              </w:tc>
              <w:tc>
                <w:tcPr>
                  <w:tcW w:w="634" w:type="pct"/>
                  <w:vAlign w:val="center"/>
                </w:tcPr>
                <w:p w14:paraId="06BEB9CB">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400</w:t>
                  </w:r>
                </w:p>
              </w:tc>
              <w:tc>
                <w:tcPr>
                  <w:tcW w:w="615" w:type="pct"/>
                  <w:vAlign w:val="center"/>
                </w:tcPr>
                <w:p w14:paraId="5DEA60BC">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320</w:t>
                  </w:r>
                </w:p>
              </w:tc>
              <w:tc>
                <w:tcPr>
                  <w:tcW w:w="425" w:type="pct"/>
                  <w:vMerge w:val="restart"/>
                  <w:vAlign w:val="center"/>
                </w:tcPr>
                <w:p w14:paraId="038DEAC9">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化粪池</w:t>
                  </w:r>
                </w:p>
              </w:tc>
              <w:tc>
                <w:tcPr>
                  <w:tcW w:w="497" w:type="pct"/>
                  <w:vAlign w:val="center"/>
                </w:tcPr>
                <w:p w14:paraId="26F70B49">
                  <w:pPr>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25</w:t>
                  </w:r>
                </w:p>
              </w:tc>
              <w:tc>
                <w:tcPr>
                  <w:tcW w:w="634" w:type="pct"/>
                  <w:vAlign w:val="center"/>
                </w:tcPr>
                <w:p w14:paraId="7674D65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300</w:t>
                  </w:r>
                </w:p>
              </w:tc>
              <w:tc>
                <w:tcPr>
                  <w:tcW w:w="615" w:type="pct"/>
                  <w:vAlign w:val="center"/>
                </w:tcPr>
                <w:p w14:paraId="7B50BA92">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240</w:t>
                  </w:r>
                </w:p>
              </w:tc>
            </w:tr>
            <w:tr w14:paraId="1BD3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rPr>
              <w:tc>
                <w:tcPr>
                  <w:tcW w:w="423" w:type="pct"/>
                  <w:vMerge w:val="continue"/>
                  <w:vAlign w:val="center"/>
                </w:tcPr>
                <w:p w14:paraId="2293355F">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69" w:type="pct"/>
                  <w:vMerge w:val="continue"/>
                  <w:vAlign w:val="center"/>
                </w:tcPr>
                <w:p w14:paraId="04733556">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84" w:type="pct"/>
                  <w:vAlign w:val="center"/>
                </w:tcPr>
                <w:p w14:paraId="52D1E41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BOD</w:t>
                  </w:r>
                  <w:r>
                    <w:rPr>
                      <w:rFonts w:hint="default" w:ascii="Times New Roman" w:hAnsi="Times New Roman" w:eastAsia="宋体" w:cs="Times New Roman"/>
                      <w:color w:val="auto"/>
                      <w:sz w:val="21"/>
                      <w:szCs w:val="21"/>
                      <w:vertAlign w:val="subscript"/>
                    </w:rPr>
                    <w:t>5</w:t>
                  </w:r>
                </w:p>
              </w:tc>
              <w:tc>
                <w:tcPr>
                  <w:tcW w:w="634" w:type="pct"/>
                  <w:vAlign w:val="center"/>
                </w:tcPr>
                <w:p w14:paraId="5927CA2D">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220</w:t>
                  </w:r>
                </w:p>
              </w:tc>
              <w:tc>
                <w:tcPr>
                  <w:tcW w:w="615" w:type="pct"/>
                  <w:vAlign w:val="center"/>
                </w:tcPr>
                <w:p w14:paraId="6684044D">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176</w:t>
                  </w:r>
                </w:p>
              </w:tc>
              <w:tc>
                <w:tcPr>
                  <w:tcW w:w="425" w:type="pct"/>
                  <w:vMerge w:val="continue"/>
                  <w:vAlign w:val="center"/>
                </w:tcPr>
                <w:p w14:paraId="71A5E3A6">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497" w:type="pct"/>
                  <w:vAlign w:val="center"/>
                </w:tcPr>
                <w:p w14:paraId="2EAFF94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30</w:t>
                  </w:r>
                </w:p>
              </w:tc>
              <w:tc>
                <w:tcPr>
                  <w:tcW w:w="634" w:type="pct"/>
                  <w:vAlign w:val="center"/>
                </w:tcPr>
                <w:p w14:paraId="041B43C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15</w:t>
                  </w:r>
                  <w:r>
                    <w:rPr>
                      <w:rFonts w:hint="default" w:ascii="Times New Roman" w:hAnsi="Times New Roman" w:eastAsia="宋体" w:cs="Times New Roman"/>
                      <w:color w:val="auto"/>
                      <w:sz w:val="21"/>
                      <w:szCs w:val="21"/>
                      <w:lang w:val="en-US" w:eastAsia="zh-CN"/>
                    </w:rPr>
                    <w:t>4</w:t>
                  </w:r>
                </w:p>
              </w:tc>
              <w:tc>
                <w:tcPr>
                  <w:tcW w:w="615" w:type="pct"/>
                  <w:vAlign w:val="center"/>
                </w:tcPr>
                <w:p w14:paraId="2504E9EA">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123</w:t>
                  </w:r>
                </w:p>
              </w:tc>
            </w:tr>
            <w:tr w14:paraId="05F95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423" w:type="pct"/>
                  <w:vMerge w:val="continue"/>
                  <w:vAlign w:val="center"/>
                </w:tcPr>
                <w:p w14:paraId="0CDECBCA">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69" w:type="pct"/>
                  <w:vMerge w:val="continue"/>
                  <w:vAlign w:val="center"/>
                </w:tcPr>
                <w:p w14:paraId="5A3CB3F6">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84" w:type="pct"/>
                  <w:vAlign w:val="center"/>
                </w:tcPr>
                <w:p w14:paraId="65D0CB51">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NH</w:t>
                  </w:r>
                  <w:r>
                    <w:rPr>
                      <w:rFonts w:hint="default" w:ascii="Times New Roman" w:hAnsi="Times New Roman" w:eastAsia="宋体" w:cs="Times New Roman"/>
                      <w:color w:val="auto"/>
                      <w:sz w:val="21"/>
                      <w:szCs w:val="21"/>
                      <w:vertAlign w:val="subscript"/>
                    </w:rPr>
                    <w:t>3</w:t>
                  </w:r>
                  <w:r>
                    <w:rPr>
                      <w:rFonts w:hint="default" w:ascii="Times New Roman" w:hAnsi="Times New Roman" w:eastAsia="宋体" w:cs="Times New Roman"/>
                      <w:color w:val="auto"/>
                      <w:sz w:val="21"/>
                      <w:szCs w:val="21"/>
                    </w:rPr>
                    <w:t>-N</w:t>
                  </w:r>
                </w:p>
              </w:tc>
              <w:tc>
                <w:tcPr>
                  <w:tcW w:w="634" w:type="pct"/>
                  <w:vAlign w:val="center"/>
                </w:tcPr>
                <w:p w14:paraId="1614D24C">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25</w:t>
                  </w:r>
                </w:p>
              </w:tc>
              <w:tc>
                <w:tcPr>
                  <w:tcW w:w="615" w:type="pct"/>
                  <w:vAlign w:val="center"/>
                </w:tcPr>
                <w:p w14:paraId="37D4685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020</w:t>
                  </w:r>
                </w:p>
              </w:tc>
              <w:tc>
                <w:tcPr>
                  <w:tcW w:w="425" w:type="pct"/>
                  <w:vMerge w:val="continue"/>
                  <w:vAlign w:val="center"/>
                </w:tcPr>
                <w:p w14:paraId="6AB42E1E">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497" w:type="pct"/>
                  <w:vAlign w:val="center"/>
                </w:tcPr>
                <w:p w14:paraId="13EBBDED">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w:t>
                  </w:r>
                </w:p>
              </w:tc>
              <w:tc>
                <w:tcPr>
                  <w:tcW w:w="634" w:type="pct"/>
                  <w:vAlign w:val="center"/>
                </w:tcPr>
                <w:p w14:paraId="1D5A248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21.3</w:t>
                  </w:r>
                </w:p>
              </w:tc>
              <w:tc>
                <w:tcPr>
                  <w:tcW w:w="615" w:type="pct"/>
                  <w:vAlign w:val="center"/>
                </w:tcPr>
                <w:p w14:paraId="2638B4B3">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017</w:t>
                  </w:r>
                </w:p>
              </w:tc>
            </w:tr>
            <w:tr w14:paraId="3ABF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3" w:hRule="atLeast"/>
              </w:trPr>
              <w:tc>
                <w:tcPr>
                  <w:tcW w:w="423" w:type="pct"/>
                  <w:vMerge w:val="continue"/>
                  <w:vAlign w:val="center"/>
                </w:tcPr>
                <w:p w14:paraId="49BD3260">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69" w:type="pct"/>
                  <w:vMerge w:val="continue"/>
                  <w:vAlign w:val="center"/>
                </w:tcPr>
                <w:p w14:paraId="7A4273C0">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584" w:type="pct"/>
                  <w:vAlign w:val="center"/>
                </w:tcPr>
                <w:p w14:paraId="625F75A6">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SS</w:t>
                  </w:r>
                </w:p>
              </w:tc>
              <w:tc>
                <w:tcPr>
                  <w:tcW w:w="634" w:type="pct"/>
                  <w:vAlign w:val="center"/>
                </w:tcPr>
                <w:p w14:paraId="03314689">
                  <w:pPr>
                    <w:widowControl/>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200</w:t>
                  </w:r>
                </w:p>
              </w:tc>
              <w:tc>
                <w:tcPr>
                  <w:tcW w:w="615" w:type="pct"/>
                  <w:vAlign w:val="center"/>
                </w:tcPr>
                <w:p w14:paraId="146BB875">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.160</w:t>
                  </w:r>
                </w:p>
              </w:tc>
              <w:tc>
                <w:tcPr>
                  <w:tcW w:w="425" w:type="pct"/>
                  <w:vMerge w:val="continue"/>
                  <w:vAlign w:val="center"/>
                </w:tcPr>
                <w:p w14:paraId="03902D50">
                  <w:pPr>
                    <w:widowControl/>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497" w:type="pct"/>
                  <w:vAlign w:val="center"/>
                </w:tcPr>
                <w:p w14:paraId="38766501">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90</w:t>
                  </w:r>
                </w:p>
              </w:tc>
              <w:tc>
                <w:tcPr>
                  <w:tcW w:w="634" w:type="pct"/>
                  <w:vAlign w:val="center"/>
                </w:tcPr>
                <w:p w14:paraId="4D27012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w:t>
                  </w:r>
                </w:p>
              </w:tc>
              <w:tc>
                <w:tcPr>
                  <w:tcW w:w="615" w:type="pct"/>
                  <w:vAlign w:val="center"/>
                </w:tcPr>
                <w:p w14:paraId="6C63D349">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0.0</w:t>
                  </w:r>
                  <w:r>
                    <w:rPr>
                      <w:rFonts w:hint="eastAsia" w:cs="Times New Roman"/>
                      <w:i w:val="0"/>
                      <w:iCs w:val="0"/>
                      <w:color w:val="auto"/>
                      <w:kern w:val="0"/>
                      <w:sz w:val="21"/>
                      <w:szCs w:val="21"/>
                      <w:u w:val="none"/>
                      <w:lang w:val="en-US" w:eastAsia="zh-CN" w:bidi="ar"/>
                    </w:rPr>
                    <w:t>16</w:t>
                  </w:r>
                </w:p>
              </w:tc>
            </w:tr>
            <w:tr w14:paraId="253C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3" w:hRule="atLeast"/>
              </w:trPr>
              <w:tc>
                <w:tcPr>
                  <w:tcW w:w="5000" w:type="pct"/>
                  <w:gridSpan w:val="9"/>
                  <w:vAlign w:val="center"/>
                </w:tcPr>
                <w:p w14:paraId="4ECD645A">
                  <w:pPr>
                    <w:keepNext w:val="0"/>
                    <w:keepLines w:val="0"/>
                    <w:pageBreakBefore w:val="0"/>
                    <w:widowControl w:val="0"/>
                    <w:kinsoku/>
                    <w:wordWrap/>
                    <w:overflowPunct/>
                    <w:topLinePunct w:val="0"/>
                    <w:autoSpaceDE/>
                    <w:autoSpaceDN/>
                    <w:bidi w:val="0"/>
                    <w:adjustRightInd w:val="0"/>
                    <w:snapToGrid w:val="0"/>
                    <w:spacing w:line="240" w:lineRule="auto"/>
                    <w:ind w:firstLine="422"/>
                    <w:jc w:val="both"/>
                    <w:textAlignment w:val="auto"/>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val="0"/>
                      <w:bCs w:val="0"/>
                      <w:color w:val="auto"/>
                      <w:sz w:val="20"/>
                      <w:szCs w:val="18"/>
                    </w:rPr>
                    <w:t>注：参考《我国农村化粪池污染物去除效果及影响因素分析》（汪浩,王俊能,陈尧等. 环境工程学报,2021,15(2):727-736）</w:t>
                  </w:r>
                  <w:r>
                    <w:rPr>
                      <w:rFonts w:hint="default" w:ascii="Times New Roman" w:hAnsi="Times New Roman" w:eastAsia="宋体" w:cs="Times New Roman"/>
                      <w:b w:val="0"/>
                      <w:bCs w:val="0"/>
                      <w:color w:val="auto"/>
                      <w:sz w:val="20"/>
                      <w:szCs w:val="20"/>
                      <w:shd w:val="clear" w:color="auto" w:fill="FFFFFF"/>
                    </w:rPr>
                    <w:t>化粪池对COD、BOD</w:t>
                  </w:r>
                  <w:r>
                    <w:rPr>
                      <w:rFonts w:hint="default" w:ascii="Times New Roman" w:hAnsi="Times New Roman" w:eastAsia="宋体" w:cs="Times New Roman"/>
                      <w:b w:val="0"/>
                      <w:bCs w:val="0"/>
                      <w:color w:val="auto"/>
                      <w:sz w:val="20"/>
                      <w:szCs w:val="20"/>
                      <w:shd w:val="clear" w:color="auto" w:fill="FFFFFF"/>
                      <w:vertAlign w:val="subscript"/>
                    </w:rPr>
                    <w:t>5</w:t>
                  </w:r>
                  <w:r>
                    <w:rPr>
                      <w:rFonts w:hint="default" w:ascii="Times New Roman" w:hAnsi="Times New Roman" w:eastAsia="宋体" w:cs="Times New Roman"/>
                      <w:b w:val="0"/>
                      <w:bCs w:val="0"/>
                      <w:color w:val="auto"/>
                      <w:sz w:val="20"/>
                      <w:szCs w:val="20"/>
                      <w:shd w:val="clear" w:color="auto" w:fill="FFFFFF"/>
                    </w:rPr>
                    <w:t>的削减率范围分别为21%~65%、29%~72%。本项目采用的化粪池对COD、BOD</w:t>
                  </w:r>
                  <w:r>
                    <w:rPr>
                      <w:rFonts w:hint="default" w:ascii="Times New Roman" w:hAnsi="Times New Roman" w:eastAsia="宋体" w:cs="Times New Roman"/>
                      <w:b w:val="0"/>
                      <w:bCs w:val="0"/>
                      <w:color w:val="auto"/>
                      <w:sz w:val="20"/>
                      <w:szCs w:val="20"/>
                      <w:shd w:val="clear" w:color="auto" w:fill="FFFFFF"/>
                      <w:vertAlign w:val="subscript"/>
                    </w:rPr>
                    <w:t>5</w:t>
                  </w:r>
                  <w:r>
                    <w:rPr>
                      <w:rFonts w:hint="default" w:ascii="Times New Roman" w:hAnsi="Times New Roman" w:eastAsia="宋体" w:cs="Times New Roman"/>
                      <w:b w:val="0"/>
                      <w:bCs w:val="0"/>
                      <w:color w:val="auto"/>
                      <w:sz w:val="20"/>
                      <w:szCs w:val="20"/>
                      <w:shd w:val="clear" w:color="auto" w:fill="FFFFFF"/>
                    </w:rPr>
                    <w:t>的去除效率取值25%、30%。参考《两种容积比的三格化粪池处理农村生活污水效率对比研究》（傅振东，刘德明，马世斌，王立东，梁相飞，李依然；环境保护工程，研究结果表明两种化粪池对SS去除效率分别为92.6%、92.3%，对氨氮的去除效率分别为15.37%、17.76%，本项目化粪池对SS、氨氮的去除效率保守考虑分别取值90%、15%。</w:t>
                  </w:r>
                </w:p>
              </w:tc>
            </w:tr>
          </w:tbl>
          <w:p w14:paraId="5051C190">
            <w:pPr>
              <w:pStyle w:val="178"/>
              <w:ind w:firstLine="480"/>
              <w:rPr>
                <w:rFonts w:hint="default" w:ascii="Times New Roman" w:hAnsi="Times New Roman" w:eastAsia="宋体" w:cs="Times New Roman"/>
                <w:b/>
                <w:bCs w:val="0"/>
                <w:color w:val="auto"/>
                <w:lang w:val="en-US" w:eastAsia="zh-CN"/>
              </w:rPr>
            </w:pPr>
            <w:r>
              <w:rPr>
                <w:rFonts w:hint="default" w:ascii="Times New Roman" w:hAnsi="Times New Roman" w:eastAsia="宋体" w:cs="Times New Roman"/>
                <w:b/>
                <w:bCs w:val="0"/>
                <w:color w:val="auto"/>
                <w:lang w:val="en-US" w:eastAsia="zh-CN"/>
              </w:rPr>
              <w:t>（2）生产废水</w:t>
            </w:r>
          </w:p>
          <w:p w14:paraId="09C824A2">
            <w:pPr>
              <w:pStyle w:val="178"/>
              <w:ind w:firstLine="480"/>
              <w:rPr>
                <w:rFonts w:hint="default" w:ascii="Times New Roman" w:hAnsi="Times New Roman" w:eastAsia="宋体" w:cs="Times New Roman"/>
                <w:b w:val="0"/>
                <w:bCs/>
                <w:color w:val="auto"/>
                <w:lang w:eastAsia="zh-CN"/>
              </w:rPr>
            </w:pPr>
            <w:r>
              <w:rPr>
                <w:rFonts w:hint="default" w:ascii="Times New Roman" w:hAnsi="Times New Roman" w:eastAsia="宋体" w:cs="Times New Roman"/>
                <w:b w:val="0"/>
                <w:bCs/>
                <w:color w:val="auto"/>
                <w:lang w:val="en-US" w:eastAsia="zh-CN"/>
              </w:rPr>
              <w:t>①</w:t>
            </w:r>
            <w:r>
              <w:rPr>
                <w:rFonts w:hint="default" w:ascii="Times New Roman" w:hAnsi="Times New Roman" w:eastAsia="宋体" w:cs="Times New Roman"/>
                <w:b w:val="0"/>
                <w:bCs/>
                <w:color w:val="auto"/>
              </w:rPr>
              <w:t>车辆冲洗水</w:t>
            </w:r>
            <w:r>
              <w:rPr>
                <w:rFonts w:hint="default" w:ascii="Times New Roman" w:hAnsi="Times New Roman" w:eastAsia="宋体" w:cs="Times New Roman"/>
                <w:b w:val="0"/>
                <w:bCs/>
                <w:color w:val="auto"/>
                <w:lang w:eastAsia="zh-CN"/>
              </w:rPr>
              <w:t>：根据《建筑给水排水设计手册》，载重汽车使用循环水冲洗，用水定额40-60L/辆·次，本次取50L/辆·次。本项目物料进厂及产品外运的运输量约</w:t>
            </w:r>
            <w:r>
              <w:rPr>
                <w:rFonts w:hint="default" w:ascii="Times New Roman" w:hAnsi="Times New Roman" w:eastAsia="宋体" w:cs="Times New Roman"/>
                <w:b w:val="0"/>
                <w:bCs/>
                <w:color w:val="auto"/>
                <w:lang w:val="en-US" w:eastAsia="zh-CN"/>
              </w:rPr>
              <w:t>3125</w:t>
            </w:r>
            <w:r>
              <w:rPr>
                <w:rFonts w:hint="default" w:ascii="Times New Roman" w:hAnsi="Times New Roman" w:eastAsia="宋体" w:cs="Times New Roman"/>
                <w:b w:val="0"/>
                <w:bCs/>
                <w:color w:val="auto"/>
                <w:lang w:eastAsia="zh-CN"/>
              </w:rPr>
              <w:t>t/d，平均每车运输</w:t>
            </w:r>
            <w:r>
              <w:rPr>
                <w:rFonts w:hint="default" w:ascii="Times New Roman" w:hAnsi="Times New Roman" w:eastAsia="宋体" w:cs="Times New Roman"/>
                <w:b w:val="0"/>
                <w:bCs/>
                <w:color w:val="auto"/>
                <w:lang w:val="en-US" w:eastAsia="zh-CN"/>
              </w:rPr>
              <w:t>30</w:t>
            </w:r>
            <w:r>
              <w:rPr>
                <w:rFonts w:hint="default" w:ascii="Times New Roman" w:hAnsi="Times New Roman" w:eastAsia="宋体" w:cs="Times New Roman"/>
                <w:b w:val="0"/>
                <w:bCs/>
                <w:color w:val="auto"/>
                <w:lang w:eastAsia="zh-CN"/>
              </w:rPr>
              <w:t>t，每日车次约</w:t>
            </w:r>
            <w:r>
              <w:rPr>
                <w:rFonts w:hint="default" w:ascii="Times New Roman" w:hAnsi="Times New Roman" w:eastAsia="宋体" w:cs="Times New Roman"/>
                <w:b w:val="0"/>
                <w:bCs/>
                <w:color w:val="auto"/>
                <w:lang w:val="en-US" w:eastAsia="zh-CN"/>
              </w:rPr>
              <w:t>105</w:t>
            </w:r>
            <w:r>
              <w:rPr>
                <w:rFonts w:hint="default" w:ascii="Times New Roman" w:hAnsi="Times New Roman" w:eastAsia="宋体" w:cs="Times New Roman"/>
                <w:b w:val="0"/>
                <w:bCs/>
                <w:color w:val="auto"/>
                <w:lang w:eastAsia="zh-CN"/>
              </w:rPr>
              <w:t>车次，则汽车冲洗用水量约</w:t>
            </w:r>
            <w:r>
              <w:rPr>
                <w:rFonts w:hint="default" w:ascii="Times New Roman" w:hAnsi="Times New Roman" w:eastAsia="宋体" w:cs="Times New Roman"/>
                <w:b w:val="0"/>
                <w:bCs/>
                <w:color w:val="auto"/>
                <w:lang w:val="en-US" w:eastAsia="zh-CN"/>
              </w:rPr>
              <w:t>5.25</w:t>
            </w:r>
            <w:r>
              <w:rPr>
                <w:rFonts w:hint="default" w:ascii="Times New Roman" w:hAnsi="Times New Roman" w:eastAsia="宋体" w:cs="Times New Roman"/>
                <w:b w:val="0"/>
                <w:bCs/>
                <w:color w:val="auto"/>
                <w:lang w:eastAsia="zh-CN"/>
              </w:rPr>
              <w:t>m3/d（</w:t>
            </w:r>
            <w:r>
              <w:rPr>
                <w:rFonts w:hint="default" w:ascii="Times New Roman" w:hAnsi="Times New Roman" w:eastAsia="宋体" w:cs="Times New Roman"/>
                <w:b w:val="0"/>
                <w:bCs/>
                <w:color w:val="auto"/>
                <w:lang w:val="en-US" w:eastAsia="zh-CN"/>
              </w:rPr>
              <w:t>1680</w:t>
            </w:r>
            <w:r>
              <w:rPr>
                <w:rFonts w:hint="default" w:ascii="Times New Roman" w:hAnsi="Times New Roman" w:eastAsia="宋体" w:cs="Times New Roman"/>
                <w:b w:val="0"/>
                <w:bCs/>
                <w:color w:val="auto"/>
                <w:lang w:eastAsia="zh-CN"/>
              </w:rPr>
              <w:t>m3/a）。汽车冲洗水经沉淀池沉淀后循环利用不外排，定期补充，补充量</w:t>
            </w:r>
            <w:r>
              <w:rPr>
                <w:rFonts w:hint="default" w:ascii="Times New Roman" w:hAnsi="Times New Roman" w:eastAsia="宋体" w:cs="Times New Roman"/>
                <w:b w:val="0"/>
                <w:bCs/>
                <w:color w:val="auto"/>
                <w:lang w:val="en-US" w:eastAsia="zh-CN"/>
              </w:rPr>
              <w:t>约为总量的20%，约为1.05</w:t>
            </w:r>
            <w:r>
              <w:rPr>
                <w:rFonts w:hint="default" w:ascii="Times New Roman" w:hAnsi="Times New Roman" w:eastAsia="宋体" w:cs="Times New Roman"/>
                <w:b w:val="0"/>
                <w:bCs/>
                <w:color w:val="auto"/>
                <w:lang w:eastAsia="zh-CN"/>
              </w:rPr>
              <w:t>m3/d（</w:t>
            </w:r>
            <w:r>
              <w:rPr>
                <w:rFonts w:hint="default" w:ascii="Times New Roman" w:hAnsi="Times New Roman" w:eastAsia="宋体" w:cs="Times New Roman"/>
                <w:b w:val="0"/>
                <w:bCs/>
                <w:color w:val="auto"/>
                <w:lang w:val="en-US" w:eastAsia="zh-CN"/>
              </w:rPr>
              <w:t>336</w:t>
            </w:r>
            <w:r>
              <w:rPr>
                <w:rFonts w:hint="default" w:ascii="Times New Roman" w:hAnsi="Times New Roman" w:eastAsia="宋体" w:cs="Times New Roman"/>
                <w:b w:val="0"/>
                <w:bCs/>
                <w:color w:val="auto"/>
                <w:lang w:eastAsia="zh-CN"/>
              </w:rPr>
              <w:t>m3/a）。</w:t>
            </w:r>
          </w:p>
          <w:p w14:paraId="13B26B35">
            <w:pPr>
              <w:pStyle w:val="178"/>
              <w:ind w:firstLine="48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②</w:t>
            </w:r>
            <w:r>
              <w:rPr>
                <w:rFonts w:hint="default" w:ascii="Times New Roman" w:hAnsi="Times New Roman" w:eastAsia="宋体" w:cs="Times New Roman"/>
                <w:b w:val="0"/>
                <w:bCs/>
                <w:color w:val="auto"/>
              </w:rPr>
              <w:t>地面冲洗废水:地面冲洗用水量为</w:t>
            </w:r>
            <w:r>
              <w:rPr>
                <w:rFonts w:hint="default" w:ascii="Times New Roman" w:hAnsi="Times New Roman" w:eastAsia="宋体" w:cs="Times New Roman"/>
                <w:b w:val="0"/>
                <w:bCs/>
                <w:color w:val="auto"/>
                <w:lang w:val="en-US" w:eastAsia="zh-CN"/>
              </w:rPr>
              <w:t>540</w:t>
            </w:r>
            <w:r>
              <w:rPr>
                <w:rFonts w:hint="default" w:ascii="Times New Roman" w:hAnsi="Times New Roman" w:eastAsia="宋体" w:cs="Times New Roman"/>
                <w:b w:val="0"/>
                <w:bCs/>
                <w:color w:val="auto"/>
              </w:rPr>
              <w:t>m</w:t>
            </w:r>
            <w:r>
              <w:rPr>
                <w:rFonts w:hint="default" w:ascii="Times New Roman" w:hAnsi="Times New Roman" w:eastAsia="宋体" w:cs="Times New Roman"/>
                <w:b w:val="0"/>
                <w:bCs/>
                <w:color w:val="auto"/>
                <w:vertAlign w:val="superscript"/>
              </w:rPr>
              <w:t>3</w:t>
            </w:r>
            <w:r>
              <w:rPr>
                <w:rFonts w:hint="default" w:ascii="Times New Roman" w:hAnsi="Times New Roman" w:eastAsia="宋体" w:cs="Times New Roman"/>
                <w:b w:val="0"/>
                <w:bCs/>
                <w:color w:val="auto"/>
              </w:rPr>
              <w:t>/a，废水按80%计，则地面冲洗废水为</w:t>
            </w:r>
            <w:r>
              <w:rPr>
                <w:rFonts w:hint="default" w:ascii="Times New Roman" w:hAnsi="Times New Roman" w:eastAsia="宋体" w:cs="Times New Roman"/>
                <w:b w:val="0"/>
                <w:bCs/>
                <w:color w:val="auto"/>
                <w:lang w:val="en-US" w:eastAsia="zh-CN"/>
              </w:rPr>
              <w:t>432</w:t>
            </w:r>
            <w:r>
              <w:rPr>
                <w:rFonts w:hint="default" w:ascii="Times New Roman" w:hAnsi="Times New Roman" w:eastAsia="宋体" w:cs="Times New Roman"/>
                <w:b w:val="0"/>
                <w:bCs/>
                <w:color w:val="auto"/>
              </w:rPr>
              <w:t>m</w:t>
            </w:r>
            <w:r>
              <w:rPr>
                <w:rFonts w:hint="default" w:ascii="Times New Roman" w:hAnsi="Times New Roman" w:eastAsia="宋体" w:cs="Times New Roman"/>
                <w:b w:val="0"/>
                <w:bCs/>
                <w:color w:val="auto"/>
                <w:vertAlign w:val="superscript"/>
              </w:rPr>
              <w:t>3</w:t>
            </w:r>
            <w:r>
              <w:rPr>
                <w:rFonts w:hint="default" w:ascii="Times New Roman" w:hAnsi="Times New Roman" w:eastAsia="宋体" w:cs="Times New Roman"/>
                <w:b w:val="0"/>
                <w:bCs/>
                <w:color w:val="auto"/>
              </w:rPr>
              <w:t>/a，地面冲洗废水进入沉淀池沉淀后用于混合搅拌生产。</w:t>
            </w:r>
          </w:p>
          <w:p w14:paraId="3E686CB6">
            <w:pPr>
              <w:pStyle w:val="178"/>
              <w:ind w:firstLine="480"/>
              <w:rPr>
                <w:rFonts w:hint="default" w:ascii="Times New Roman" w:hAnsi="Times New Roman" w:eastAsia="宋体" w:cs="Times New Roman"/>
                <w:b w:val="0"/>
                <w:bCs/>
                <w:color w:val="auto"/>
              </w:rPr>
            </w:pPr>
            <w:r>
              <w:rPr>
                <w:rFonts w:hint="default" w:ascii="Times New Roman" w:hAnsi="Times New Roman" w:eastAsia="宋体" w:cs="Times New Roman"/>
                <w:b w:val="0"/>
                <w:bCs/>
                <w:color w:val="auto"/>
                <w:lang w:val="en-US" w:eastAsia="zh-CN"/>
              </w:rPr>
              <w:t>③</w:t>
            </w:r>
            <w:r>
              <w:rPr>
                <w:rFonts w:hint="default" w:ascii="Times New Roman" w:hAnsi="Times New Roman" w:eastAsia="宋体" w:cs="Times New Roman"/>
                <w:b w:val="0"/>
                <w:bCs/>
                <w:color w:val="auto"/>
              </w:rPr>
              <w:t>搅拌机冲洗废水:搅拌机冲洗用水量为</w:t>
            </w:r>
            <w:r>
              <w:rPr>
                <w:rFonts w:hint="default" w:ascii="Times New Roman" w:hAnsi="Times New Roman" w:eastAsia="宋体" w:cs="Times New Roman"/>
                <w:b w:val="0"/>
                <w:bCs/>
                <w:color w:val="auto"/>
                <w:lang w:val="en-US" w:eastAsia="zh-CN"/>
              </w:rPr>
              <w:t>15</w:t>
            </w:r>
            <w:r>
              <w:rPr>
                <w:rFonts w:hint="default" w:ascii="Times New Roman" w:hAnsi="Times New Roman" w:eastAsia="宋体" w:cs="Times New Roman"/>
                <w:b w:val="0"/>
                <w:bCs/>
                <w:color w:val="auto"/>
              </w:rPr>
              <w:t>0m3/a，废水按80%计，则搅拌机冲洗废水为</w:t>
            </w:r>
            <w:r>
              <w:rPr>
                <w:rFonts w:hint="default" w:ascii="Times New Roman" w:hAnsi="Times New Roman" w:eastAsia="宋体" w:cs="Times New Roman"/>
                <w:b w:val="0"/>
                <w:bCs/>
                <w:color w:val="auto"/>
                <w:lang w:val="en-US" w:eastAsia="zh-CN"/>
              </w:rPr>
              <w:t>12</w:t>
            </w:r>
            <w:r>
              <w:rPr>
                <w:rFonts w:hint="default" w:ascii="Times New Roman" w:hAnsi="Times New Roman" w:eastAsia="宋体" w:cs="Times New Roman"/>
                <w:b w:val="0"/>
                <w:bCs/>
                <w:color w:val="auto"/>
              </w:rPr>
              <w:t>0m</w:t>
            </w:r>
            <w:r>
              <w:rPr>
                <w:rFonts w:hint="default" w:ascii="Times New Roman" w:hAnsi="Times New Roman" w:eastAsia="宋体" w:cs="Times New Roman"/>
                <w:b w:val="0"/>
                <w:bCs/>
                <w:color w:val="auto"/>
                <w:vertAlign w:val="superscript"/>
              </w:rPr>
              <w:t>3</w:t>
            </w:r>
            <w:r>
              <w:rPr>
                <w:rFonts w:hint="default" w:ascii="Times New Roman" w:hAnsi="Times New Roman" w:eastAsia="宋体" w:cs="Times New Roman"/>
                <w:b w:val="0"/>
                <w:bCs/>
                <w:color w:val="auto"/>
              </w:rPr>
              <w:t>/a，搅拌机冲洗废水进入沉淀池沉淀后用于混合搅拌生产。</w:t>
            </w:r>
          </w:p>
          <w:p w14:paraId="339D211F">
            <w:pPr>
              <w:pStyle w:val="178"/>
              <w:ind w:firstLine="480"/>
              <w:rPr>
                <w:rFonts w:hint="default" w:ascii="Times New Roman" w:hAnsi="Times New Roman" w:eastAsia="宋体" w:cs="Times New Roman"/>
                <w:b w:val="0"/>
                <w:bCs/>
                <w:color w:val="auto"/>
                <w:kern w:val="0"/>
                <w:sz w:val="24"/>
                <w:szCs w:val="24"/>
                <w:lang w:val="en-US" w:eastAsia="zh-CN" w:bidi="ar"/>
              </w:rPr>
            </w:pPr>
            <w:r>
              <w:rPr>
                <w:rFonts w:hint="default" w:ascii="Times New Roman" w:hAnsi="Times New Roman" w:eastAsia="宋体" w:cs="Times New Roman"/>
                <w:b w:val="0"/>
                <w:bCs/>
                <w:color w:val="auto"/>
                <w:lang w:val="en-US" w:eastAsia="zh-CN"/>
              </w:rPr>
              <w:t>④初期雨水：根据本项目特点，该部分废水中通常含有砂石等，且悬浮物</w:t>
            </w:r>
            <w:r>
              <w:rPr>
                <w:rFonts w:hint="eastAsia" w:ascii="Times New Roman" w:hAnsi="Times New Roman" w:eastAsia="宋体" w:cs="Times New Roman"/>
                <w:b w:val="0"/>
                <w:bCs/>
                <w:color w:val="auto"/>
                <w:lang w:val="en-US" w:eastAsia="zh-CN"/>
              </w:rPr>
              <w:t>浓度</w:t>
            </w:r>
            <w:r>
              <w:rPr>
                <w:rFonts w:hint="default" w:ascii="Times New Roman" w:hAnsi="Times New Roman" w:eastAsia="宋体" w:cs="Times New Roman"/>
                <w:b w:val="0"/>
                <w:bCs/>
                <w:color w:val="auto"/>
                <w:lang w:val="en-US" w:eastAsia="zh-CN"/>
              </w:rPr>
              <w:t>约 2000mg/L，</w:t>
            </w:r>
            <w:r>
              <w:rPr>
                <w:rFonts w:hint="default" w:ascii="Times New Roman" w:hAnsi="Times New Roman" w:eastAsia="宋体" w:cs="Times New Roman"/>
                <w:b w:val="0"/>
                <w:bCs/>
                <w:color w:val="auto"/>
                <w:kern w:val="0"/>
                <w:sz w:val="24"/>
                <w:szCs w:val="24"/>
                <w:lang w:val="en-US" w:eastAsia="zh-CN" w:bidi="ar"/>
              </w:rPr>
              <w:t xml:space="preserve">项目厂区内运输车辆、铲车等输送物料时会泄漏原料在地面上，另外场区加工粉尘也会通过自然沉降在地面上，由于雨水的冲刷，使初期雨水中含有一定量的SS 和砂石料等杂质，根据池州市住房和城乡建设委员会 2016 年 1 月 23 日发布的公告，池州市暴雨强度公式为： </w:t>
            </w:r>
          </w:p>
          <w:p w14:paraId="5B80F3D0">
            <w:pPr>
              <w:keepNext w:val="0"/>
              <w:keepLines w:val="0"/>
              <w:widowControl/>
              <w:suppressLineNumbers w:val="0"/>
              <w:jc w:val="center"/>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rPr>
              <w:drawing>
                <wp:inline distT="0" distB="0" distL="114300" distR="114300">
                  <wp:extent cx="2009775" cy="504825"/>
                  <wp:effectExtent l="0" t="0" r="9525" b="952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29"/>
                          <a:stretch>
                            <a:fillRect/>
                          </a:stretch>
                        </pic:blipFill>
                        <pic:spPr>
                          <a:xfrm>
                            <a:off x="0" y="0"/>
                            <a:ext cx="2009775" cy="504825"/>
                          </a:xfrm>
                          <a:prstGeom prst="rect">
                            <a:avLst/>
                          </a:prstGeom>
                          <a:noFill/>
                          <a:ln>
                            <a:noFill/>
                          </a:ln>
                        </pic:spPr>
                      </pic:pic>
                    </a:graphicData>
                  </a:graphic>
                </wp:inline>
              </w:drawing>
            </w:r>
          </w:p>
          <w:p w14:paraId="7152E9B8">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 xml:space="preserve">式中：q—暴雨强度（升/秒·公顷）；P—暴雨重现期（年，按1年计算）；t—降雨历时（分钟，按60 分钟计算）。 </w:t>
            </w:r>
          </w:p>
          <w:p w14:paraId="724951A3">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 xml:space="preserve">计算结果：q=117.049 升/秒·公顷。 </w:t>
            </w:r>
          </w:p>
          <w:p w14:paraId="37D76EA4">
            <w:pPr>
              <w:keepNext w:val="0"/>
              <w:keepLines w:val="0"/>
              <w:widowControl/>
              <w:suppressLineNumbers w:val="0"/>
              <w:jc w:val="center"/>
              <w:rPr>
                <w:rFonts w:hint="default" w:ascii="Times New Roman" w:hAnsi="Times New Roman" w:eastAsia="宋体" w:cs="Times New Roman"/>
                <w:color w:val="auto"/>
              </w:rPr>
            </w:pPr>
            <w:r>
              <w:rPr>
                <w:rFonts w:hint="default" w:ascii="Times New Roman" w:hAnsi="Times New Roman" w:eastAsia="宋体" w:cs="Times New Roman"/>
                <w:i/>
                <w:iCs/>
                <w:color w:val="auto"/>
                <w:kern w:val="0"/>
                <w:sz w:val="23"/>
                <w:szCs w:val="23"/>
                <w:lang w:val="en-US" w:eastAsia="zh-CN" w:bidi="ar"/>
              </w:rPr>
              <w:t xml:space="preserve">Q </w:t>
            </w:r>
            <w:r>
              <w:rPr>
                <w:rFonts w:hint="default" w:ascii="Times New Roman" w:hAnsi="Times New Roman" w:eastAsia="宋体" w:cs="Times New Roman"/>
                <w:color w:val="auto"/>
                <w:kern w:val="0"/>
                <w:sz w:val="23"/>
                <w:szCs w:val="23"/>
                <w:lang w:val="en-US" w:eastAsia="zh-CN" w:bidi="ar"/>
              </w:rPr>
              <w:t xml:space="preserve"> q </w:t>
            </w:r>
            <w:r>
              <w:rPr>
                <w:rFonts w:hint="default" w:ascii="Times New Roman" w:hAnsi="Times New Roman" w:eastAsia="宋体" w:cs="Times New Roman"/>
                <w:i/>
                <w:iCs/>
                <w:color w:val="auto"/>
                <w:kern w:val="0"/>
                <w:sz w:val="23"/>
                <w:szCs w:val="23"/>
                <w:lang w:val="en-US" w:eastAsia="zh-CN" w:bidi="ar"/>
              </w:rPr>
              <w:t xml:space="preserve">F </w:t>
            </w:r>
            <w:r>
              <w:rPr>
                <w:rFonts w:hint="default" w:ascii="Times New Roman" w:hAnsi="Times New Roman" w:eastAsia="宋体" w:cs="Times New Roman"/>
                <w:color w:val="auto"/>
                <w:kern w:val="0"/>
                <w:sz w:val="23"/>
                <w:szCs w:val="23"/>
                <w:lang w:val="en-US" w:eastAsia="zh-CN" w:bidi="ar"/>
              </w:rPr>
              <w:t></w:t>
            </w:r>
            <w:r>
              <w:rPr>
                <w:rFonts w:hint="default" w:ascii="Times New Roman" w:hAnsi="Times New Roman" w:eastAsia="宋体" w:cs="Times New Roman"/>
                <w:i/>
                <w:iCs/>
                <w:color w:val="auto"/>
                <w:kern w:val="0"/>
                <w:sz w:val="24"/>
                <w:szCs w:val="24"/>
                <w:lang w:val="en-US" w:eastAsia="zh-CN" w:bidi="ar"/>
              </w:rPr>
              <w:t xml:space="preserve"> </w:t>
            </w:r>
            <w:r>
              <w:rPr>
                <w:rFonts w:hint="default" w:ascii="Times New Roman" w:hAnsi="Times New Roman" w:eastAsia="宋体" w:cs="Times New Roman"/>
                <w:color w:val="auto"/>
                <w:kern w:val="0"/>
                <w:sz w:val="23"/>
                <w:szCs w:val="23"/>
                <w:lang w:val="en-US" w:eastAsia="zh-CN" w:bidi="ar"/>
              </w:rPr>
              <w:t></w:t>
            </w:r>
            <w:r>
              <w:rPr>
                <w:rFonts w:hint="default" w:ascii="Times New Roman" w:hAnsi="Times New Roman" w:eastAsia="宋体" w:cs="Times New Roman"/>
                <w:i/>
                <w:iCs/>
                <w:color w:val="auto"/>
                <w:kern w:val="0"/>
                <w:sz w:val="23"/>
                <w:szCs w:val="23"/>
                <w:lang w:val="en-US" w:eastAsia="zh-CN" w:bidi="ar"/>
              </w:rPr>
              <w:t>T</w:t>
            </w:r>
          </w:p>
          <w:p w14:paraId="36644261">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 xml:space="preserve">式中：q—暴雨强度（升/秒·公顷，117.049 升/秒·公顷）；F—汇水面积（公顷）；Ψ—径流系数（0.4~0.9，取 0.4）；T—收水时间（秒，取900 秒）。 </w:t>
            </w:r>
          </w:p>
          <w:p w14:paraId="41AAF18A">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本项目占地面积为2.67公顷，每次降雨前 15 分钟初期雨水量为112.508m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，降雨频率按20 次/年计，初期雨水产生量2250.16m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/a。为满足场区初期雨水的沉淀处理，本环评要求建设一座初期雨水</w:t>
            </w:r>
            <w:r>
              <w:rPr>
                <w:rFonts w:hint="eastAsia" w:ascii="Times New Roman" w:hAnsi="Times New Roman" w:eastAsia="宋体" w:cs="Times New Roman"/>
                <w:color w:val="auto"/>
                <w:kern w:val="0"/>
                <w:sz w:val="24"/>
                <w:szCs w:val="24"/>
                <w:lang w:val="en-US" w:eastAsia="zh-CN" w:bidi="ar"/>
              </w:rPr>
              <w:t>收集池</w:t>
            </w:r>
            <w:r>
              <w:rPr>
                <w:rFonts w:hint="default" w:ascii="Times New Roman" w:hAnsi="Times New Roman" w:eastAsia="宋体" w:cs="Times New Roman"/>
                <w:color w:val="auto"/>
                <w:kern w:val="0"/>
                <w:sz w:val="24"/>
                <w:szCs w:val="24"/>
                <w:lang w:val="en-US" w:eastAsia="zh-CN" w:bidi="ar"/>
              </w:rPr>
              <w:t>，将初期雨水收集沉淀。本环评按15min 的最大暴雨量确定沉淀池容积，则不应小于120m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，为确保初期雨水的收集，本项目应完善雨污分流系统及管沟系统。拟设120m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初期雨水池（池出水管上设置切断阀，正常状态下阀门关闭，防止受污染雨水外排；池内设有提升设施，可将受污染雨水送至厂区沉淀池），初期雨水产生量2250.16m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15"/>
                <w:szCs w:val="15"/>
                <w:lang w:val="en-US" w:eastAsia="zh-CN" w:bidi="ar"/>
              </w:rPr>
              <w:t xml:space="preserve"> </w:t>
            </w:r>
            <w:r>
              <w:rPr>
                <w:rFonts w:hint="default" w:ascii="Times New Roman" w:hAnsi="Times New Roman" w:eastAsia="宋体" w:cs="Times New Roman"/>
                <w:color w:val="auto"/>
                <w:kern w:val="0"/>
                <w:sz w:val="24"/>
                <w:szCs w:val="24"/>
                <w:lang w:val="en-US" w:eastAsia="zh-CN" w:bidi="ar"/>
              </w:rPr>
              <w:t>/a，经雨水沟（管）引入厂区初期雨水池，然后分批进入沉淀处理，处理后的清水存放于水池，回用于厂区洒水抑尘，不外排。</w:t>
            </w:r>
          </w:p>
          <w:p w14:paraId="0610FD0B">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b/>
                <w:bCs/>
                <w:color w:val="auto"/>
                <w:kern w:val="0"/>
                <w:sz w:val="24"/>
                <w:szCs w:val="24"/>
                <w:lang w:val="en-US" w:eastAsia="zh-CN" w:bidi="ar"/>
              </w:rPr>
              <w:t>2、废水污染治理设施可行性分析</w:t>
            </w:r>
          </w:p>
          <w:p w14:paraId="228FF0B3">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（1）本项目排放的废水为员工生活污水，废水排放量 216t/a，其中COD</w:t>
            </w:r>
            <w:r>
              <w:rPr>
                <w:rFonts w:hint="default" w:ascii="Times New Roman" w:hAnsi="Times New Roman" w:eastAsia="宋体" w:cs="Times New Roman"/>
                <w:color w:val="auto"/>
                <w:kern w:val="0"/>
                <w:sz w:val="15"/>
                <w:szCs w:val="15"/>
                <w:lang w:val="en-US" w:eastAsia="zh-CN" w:bidi="ar"/>
              </w:rPr>
              <w:t>Cr</w:t>
            </w:r>
            <w:r>
              <w:rPr>
                <w:rFonts w:hint="default" w:ascii="Times New Roman" w:hAnsi="Times New Roman" w:eastAsia="宋体" w:cs="Times New Roman"/>
                <w:color w:val="auto"/>
                <w:kern w:val="0"/>
                <w:sz w:val="24"/>
                <w:szCs w:val="24"/>
                <w:lang w:val="en-US" w:eastAsia="zh-CN" w:bidi="ar"/>
              </w:rPr>
              <w:t>：0.064t/a，SS：0.0345t/a，NH</w:t>
            </w:r>
            <w:r>
              <w:rPr>
                <w:rFonts w:hint="default" w:ascii="Times New Roman" w:hAnsi="Times New Roman" w:eastAsia="宋体" w:cs="Times New Roman"/>
                <w:color w:val="auto"/>
                <w:kern w:val="0"/>
                <w:sz w:val="15"/>
                <w:szCs w:val="15"/>
                <w:lang w:val="en-US" w:eastAsia="zh-CN" w:bidi="ar"/>
              </w:rPr>
              <w:t>3</w:t>
            </w:r>
            <w:r>
              <w:rPr>
                <w:rFonts w:hint="default" w:ascii="Times New Roman" w:hAnsi="Times New Roman" w:eastAsia="宋体" w:cs="Times New Roman"/>
                <w:color w:val="auto"/>
                <w:kern w:val="0"/>
                <w:sz w:val="24"/>
                <w:szCs w:val="24"/>
                <w:lang w:val="en-US" w:eastAsia="zh-CN" w:bidi="ar"/>
              </w:rPr>
              <w:t>-N：0.005t/a，生活污水经化粪池预处理后，排入收集池存放，采用槽罐车定期送至</w:t>
            </w:r>
            <w:r>
              <w:rPr>
                <w:rFonts w:hint="eastAsia" w:ascii="Times New Roman" w:hAnsi="Times New Roman" w:eastAsia="宋体" w:cs="Times New Roman"/>
                <w:color w:val="auto"/>
                <w:kern w:val="0"/>
                <w:sz w:val="24"/>
                <w:szCs w:val="24"/>
                <w:lang w:val="en-US" w:eastAsia="zh-CN" w:bidi="ar"/>
              </w:rPr>
              <w:t>东至县国祯污水处理厂</w:t>
            </w:r>
            <w:r>
              <w:rPr>
                <w:rFonts w:hint="default" w:ascii="Times New Roman" w:hAnsi="Times New Roman" w:eastAsia="宋体" w:cs="Times New Roman"/>
                <w:color w:val="auto"/>
                <w:kern w:val="0"/>
                <w:sz w:val="24"/>
                <w:szCs w:val="24"/>
                <w:lang w:val="en-US" w:eastAsia="zh-CN" w:bidi="ar"/>
              </w:rPr>
              <w:t xml:space="preserve">处置。 </w:t>
            </w:r>
          </w:p>
          <w:p w14:paraId="329EB26C">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①化粪池：玻璃钢化粪池是一种利用沉淀和厌氧发酵的原理，去除生活污水中悬浮性有机物的处理设施，属于初级的过渡处理构筑物。污水进入化粪池经过 12~24h 的沉淀，可去除 50%~60%的悬浮物。沉淀下来的污泥经过3 个月以上的厌氧消化，使污泥中的有机物分解成稳定的无机物，易腐败的生污泥转化为稳定的熟污泥，改变了污泥的结构，降低了污泥的含水率。玻璃钢化粪池污水首先由进水口排到格，在格里比重较大的固体物及寄生虫卵等物沉淀下来，利用池水中的厌氧细菌开始初步的发酵分解；经过初步分解的粪液流入第二格，而漂浮在上面的粪皮和沉积在下面的粪渣则留在格继续发酵，第二格中，粪液继续发酵分解，虫卵继续下沉，病原体逐渐死亡，粪液得到进一步无害化。流入第三格的粪液一般已经腐熟，其中病菌和寄生虫卵已基本杀灭。第三格功能主要起暂时储存沉淀已基本无害的粪液作用。排入收集池存放，采用槽罐车定期送至</w:t>
            </w:r>
            <w:r>
              <w:rPr>
                <w:rFonts w:hint="eastAsia" w:ascii="Times New Roman" w:hAnsi="Times New Roman" w:eastAsia="宋体" w:cs="Times New Roman"/>
                <w:color w:val="auto"/>
                <w:kern w:val="0"/>
                <w:sz w:val="24"/>
                <w:szCs w:val="24"/>
                <w:lang w:val="en-US" w:eastAsia="zh-CN" w:bidi="ar"/>
              </w:rPr>
              <w:t>东至县国祯污水处理厂</w:t>
            </w:r>
            <w:r>
              <w:rPr>
                <w:rFonts w:hint="default" w:ascii="Times New Roman" w:hAnsi="Times New Roman" w:eastAsia="宋体" w:cs="Times New Roman"/>
                <w:color w:val="auto"/>
                <w:kern w:val="0"/>
                <w:sz w:val="24"/>
                <w:szCs w:val="24"/>
                <w:lang w:val="en-US" w:eastAsia="zh-CN" w:bidi="ar"/>
              </w:rPr>
              <w:t xml:space="preserve">处置，深度处理达到《城镇污水处理厂污染物排放标准》（GB18918-2002）一级A标准值后排放，最终排入尧渡河。远期待污水管网建成后，接管市政污水管网。 </w:t>
            </w:r>
          </w:p>
          <w:p w14:paraId="17F4108C">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 xml:space="preserve">②槽罐车运输可行性分析 </w:t>
            </w:r>
          </w:p>
          <w:p w14:paraId="4236FFC4">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生活污水经化粪池预处理后，排入收集池存放，采用槽罐车定期送至</w:t>
            </w:r>
            <w:r>
              <w:rPr>
                <w:rFonts w:hint="eastAsia" w:ascii="Times New Roman" w:hAnsi="Times New Roman" w:eastAsia="宋体" w:cs="Times New Roman"/>
                <w:color w:val="auto"/>
                <w:kern w:val="0"/>
                <w:sz w:val="24"/>
                <w:szCs w:val="24"/>
                <w:lang w:val="en-US" w:eastAsia="zh-CN" w:bidi="ar"/>
              </w:rPr>
              <w:t>东至县国祯污水处理厂</w:t>
            </w:r>
            <w:r>
              <w:rPr>
                <w:rFonts w:hint="default" w:ascii="Times New Roman" w:hAnsi="Times New Roman" w:eastAsia="宋体" w:cs="Times New Roman"/>
                <w:color w:val="auto"/>
                <w:kern w:val="0"/>
                <w:sz w:val="24"/>
                <w:szCs w:val="24"/>
                <w:lang w:val="en-US" w:eastAsia="zh-CN" w:bidi="ar"/>
              </w:rPr>
              <w:t>处置，运输过程中，全部采用密闭式运输。</w:t>
            </w:r>
          </w:p>
          <w:p w14:paraId="18B19DA5">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对于运输车辆本次评价做如下要求：</w:t>
            </w:r>
          </w:p>
          <w:p w14:paraId="7E4171A8">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A、运输车辆禁止进入城市中心区。</w:t>
            </w:r>
          </w:p>
          <w:p w14:paraId="778752AA">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B、运输车辆封闭，并加强维护保养，禁止抛、洒、滴、漏。</w:t>
            </w:r>
          </w:p>
          <w:p w14:paraId="12C19C62">
            <w:pPr>
              <w:keepNext w:val="0"/>
              <w:keepLines w:val="0"/>
              <w:widowControl/>
              <w:suppressLineNumbers w:val="0"/>
              <w:jc w:val="left"/>
              <w:rPr>
                <w:rFonts w:hint="default" w:ascii="Times New Roman" w:hAnsi="Times New Roman" w:eastAsia="宋体" w:cs="Times New Roman"/>
                <w:color w:val="auto"/>
                <w:lang w:val="en-US"/>
              </w:rPr>
            </w:pPr>
            <w:r>
              <w:rPr>
                <w:rFonts w:hint="default" w:ascii="Times New Roman" w:hAnsi="Times New Roman" w:eastAsia="宋体" w:cs="Times New Roman"/>
                <w:color w:val="auto"/>
                <w:kern w:val="0"/>
                <w:sz w:val="24"/>
                <w:szCs w:val="24"/>
                <w:lang w:val="en-US" w:eastAsia="zh-CN" w:bidi="ar"/>
              </w:rPr>
              <w:t>C、运输车辆进出厂区，需进行清洗，禁止车辆残留粪污带出厂区。</w:t>
            </w:r>
          </w:p>
          <w:p w14:paraId="744B4F93">
            <w:pPr>
              <w:keepNext w:val="0"/>
              <w:keepLines w:val="0"/>
              <w:widowControl/>
              <w:suppressLineNumbers w:val="0"/>
              <w:jc w:val="left"/>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D、运输车辆进出厂区须进行台账记录。</w:t>
            </w:r>
          </w:p>
          <w:p w14:paraId="2895B7EC">
            <w:pPr>
              <w:keepNext w:val="0"/>
              <w:keepLines w:val="0"/>
              <w:widowControl/>
              <w:suppressLineNumbers w:val="0"/>
              <w:jc w:val="left"/>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（2）生产废水</w:t>
            </w:r>
          </w:p>
          <w:p w14:paraId="376BEE0B">
            <w:pPr>
              <w:keepNext w:val="0"/>
              <w:keepLines w:val="0"/>
              <w:widowControl/>
              <w:suppressLineNumbers w:val="0"/>
              <w:jc w:val="left"/>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①厂区内实行雨污分流制，雨水排入厂区地沟，经雨水沟（管）引入厂区初期雨水池，然后分批进入三级沉淀处理，处理后的清水存放于水池，回用于厂区洒水抑尘，不外排。</w:t>
            </w:r>
          </w:p>
          <w:p w14:paraId="472F2B98">
            <w:pPr>
              <w:widowControl w:val="0"/>
              <w:spacing w:line="360" w:lineRule="auto"/>
              <w:ind w:firstLine="480" w:firstLineChars="200"/>
              <w:jc w:val="both"/>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0"/>
                <w:sz w:val="24"/>
                <w:szCs w:val="24"/>
                <w:lang w:val="en-US" w:eastAsia="zh-CN" w:bidi="ar"/>
              </w:rPr>
              <w:t>②</w:t>
            </w:r>
            <w:r>
              <w:rPr>
                <w:rFonts w:hint="default" w:ascii="Times New Roman" w:hAnsi="Times New Roman" w:eastAsia="宋体" w:cs="Times New Roman"/>
                <w:b w:val="0"/>
                <w:bCs/>
                <w:color w:val="auto"/>
                <w:kern w:val="2"/>
                <w:sz w:val="24"/>
                <w:szCs w:val="24"/>
                <w:vertAlign w:val="baseline"/>
                <w:lang w:val="en-US" w:eastAsia="zh-CN" w:bidi="ar-SA"/>
              </w:rPr>
              <w:t>项目车辆冲洗水</w:t>
            </w:r>
            <w:r>
              <w:rPr>
                <w:rFonts w:hint="eastAsia" w:ascii="Times New Roman" w:hAnsi="Times New Roman" w:eastAsia="宋体" w:cs="Times New Roman"/>
                <w:b w:val="0"/>
                <w:bCs/>
                <w:color w:val="auto"/>
                <w:kern w:val="2"/>
                <w:sz w:val="24"/>
                <w:szCs w:val="24"/>
                <w:vertAlign w:val="baseline"/>
                <w:lang w:val="en-US" w:eastAsia="zh-CN" w:bidi="ar-SA"/>
              </w:rPr>
              <w:t>量</w:t>
            </w:r>
            <w:r>
              <w:rPr>
                <w:rFonts w:hint="default" w:ascii="Times New Roman" w:hAnsi="Times New Roman" w:eastAsia="宋体" w:cs="Times New Roman"/>
                <w:b w:val="0"/>
                <w:bCs/>
                <w:color w:val="auto"/>
                <w:kern w:val="2"/>
                <w:sz w:val="24"/>
                <w:szCs w:val="24"/>
                <w:vertAlign w:val="baseline"/>
                <w:lang w:val="en-US" w:eastAsia="zh-CN" w:bidi="ar-SA"/>
              </w:rPr>
              <w:t>为1680m</w:t>
            </w:r>
            <w:r>
              <w:rPr>
                <w:rFonts w:hint="default" w:ascii="Times New Roman" w:hAnsi="Times New Roman" w:eastAsia="宋体" w:cs="Times New Roman"/>
                <w:b w:val="0"/>
                <w:bCs/>
                <w:color w:val="auto"/>
                <w:kern w:val="2"/>
                <w:sz w:val="24"/>
                <w:szCs w:val="24"/>
                <w:vertAlign w:val="superscript"/>
                <w:lang w:val="en-US" w:eastAsia="zh-CN" w:bidi="ar-SA"/>
              </w:rPr>
              <w:t>3</w:t>
            </w:r>
            <w:r>
              <w:rPr>
                <w:rFonts w:hint="default" w:ascii="Times New Roman" w:hAnsi="Times New Roman" w:eastAsia="宋体" w:cs="Times New Roman"/>
                <w:b w:val="0"/>
                <w:bCs/>
                <w:color w:val="auto"/>
                <w:kern w:val="2"/>
                <w:sz w:val="24"/>
                <w:szCs w:val="24"/>
                <w:vertAlign w:val="baseline"/>
                <w:lang w:val="en-US" w:eastAsia="zh-CN" w:bidi="ar-SA"/>
              </w:rPr>
              <w:t>/a（0.66m</w:t>
            </w:r>
            <w:r>
              <w:rPr>
                <w:rFonts w:hint="default" w:ascii="Times New Roman" w:hAnsi="Times New Roman" w:eastAsia="宋体" w:cs="Times New Roman"/>
                <w:b w:val="0"/>
                <w:bCs/>
                <w:color w:val="auto"/>
                <w:kern w:val="2"/>
                <w:sz w:val="24"/>
                <w:szCs w:val="24"/>
                <w:vertAlign w:val="superscript"/>
                <w:lang w:val="en-US" w:eastAsia="zh-CN" w:bidi="ar-SA"/>
              </w:rPr>
              <w:t>3</w:t>
            </w:r>
            <w:r>
              <w:rPr>
                <w:rFonts w:hint="default" w:ascii="Times New Roman" w:hAnsi="Times New Roman" w:eastAsia="宋体" w:cs="Times New Roman"/>
                <w:b w:val="0"/>
                <w:bCs/>
                <w:color w:val="auto"/>
                <w:kern w:val="2"/>
                <w:sz w:val="24"/>
                <w:szCs w:val="24"/>
                <w:vertAlign w:val="baseline"/>
                <w:lang w:val="en-US" w:eastAsia="zh-CN" w:bidi="ar-SA"/>
              </w:rPr>
              <w:t>/h），废水按80%计，则车辆冲洗废水为1344m</w:t>
            </w:r>
            <w:r>
              <w:rPr>
                <w:rFonts w:hint="default" w:ascii="Times New Roman" w:hAnsi="Times New Roman" w:eastAsia="宋体" w:cs="Times New Roman"/>
                <w:b w:val="0"/>
                <w:bCs/>
                <w:color w:val="auto"/>
                <w:kern w:val="2"/>
                <w:sz w:val="24"/>
                <w:szCs w:val="24"/>
                <w:vertAlign w:val="superscript"/>
                <w:lang w:val="en-US" w:eastAsia="zh-CN" w:bidi="ar-SA"/>
              </w:rPr>
              <w:t>3</w:t>
            </w:r>
            <w:r>
              <w:rPr>
                <w:rFonts w:hint="default" w:ascii="Times New Roman" w:hAnsi="Times New Roman" w:eastAsia="宋体" w:cs="Times New Roman"/>
                <w:b w:val="0"/>
                <w:bCs/>
                <w:color w:val="auto"/>
                <w:kern w:val="2"/>
                <w:sz w:val="24"/>
                <w:szCs w:val="24"/>
                <w:vertAlign w:val="baseline"/>
                <w:lang w:val="en-US" w:eastAsia="zh-CN" w:bidi="ar-SA"/>
              </w:rPr>
              <w:t>/a（0.525m</w:t>
            </w:r>
            <w:r>
              <w:rPr>
                <w:rFonts w:hint="default" w:ascii="Times New Roman" w:hAnsi="Times New Roman" w:eastAsia="宋体" w:cs="Times New Roman"/>
                <w:b w:val="0"/>
                <w:bCs/>
                <w:color w:val="auto"/>
                <w:kern w:val="2"/>
                <w:sz w:val="24"/>
                <w:szCs w:val="24"/>
                <w:vertAlign w:val="superscript"/>
                <w:lang w:val="en-US" w:eastAsia="zh-CN" w:bidi="ar-SA"/>
              </w:rPr>
              <w:t>3</w:t>
            </w:r>
            <w:r>
              <w:rPr>
                <w:rFonts w:hint="default" w:ascii="Times New Roman" w:hAnsi="Times New Roman" w:eastAsia="宋体" w:cs="Times New Roman"/>
                <w:b w:val="0"/>
                <w:bCs/>
                <w:color w:val="auto"/>
                <w:kern w:val="2"/>
                <w:sz w:val="24"/>
                <w:szCs w:val="24"/>
                <w:vertAlign w:val="baseline"/>
                <w:lang w:val="en-US" w:eastAsia="zh-CN" w:bidi="ar-SA"/>
              </w:rPr>
              <w:t>/h），该部分废水主要是洗车轮胎产生，水中含有一些砂石和泥土，预计悬浮物浓度约1500mg/L，项目设有 1 套车辆冲洗平台及配套沉淀池（位于厂区南侧出入口处），车辆冲洗</w:t>
            </w:r>
            <w:r>
              <w:rPr>
                <w:rFonts w:hint="eastAsia" w:ascii="Times New Roman" w:hAnsi="Times New Roman" w:eastAsia="宋体" w:cs="Times New Roman"/>
                <w:b w:val="0"/>
                <w:bCs/>
                <w:color w:val="auto"/>
                <w:kern w:val="2"/>
                <w:sz w:val="24"/>
                <w:szCs w:val="24"/>
                <w:vertAlign w:val="baseline"/>
                <w:lang w:val="en-US" w:eastAsia="zh-CN" w:bidi="ar-SA"/>
              </w:rPr>
              <w:t>水进入三级沉淀池</w:t>
            </w:r>
            <w:r>
              <w:rPr>
                <w:rFonts w:hint="default" w:ascii="Times New Roman" w:hAnsi="Times New Roman" w:eastAsia="宋体" w:cs="Times New Roman"/>
                <w:b w:val="0"/>
                <w:bCs/>
                <w:color w:val="auto"/>
                <w:kern w:val="2"/>
                <w:sz w:val="24"/>
                <w:szCs w:val="24"/>
                <w:vertAlign w:val="baseline"/>
                <w:lang w:val="en-US" w:eastAsia="zh-CN" w:bidi="ar-SA"/>
              </w:rPr>
              <w:t>（容积</w:t>
            </w:r>
            <w:r>
              <w:rPr>
                <w:rFonts w:hint="eastAsia" w:ascii="Times New Roman" w:hAnsi="Times New Roman" w:eastAsia="宋体" w:cs="Times New Roman"/>
                <w:b w:val="0"/>
                <w:bCs/>
                <w:color w:val="auto"/>
                <w:kern w:val="2"/>
                <w:sz w:val="24"/>
                <w:szCs w:val="24"/>
                <w:vertAlign w:val="baseline"/>
                <w:lang w:val="en-US" w:eastAsia="zh-CN" w:bidi="ar-SA"/>
              </w:rPr>
              <w:t>20</w:t>
            </w:r>
            <w:r>
              <w:rPr>
                <w:rFonts w:hint="default" w:ascii="Times New Roman" w:hAnsi="Times New Roman" w:eastAsia="宋体" w:cs="Times New Roman"/>
                <w:b w:val="0"/>
                <w:bCs/>
                <w:color w:val="auto"/>
                <w:kern w:val="2"/>
                <w:sz w:val="24"/>
                <w:szCs w:val="24"/>
                <w:vertAlign w:val="baseline"/>
                <w:lang w:val="en-US" w:eastAsia="zh-CN" w:bidi="ar-SA"/>
              </w:rPr>
              <w:t>m</w:t>
            </w:r>
            <w:r>
              <w:rPr>
                <w:rFonts w:hint="default" w:ascii="Times New Roman" w:hAnsi="Times New Roman" w:eastAsia="宋体" w:cs="Times New Roman"/>
                <w:b w:val="0"/>
                <w:bCs/>
                <w:color w:val="auto"/>
                <w:kern w:val="2"/>
                <w:sz w:val="24"/>
                <w:szCs w:val="24"/>
                <w:vertAlign w:val="superscript"/>
                <w:lang w:val="en-US" w:eastAsia="zh-CN" w:bidi="ar-SA"/>
              </w:rPr>
              <w:t>3</w:t>
            </w:r>
            <w:r>
              <w:rPr>
                <w:rFonts w:hint="default" w:ascii="Times New Roman" w:hAnsi="Times New Roman" w:eastAsia="宋体" w:cs="Times New Roman"/>
                <w:b w:val="0"/>
                <w:bCs/>
                <w:color w:val="auto"/>
                <w:kern w:val="2"/>
                <w:sz w:val="24"/>
                <w:szCs w:val="24"/>
                <w:vertAlign w:val="baseline"/>
                <w:lang w:val="en-US" w:eastAsia="zh-CN" w:bidi="ar-SA"/>
              </w:rPr>
              <w:t>），</w:t>
            </w:r>
            <w:r>
              <w:rPr>
                <w:rFonts w:hint="eastAsia" w:ascii="Times New Roman" w:hAnsi="Times New Roman" w:eastAsia="宋体" w:cs="Times New Roman"/>
                <w:b w:val="0"/>
                <w:bCs/>
                <w:color w:val="auto"/>
                <w:kern w:val="2"/>
                <w:sz w:val="24"/>
                <w:szCs w:val="24"/>
                <w:vertAlign w:val="baseline"/>
                <w:lang w:val="en-US" w:eastAsia="zh-CN" w:bidi="ar-SA"/>
              </w:rPr>
              <w:t>单个沉淀池容积为6.8</w:t>
            </w:r>
            <w:r>
              <w:rPr>
                <w:rFonts w:hint="default" w:ascii="Times New Roman" w:hAnsi="Times New Roman" w:eastAsia="宋体" w:cs="Times New Roman"/>
                <w:b w:val="0"/>
                <w:bCs/>
                <w:color w:val="auto"/>
                <w:kern w:val="2"/>
                <w:sz w:val="24"/>
                <w:szCs w:val="24"/>
                <w:vertAlign w:val="baseline"/>
                <w:lang w:val="en-US" w:eastAsia="zh-CN" w:bidi="ar-SA"/>
              </w:rPr>
              <w:t>m</w:t>
            </w:r>
            <w:r>
              <w:rPr>
                <w:rFonts w:hint="default" w:ascii="Times New Roman" w:hAnsi="Times New Roman" w:eastAsia="宋体" w:cs="Times New Roman"/>
                <w:b w:val="0"/>
                <w:bCs/>
                <w:color w:val="auto"/>
                <w:kern w:val="2"/>
                <w:sz w:val="24"/>
                <w:szCs w:val="24"/>
                <w:vertAlign w:val="superscript"/>
                <w:lang w:val="en-US" w:eastAsia="zh-CN" w:bidi="ar-SA"/>
              </w:rPr>
              <w:t>3</w:t>
            </w:r>
            <w:r>
              <w:rPr>
                <w:rFonts w:hint="eastAsia" w:ascii="Times New Roman" w:hAnsi="Times New Roman" w:eastAsia="宋体" w:cs="Times New Roman"/>
                <w:b w:val="0"/>
                <w:bCs/>
                <w:color w:val="auto"/>
                <w:kern w:val="2"/>
                <w:sz w:val="24"/>
                <w:szCs w:val="24"/>
                <w:vertAlign w:val="baseline"/>
                <w:lang w:val="en-US" w:eastAsia="zh-CN" w:bidi="ar-SA"/>
              </w:rPr>
              <w:t>，</w:t>
            </w:r>
            <w:r>
              <w:rPr>
                <w:rFonts w:hint="default" w:ascii="Times New Roman" w:hAnsi="Times New Roman" w:eastAsia="宋体" w:cs="Times New Roman"/>
                <w:b w:val="0"/>
                <w:bCs/>
                <w:color w:val="auto"/>
                <w:kern w:val="2"/>
                <w:sz w:val="24"/>
                <w:szCs w:val="24"/>
                <w:vertAlign w:val="baseline"/>
                <w:lang w:val="en-US" w:eastAsia="zh-CN" w:bidi="ar-SA"/>
              </w:rPr>
              <w:t>为防止溢出，按照 90%承载数量，即沉淀池的有效容积为</w:t>
            </w:r>
            <w:r>
              <w:rPr>
                <w:rFonts w:hint="eastAsia" w:ascii="Times New Roman" w:hAnsi="Times New Roman" w:eastAsia="宋体" w:cs="Times New Roman"/>
                <w:b w:val="0"/>
                <w:bCs/>
                <w:color w:val="auto"/>
                <w:kern w:val="2"/>
                <w:sz w:val="24"/>
                <w:szCs w:val="24"/>
                <w:vertAlign w:val="baseline"/>
                <w:lang w:val="en-US" w:eastAsia="zh-CN" w:bidi="ar-SA"/>
              </w:rPr>
              <w:t>5.44</w:t>
            </w:r>
            <w:r>
              <w:rPr>
                <w:rFonts w:hint="default" w:ascii="Times New Roman" w:hAnsi="Times New Roman" w:eastAsia="宋体" w:cs="Times New Roman"/>
                <w:b w:val="0"/>
                <w:bCs/>
                <w:color w:val="auto"/>
                <w:kern w:val="2"/>
                <w:sz w:val="24"/>
                <w:szCs w:val="24"/>
                <w:vertAlign w:val="baseline"/>
                <w:lang w:val="en-US" w:eastAsia="zh-CN" w:bidi="ar-SA"/>
              </w:rPr>
              <w:t>m</w:t>
            </w:r>
            <w:r>
              <w:rPr>
                <w:rFonts w:hint="default" w:ascii="Times New Roman" w:hAnsi="Times New Roman" w:eastAsia="宋体" w:cs="Times New Roman"/>
                <w:b w:val="0"/>
                <w:bCs/>
                <w:color w:val="auto"/>
                <w:kern w:val="2"/>
                <w:sz w:val="24"/>
                <w:szCs w:val="24"/>
                <w:vertAlign w:val="superscript"/>
                <w:lang w:val="en-US" w:eastAsia="zh-CN" w:bidi="ar-SA"/>
              </w:rPr>
              <w:t>3</w:t>
            </w:r>
            <w:r>
              <w:rPr>
                <w:rFonts w:hint="default" w:ascii="Times New Roman" w:hAnsi="Times New Roman" w:eastAsia="宋体" w:cs="Times New Roman"/>
                <w:b w:val="0"/>
                <w:bCs/>
                <w:color w:val="auto"/>
                <w:kern w:val="2"/>
                <w:sz w:val="24"/>
                <w:szCs w:val="24"/>
                <w:vertAlign w:val="baseline"/>
                <w:lang w:val="en-US" w:eastAsia="zh-CN" w:bidi="ar-SA"/>
              </w:rPr>
              <w:t>，水力停留时间 T=V/Q（h）=</w:t>
            </w:r>
            <w:r>
              <w:rPr>
                <w:rFonts w:hint="eastAsia" w:ascii="Times New Roman" w:hAnsi="Times New Roman" w:eastAsia="宋体" w:cs="Times New Roman"/>
                <w:b w:val="0"/>
                <w:bCs/>
                <w:color w:val="auto"/>
                <w:kern w:val="2"/>
                <w:sz w:val="24"/>
                <w:szCs w:val="24"/>
                <w:vertAlign w:val="baseline"/>
                <w:lang w:val="en-US" w:eastAsia="zh-CN" w:bidi="ar-SA"/>
              </w:rPr>
              <w:t>5.44</w:t>
            </w:r>
            <w:r>
              <w:rPr>
                <w:rFonts w:hint="default" w:ascii="Times New Roman" w:hAnsi="Times New Roman" w:eastAsia="宋体" w:cs="Times New Roman"/>
                <w:b w:val="0"/>
                <w:bCs/>
                <w:color w:val="auto"/>
                <w:kern w:val="2"/>
                <w:sz w:val="24"/>
                <w:szCs w:val="24"/>
                <w:vertAlign w:val="baseline"/>
                <w:lang w:val="en-US" w:eastAsia="zh-CN" w:bidi="ar-SA"/>
              </w:rPr>
              <w:t>÷0.525=</w:t>
            </w:r>
            <w:r>
              <w:rPr>
                <w:rFonts w:hint="eastAsia" w:ascii="Times New Roman" w:hAnsi="Times New Roman" w:eastAsia="宋体" w:cs="Times New Roman"/>
                <w:b w:val="0"/>
                <w:bCs/>
                <w:color w:val="auto"/>
                <w:kern w:val="2"/>
                <w:sz w:val="24"/>
                <w:szCs w:val="24"/>
                <w:vertAlign w:val="baseline"/>
                <w:lang w:val="en-US" w:eastAsia="zh-CN" w:bidi="ar-SA"/>
              </w:rPr>
              <w:t>10.36</w:t>
            </w:r>
            <w:r>
              <w:rPr>
                <w:rFonts w:hint="default" w:ascii="Times New Roman" w:hAnsi="Times New Roman" w:eastAsia="宋体" w:cs="Times New Roman"/>
                <w:b w:val="0"/>
                <w:bCs/>
                <w:color w:val="auto"/>
                <w:kern w:val="2"/>
                <w:sz w:val="24"/>
                <w:szCs w:val="24"/>
                <w:vertAlign w:val="baseline"/>
                <w:lang w:val="en-US" w:eastAsia="zh-CN" w:bidi="ar-SA"/>
              </w:rPr>
              <w:t>h&gt;0.5h（30分钟），满足沉淀时间要求，洗车区四周设集水沟渠，车辆冲洗废水经导流沟进入进入三级沉淀（单个循环沉淀池尺寸</w:t>
            </w:r>
            <w:r>
              <w:rPr>
                <w:rFonts w:hint="eastAsia" w:ascii="Times New Roman" w:hAnsi="Times New Roman" w:eastAsia="宋体" w:cs="Times New Roman"/>
                <w:b w:val="0"/>
                <w:bCs/>
                <w:color w:val="auto"/>
                <w:kern w:val="2"/>
                <w:sz w:val="24"/>
                <w:szCs w:val="24"/>
                <w:vertAlign w:val="baseline"/>
                <w:lang w:val="en-US" w:eastAsia="zh-CN" w:bidi="ar-SA"/>
              </w:rPr>
              <w:t>2.0</w:t>
            </w:r>
            <w:r>
              <w:rPr>
                <w:rFonts w:hint="default" w:ascii="Times New Roman" w:hAnsi="Times New Roman" w:eastAsia="宋体" w:cs="Times New Roman"/>
                <w:b w:val="0"/>
                <w:bCs/>
                <w:color w:val="auto"/>
                <w:kern w:val="2"/>
                <w:sz w:val="24"/>
                <w:szCs w:val="24"/>
                <w:vertAlign w:val="baseline"/>
                <w:lang w:val="en-US" w:eastAsia="zh-CN" w:bidi="ar-SA"/>
              </w:rPr>
              <w:t>m×</w:t>
            </w:r>
            <w:r>
              <w:rPr>
                <w:rFonts w:hint="eastAsia" w:ascii="Times New Roman" w:hAnsi="Times New Roman" w:eastAsia="宋体" w:cs="Times New Roman"/>
                <w:b w:val="0"/>
                <w:bCs/>
                <w:color w:val="auto"/>
                <w:kern w:val="2"/>
                <w:sz w:val="24"/>
                <w:szCs w:val="24"/>
                <w:vertAlign w:val="baseline"/>
                <w:lang w:val="en-US" w:eastAsia="zh-CN" w:bidi="ar-SA"/>
              </w:rPr>
              <w:t>2.0</w:t>
            </w:r>
            <w:r>
              <w:rPr>
                <w:rFonts w:hint="default" w:ascii="Times New Roman" w:hAnsi="Times New Roman" w:eastAsia="宋体" w:cs="Times New Roman"/>
                <w:b w:val="0"/>
                <w:bCs/>
                <w:color w:val="auto"/>
                <w:kern w:val="2"/>
                <w:sz w:val="24"/>
                <w:szCs w:val="24"/>
                <w:vertAlign w:val="baseline"/>
                <w:lang w:val="en-US" w:eastAsia="zh-CN" w:bidi="ar-SA"/>
              </w:rPr>
              <w:t>m×</w:t>
            </w:r>
            <w:r>
              <w:rPr>
                <w:rFonts w:hint="eastAsia" w:ascii="Times New Roman" w:hAnsi="Times New Roman" w:eastAsia="宋体" w:cs="Times New Roman"/>
                <w:b w:val="0"/>
                <w:bCs/>
                <w:color w:val="auto"/>
                <w:kern w:val="2"/>
                <w:sz w:val="24"/>
                <w:szCs w:val="24"/>
                <w:vertAlign w:val="baseline"/>
                <w:lang w:val="en-US" w:eastAsia="zh-CN" w:bidi="ar-SA"/>
              </w:rPr>
              <w:t>1.7</w:t>
            </w:r>
            <w:r>
              <w:rPr>
                <w:rFonts w:hint="default" w:ascii="Times New Roman" w:hAnsi="Times New Roman" w:eastAsia="宋体" w:cs="Times New Roman"/>
                <w:b w:val="0"/>
                <w:bCs/>
                <w:color w:val="auto"/>
                <w:kern w:val="2"/>
                <w:sz w:val="24"/>
                <w:szCs w:val="24"/>
                <w:vertAlign w:val="baseline"/>
                <w:lang w:val="en-US" w:eastAsia="zh-CN" w:bidi="ar-SA"/>
              </w:rPr>
              <w:t>m）处理后，回用于厂 区洒水抑尘，能够满足要求。</w:t>
            </w:r>
          </w:p>
          <w:p w14:paraId="3E51A19B">
            <w:pPr>
              <w:keepNext w:val="0"/>
              <w:keepLines w:val="0"/>
              <w:widowControl/>
              <w:suppressLineNumbers w:val="0"/>
              <w:jc w:val="left"/>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③初期雨水：根据本项目特点，该部分废水中通常含有砂石等，且悬浮物浓度较约 2000mg/L。</w:t>
            </w:r>
          </w:p>
          <w:p w14:paraId="709CA89D">
            <w:pPr>
              <w:keepNext w:val="0"/>
              <w:keepLines w:val="0"/>
              <w:widowControl/>
              <w:suppressLineNumbers w:val="0"/>
              <w:jc w:val="left"/>
              <w:rPr>
                <w:rFonts w:hint="default" w:ascii="Times New Roman" w:hAnsi="Times New Roman" w:cs="Times New Roman"/>
                <w:b/>
                <w:bCs w:val="0"/>
                <w:color w:val="auto"/>
                <w:lang w:val="en-US" w:eastAsia="zh-CN"/>
              </w:rPr>
            </w:pPr>
            <w:r>
              <w:rPr>
                <w:rFonts w:hint="default" w:ascii="Times New Roman" w:hAnsi="Times New Roman" w:cs="Times New Roman"/>
                <w:b/>
                <w:bCs w:val="0"/>
                <w:color w:val="auto"/>
                <w:lang w:val="en-US" w:eastAsia="zh-CN"/>
              </w:rPr>
              <w:t>沉淀池参数计算</w:t>
            </w:r>
          </w:p>
          <w:p w14:paraId="04AF7C74">
            <w:pPr>
              <w:keepNext w:val="0"/>
              <w:keepLines w:val="0"/>
              <w:widowControl/>
              <w:suppressLineNumbers w:val="0"/>
              <w:jc w:val="left"/>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本项目设置</w:t>
            </w:r>
            <w:r>
              <w:rPr>
                <w:rFonts w:hint="eastAsia" w:cs="Times New Roman"/>
                <w:b w:val="0"/>
                <w:bCs/>
                <w:color w:val="auto"/>
                <w:lang w:val="en-US" w:eastAsia="zh-CN"/>
              </w:rPr>
              <w:t>三级沉淀池（</w:t>
            </w:r>
            <w:r>
              <w:rPr>
                <w:rFonts w:hint="default" w:ascii="Times New Roman" w:hAnsi="Times New Roman" w:cs="Times New Roman"/>
                <w:b w:val="0"/>
                <w:bCs/>
                <w:color w:val="auto"/>
                <w:lang w:val="en-US" w:eastAsia="zh-CN"/>
              </w:rPr>
              <w:t>其中单个循环沉淀池尺寸</w:t>
            </w:r>
            <w:r>
              <w:rPr>
                <w:rFonts w:hint="eastAsia" w:cs="Times New Roman"/>
                <w:b w:val="0"/>
                <w:bCs/>
                <w:color w:val="auto"/>
                <w:lang w:val="en-US" w:eastAsia="zh-CN"/>
              </w:rPr>
              <w:t>2</w:t>
            </w:r>
            <w:r>
              <w:rPr>
                <w:rFonts w:hint="default" w:ascii="Times New Roman" w:hAnsi="Times New Roman" w:cs="Times New Roman"/>
                <w:b w:val="0"/>
                <w:bCs/>
                <w:color w:val="auto"/>
                <w:lang w:val="en-US" w:eastAsia="zh-CN"/>
              </w:rPr>
              <w:t>.</w:t>
            </w:r>
            <w:r>
              <w:rPr>
                <w:rFonts w:hint="eastAsia" w:cs="Times New Roman"/>
                <w:b w:val="0"/>
                <w:bCs/>
                <w:color w:val="auto"/>
                <w:lang w:val="en-US" w:eastAsia="zh-CN"/>
              </w:rPr>
              <w:t>0</w:t>
            </w:r>
            <w:r>
              <w:rPr>
                <w:rFonts w:hint="default" w:ascii="Times New Roman" w:hAnsi="Times New Roman" w:cs="Times New Roman"/>
                <w:b w:val="0"/>
                <w:bCs/>
                <w:color w:val="auto"/>
                <w:lang w:val="en-US" w:eastAsia="zh-CN"/>
              </w:rPr>
              <w:t>m×</w:t>
            </w:r>
            <w:r>
              <w:rPr>
                <w:rFonts w:hint="eastAsia" w:cs="Times New Roman"/>
                <w:b w:val="0"/>
                <w:bCs/>
                <w:color w:val="auto"/>
                <w:lang w:val="en-US" w:eastAsia="zh-CN"/>
              </w:rPr>
              <w:t>2.0</w:t>
            </w:r>
            <w:r>
              <w:rPr>
                <w:rFonts w:hint="default" w:ascii="Times New Roman" w:hAnsi="Times New Roman" w:cs="Times New Roman"/>
                <w:b w:val="0"/>
                <w:bCs/>
                <w:color w:val="auto"/>
                <w:lang w:val="en-US" w:eastAsia="zh-CN"/>
              </w:rPr>
              <w:t>m×</w:t>
            </w:r>
            <w:r>
              <w:rPr>
                <w:rFonts w:hint="eastAsia" w:cs="Times New Roman"/>
                <w:b w:val="0"/>
                <w:bCs/>
                <w:color w:val="auto"/>
                <w:lang w:val="en-US" w:eastAsia="zh-CN"/>
              </w:rPr>
              <w:t>1.7</w:t>
            </w:r>
            <w:r>
              <w:rPr>
                <w:rFonts w:hint="default" w:ascii="Times New Roman" w:hAnsi="Times New Roman" w:cs="Times New Roman"/>
                <w:b w:val="0"/>
                <w:bCs/>
                <w:color w:val="auto"/>
                <w:lang w:val="en-US" w:eastAsia="zh-CN"/>
              </w:rPr>
              <w:t>m主要用于沉淀含尘废水）。本项目所采用的沉淀池为平流沉淀池，不设泥斗，含尘废水通过导流沟进入沉淀池，含尘废水从沉淀池一端流入，另一端流出，水流在池内做水平运动。含尘废水中的粉尘（悬浮颗粒物）依靠重力作用在沉淀池中沉降。根据经验及有关规范可得含尘废水在沉淀池中的沉降时间不小于30分钟时，方可达到固液分离的效果。</w:t>
            </w:r>
          </w:p>
          <w:p w14:paraId="74645D88">
            <w:pPr>
              <w:keepNext w:val="0"/>
              <w:keepLines w:val="0"/>
              <w:widowControl/>
              <w:suppressLineNumbers w:val="0"/>
              <w:jc w:val="left"/>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本项目废水产生量1668.8m</w:t>
            </w:r>
            <w:r>
              <w:rPr>
                <w:rFonts w:hint="default" w:ascii="Times New Roman" w:hAnsi="Times New Roman" w:cs="Times New Roman"/>
                <w:b w:val="0"/>
                <w:bCs/>
                <w:color w:val="auto"/>
                <w:vertAlign w:val="superscript"/>
                <w:lang w:val="en-US" w:eastAsia="zh-CN"/>
              </w:rPr>
              <w:t>3</w:t>
            </w:r>
            <w:r>
              <w:rPr>
                <w:rFonts w:hint="default" w:ascii="Times New Roman" w:hAnsi="Times New Roman" w:cs="Times New Roman"/>
                <w:b w:val="0"/>
                <w:bCs/>
                <w:color w:val="auto"/>
                <w:lang w:val="en-US" w:eastAsia="zh-CN"/>
              </w:rPr>
              <w:t>/a（0.652m</w:t>
            </w:r>
            <w:r>
              <w:rPr>
                <w:rFonts w:hint="default" w:ascii="Times New Roman" w:hAnsi="Times New Roman" w:cs="Times New Roman"/>
                <w:b w:val="0"/>
                <w:bCs/>
                <w:color w:val="auto"/>
                <w:vertAlign w:val="superscript"/>
                <w:lang w:val="en-US" w:eastAsia="zh-CN"/>
              </w:rPr>
              <w:t>3</w:t>
            </w:r>
            <w:r>
              <w:rPr>
                <w:rFonts w:hint="default" w:ascii="Times New Roman" w:hAnsi="Times New Roman" w:cs="Times New Roman"/>
                <w:b w:val="0"/>
                <w:bCs/>
                <w:color w:val="auto"/>
                <w:lang w:val="en-US" w:eastAsia="zh-CN"/>
              </w:rPr>
              <w:t>/h）。项目设置三级沉淀池，单个沉淀池尺寸</w:t>
            </w:r>
            <w:r>
              <w:rPr>
                <w:rFonts w:hint="eastAsia" w:cs="Times New Roman"/>
                <w:b w:val="0"/>
                <w:bCs/>
                <w:color w:val="auto"/>
                <w:lang w:val="en-US" w:eastAsia="zh-CN"/>
              </w:rPr>
              <w:t>2.0</w:t>
            </w:r>
            <w:r>
              <w:rPr>
                <w:rFonts w:hint="default" w:ascii="Times New Roman" w:hAnsi="Times New Roman" w:cs="Times New Roman"/>
                <w:b w:val="0"/>
                <w:bCs/>
                <w:color w:val="auto"/>
                <w:lang w:val="en-US" w:eastAsia="zh-CN"/>
              </w:rPr>
              <w:t>m×</w:t>
            </w:r>
            <w:r>
              <w:rPr>
                <w:rFonts w:hint="eastAsia" w:cs="Times New Roman"/>
                <w:b w:val="0"/>
                <w:bCs/>
                <w:color w:val="auto"/>
                <w:lang w:val="en-US" w:eastAsia="zh-CN"/>
              </w:rPr>
              <w:t>2.0</w:t>
            </w:r>
            <w:r>
              <w:rPr>
                <w:rFonts w:hint="default" w:ascii="Times New Roman" w:hAnsi="Times New Roman" w:cs="Times New Roman"/>
                <w:b w:val="0"/>
                <w:bCs/>
                <w:color w:val="auto"/>
                <w:lang w:val="en-US" w:eastAsia="zh-CN"/>
              </w:rPr>
              <w:t>m×</w:t>
            </w:r>
            <w:r>
              <w:rPr>
                <w:rFonts w:hint="eastAsia" w:cs="Times New Roman"/>
                <w:b w:val="0"/>
                <w:bCs/>
                <w:color w:val="auto"/>
                <w:lang w:val="en-US" w:eastAsia="zh-CN"/>
              </w:rPr>
              <w:t>1.7</w:t>
            </w:r>
            <w:r>
              <w:rPr>
                <w:rFonts w:hint="default" w:ascii="Times New Roman" w:hAnsi="Times New Roman" w:cs="Times New Roman"/>
                <w:b w:val="0"/>
                <w:bCs/>
                <w:color w:val="auto"/>
                <w:lang w:val="en-US" w:eastAsia="zh-CN"/>
              </w:rPr>
              <w:t>m，为防止溢出，按照90%承载数量，即沉淀池的有效容积为</w:t>
            </w:r>
            <w:r>
              <w:rPr>
                <w:rFonts w:hint="eastAsia" w:cs="Times New Roman"/>
                <w:b w:val="0"/>
                <w:bCs/>
                <w:color w:val="auto"/>
                <w:lang w:val="en-US" w:eastAsia="zh-CN"/>
              </w:rPr>
              <w:t>5.44</w:t>
            </w:r>
            <w:r>
              <w:rPr>
                <w:rFonts w:hint="default" w:ascii="Times New Roman" w:hAnsi="Times New Roman" w:cs="Times New Roman"/>
                <w:b w:val="0"/>
                <w:bCs/>
                <w:color w:val="auto"/>
                <w:lang w:val="en-US" w:eastAsia="zh-CN"/>
              </w:rPr>
              <w:t>m</w:t>
            </w:r>
            <w:r>
              <w:rPr>
                <w:rFonts w:hint="default" w:ascii="Times New Roman" w:hAnsi="Times New Roman" w:cs="Times New Roman"/>
                <w:b w:val="0"/>
                <w:bCs/>
                <w:color w:val="auto"/>
                <w:vertAlign w:val="superscript"/>
                <w:lang w:val="en-US" w:eastAsia="zh-CN"/>
              </w:rPr>
              <w:t>3</w:t>
            </w:r>
            <w:r>
              <w:rPr>
                <w:rFonts w:hint="default" w:ascii="Times New Roman" w:hAnsi="Times New Roman" w:cs="Times New Roman"/>
                <w:b w:val="0"/>
                <w:bCs/>
                <w:color w:val="auto"/>
                <w:lang w:val="en-US" w:eastAsia="zh-CN"/>
              </w:rPr>
              <w:t>，水力停留时间 T=V/Q(h)=</w:t>
            </w:r>
            <w:r>
              <w:rPr>
                <w:rFonts w:hint="eastAsia" w:cs="Times New Roman"/>
                <w:b w:val="0"/>
                <w:bCs/>
                <w:color w:val="auto"/>
                <w:lang w:val="en-US" w:eastAsia="zh-CN"/>
              </w:rPr>
              <w:t>5.44</w:t>
            </w:r>
            <w:r>
              <w:rPr>
                <w:rFonts w:hint="default" w:ascii="Times New Roman" w:hAnsi="Times New Roman" w:cs="Times New Roman"/>
                <w:b w:val="0"/>
                <w:bCs/>
                <w:color w:val="auto"/>
                <w:lang w:val="en-US" w:eastAsia="zh-CN"/>
              </w:rPr>
              <w:t>÷0.652=</w:t>
            </w:r>
            <w:r>
              <w:rPr>
                <w:rFonts w:hint="eastAsia" w:cs="Times New Roman"/>
                <w:b w:val="0"/>
                <w:bCs/>
                <w:color w:val="auto"/>
                <w:lang w:val="en-US" w:eastAsia="zh-CN"/>
              </w:rPr>
              <w:t>8.35</w:t>
            </w:r>
            <w:r>
              <w:rPr>
                <w:rFonts w:hint="default" w:ascii="Times New Roman" w:hAnsi="Times New Roman" w:cs="Times New Roman"/>
                <w:b w:val="0"/>
                <w:bCs/>
                <w:color w:val="auto"/>
                <w:lang w:val="en-US" w:eastAsia="zh-CN"/>
              </w:rPr>
              <w:t>h&gt;0.5h（30 分钟），满足沉淀时间要求，可实现固液分离。</w:t>
            </w:r>
          </w:p>
          <w:p w14:paraId="592CB024">
            <w:pPr>
              <w:keepNext w:val="0"/>
              <w:keepLines w:val="0"/>
              <w:widowControl/>
              <w:suppressLineNumbers w:val="0"/>
              <w:jc w:val="left"/>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本项目用水对水质要求不高，沉淀池容积设置合理，故本项目沉淀池废水治理设施为可行技术。</w:t>
            </w:r>
          </w:p>
          <w:p w14:paraId="3D5D3448">
            <w:pPr>
              <w:keepNext w:val="0"/>
              <w:keepLines w:val="0"/>
              <w:widowControl/>
              <w:suppressLineNumbers w:val="0"/>
              <w:jc w:val="left"/>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（3）要求建设单位：</w:t>
            </w:r>
          </w:p>
          <w:p w14:paraId="0261A784">
            <w:pPr>
              <w:keepNext w:val="0"/>
              <w:keepLines w:val="0"/>
              <w:widowControl/>
              <w:suppressLineNumbers w:val="0"/>
              <w:jc w:val="left"/>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 xml:space="preserve">①规范建设符合要求的沉淀池，确保含尘废水达到固液分离的效果。做到车辆冲洗废水经沉淀池处理后循环使用，不外排。并对循环沉淀池做好防渗，循环沉淀池各池的池底及池壁采取防渗措施。 </w:t>
            </w:r>
          </w:p>
          <w:p w14:paraId="7EC00B9A">
            <w:pPr>
              <w:keepNext w:val="0"/>
              <w:keepLines w:val="0"/>
              <w:widowControl/>
              <w:suppressLineNumbers w:val="0"/>
              <w:jc w:val="left"/>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②当厂区内导流沟、沉淀池出现堵塞、破损时，应立即停产，待污染防治设置正常运行后，方可恢复生产。</w:t>
            </w:r>
          </w:p>
          <w:p w14:paraId="2580D3B3">
            <w:pPr>
              <w:keepNext w:val="0"/>
              <w:keepLines w:val="0"/>
              <w:widowControl/>
              <w:suppressLineNumbers w:val="0"/>
              <w:jc w:val="left"/>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③加强生产管理，严禁生产设备检修等情况下矿物油类物质的跑冒滴漏。</w:t>
            </w:r>
          </w:p>
          <w:p w14:paraId="40292D2E">
            <w:pPr>
              <w:pStyle w:val="178"/>
              <w:ind w:firstLine="480"/>
              <w:rPr>
                <w:rFonts w:hint="default" w:ascii="Times New Roman" w:hAnsi="Times New Roman" w:eastAsia="宋体" w:cs="Times New Roman"/>
                <w:b/>
                <w:bCs w:val="0"/>
                <w:color w:val="auto"/>
                <w:lang w:val="en-US" w:eastAsia="zh-CN"/>
              </w:rPr>
            </w:pPr>
            <w:r>
              <w:rPr>
                <w:rFonts w:hint="default" w:ascii="Times New Roman" w:hAnsi="Times New Roman" w:eastAsia="宋体" w:cs="Times New Roman"/>
                <w:b/>
                <w:bCs w:val="0"/>
                <w:color w:val="auto"/>
                <w:lang w:val="en-US" w:eastAsia="zh-CN"/>
              </w:rPr>
              <w:t>3、废水达标纳管可行性分析</w:t>
            </w:r>
          </w:p>
          <w:p w14:paraId="2C066567">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①污水水量纳管可行性</w:t>
            </w:r>
          </w:p>
          <w:p w14:paraId="13D097A7">
            <w:pPr>
              <w:keepNext w:val="0"/>
              <w:keepLines w:val="0"/>
              <w:pageBreakBefore w:val="0"/>
              <w:widowControl/>
              <w:suppressLineNumbers w:val="0"/>
              <w:kinsoku w:val="0"/>
              <w:wordWrap/>
              <w:overflowPunct/>
              <w:topLinePunct w:val="0"/>
              <w:autoSpaceDE/>
              <w:autoSpaceDN/>
              <w:bidi w:val="0"/>
              <w:adjustRightInd/>
              <w:snapToGrid/>
              <w:jc w:val="left"/>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东至县国祯污水处理厂位于东至县尧渡镇毛田村，一期工程设计污水处理能力为2万 t/d，于 2010 年10 月建成投产，2019 年进行了提标改造，出水水质执行《城镇污水处理厂污染物排放标准》（GB18918-2002）一级A标准。二期2万t/d，扩规工程设计已经完成，目前正在进行工程建设筹备。远期待污水管网建成后，接管市政污水管网，废水排放量约为 2.0t/d（即640t/a）。东至县国祯污水处理厂工程设计污水处理量为 20000m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/d，目前已投入运行，本项目建成后外排水量约占其剩余处理能力的 0.01%，不会对其处理能力造成冲击，因在其设计考虑处理范围内，接管水量是可行的。</w:t>
            </w:r>
          </w:p>
          <w:p w14:paraId="01C6FC0E">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②纳管污水水质可行性</w:t>
            </w:r>
          </w:p>
          <w:p w14:paraId="6502D1A4">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东至县国祯污水处理厂纳管水质按《污水综合排放标准》（GB8978-1996）三级标准设计。本项目排放的废水的各项水质指标均低于《污水综合排放标准》（GB8978-1996）三级标准值，因此。不会影响尧城污水处理厂的污水处理效果。因此，不会对东至县国祯污水处理厂处理工艺造成冲击，因此从水质上看是可行的。</w:t>
            </w:r>
          </w:p>
          <w:p w14:paraId="1FA9798C">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③接管范围可行性</w:t>
            </w:r>
          </w:p>
          <w:p w14:paraId="19597057">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项目所在地配套污水管网还未建成。故生活污水经化粪池预处理后，排入收集池存放，采用槽罐车定期送至</w:t>
            </w:r>
            <w:r>
              <w:rPr>
                <w:rFonts w:hint="eastAsia" w:ascii="Times New Roman" w:hAnsi="Times New Roman" w:eastAsia="宋体" w:cs="Times New Roman"/>
                <w:color w:val="auto"/>
                <w:kern w:val="0"/>
                <w:sz w:val="24"/>
                <w:szCs w:val="24"/>
                <w:lang w:val="en-US" w:eastAsia="zh-CN" w:bidi="ar"/>
              </w:rPr>
              <w:t>东至县国祯污水处理厂</w:t>
            </w:r>
            <w:r>
              <w:rPr>
                <w:rFonts w:hint="default" w:ascii="Times New Roman" w:hAnsi="Times New Roman" w:eastAsia="宋体" w:cs="Times New Roman"/>
                <w:color w:val="auto"/>
                <w:kern w:val="0"/>
                <w:sz w:val="24"/>
                <w:szCs w:val="24"/>
                <w:lang w:val="en-US" w:eastAsia="zh-CN" w:bidi="ar"/>
              </w:rPr>
              <w:t>处置，运输过程中，全部采用密闭式运输。本项目污水排入东至县国祯污水处理厂处理可行。</w:t>
            </w:r>
          </w:p>
          <w:p w14:paraId="79DBEDD2">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④依托东至县国祯污水处理厂处理工艺可行</w:t>
            </w:r>
          </w:p>
          <w:p w14:paraId="6BEEF591">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东至县国祯污水处理厂改造后项目整体工艺为“粗格栅及进水泵房→细格栏及旋流沉砂池→卡鲁赛 2000 氧化沟→二沉池→中间提升泵房→高效沉淀池→深沉滤池→接触消毒池→排入尧渡河”处理工艺，针对项目纳管废水在处理工艺上是完全可行的。根据《东至县污水处理厂（一期）提标改造工程环境影响报告表》及其批复（东环审[2019]6 号）和竣工环保自主验收意见，在正常处理条件下，东至县国祯污水处理厂出水对尧渡河水域的影响较小。</w:t>
            </w:r>
          </w:p>
          <w:p w14:paraId="33A833A4">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⑤处理后尾水达标排放</w:t>
            </w:r>
          </w:p>
          <w:p w14:paraId="192CCA61">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东至县国祯污水处理厂经深度处理后，尾水可达到《城镇污水处理厂污染物排放标准》（GB18918-2002）中的一级 A 标准的要求。东至县国祯污水处理厂已运行多年，目前出水水质可实现稳定达标排放。综上分析可知，本项目的废水纳管进东至县国祯口污水处理厂是可行的，可以实现稳定达标排放，地表水环境影响可接受。预计本项目实施后对最终纳污水体尧渡河水环境质量影响不大。</w:t>
            </w:r>
          </w:p>
          <w:p w14:paraId="518794DA">
            <w:pPr>
              <w:adjustRightInd w:val="0"/>
              <w:snapToGrid w:val="0"/>
              <w:ind w:firstLine="462"/>
              <w:rPr>
                <w:rFonts w:hint="default" w:ascii="Times New Roman" w:hAnsi="Times New Roman" w:eastAsia="宋体" w:cs="Times New Roman"/>
                <w:b/>
                <w:bCs/>
                <w:color w:val="auto"/>
                <w:spacing w:val="-10"/>
              </w:rPr>
            </w:pPr>
            <w:r>
              <w:rPr>
                <w:rFonts w:hint="default" w:ascii="Times New Roman" w:hAnsi="Times New Roman" w:eastAsia="宋体" w:cs="Times New Roman"/>
                <w:b/>
                <w:bCs/>
                <w:color w:val="auto"/>
                <w:spacing w:val="-10"/>
              </w:rPr>
              <w:t>（三）噪声</w:t>
            </w:r>
          </w:p>
          <w:p w14:paraId="59664FDA">
            <w:pPr>
              <w:ind w:firstLine="480"/>
              <w:rPr>
                <w:rFonts w:hint="default" w:ascii="Times New Roman" w:hAnsi="Times New Roman" w:eastAsia="宋体" w:cs="Times New Roman"/>
                <w:bCs/>
                <w:color w:val="auto"/>
              </w:rPr>
            </w:pPr>
            <w:r>
              <w:rPr>
                <w:rFonts w:hint="default" w:ascii="Times New Roman" w:hAnsi="Times New Roman" w:eastAsia="宋体" w:cs="Times New Roman"/>
                <w:bCs/>
                <w:color w:val="auto"/>
              </w:rPr>
              <w:t>根据项目建设内容及《环境影响评价技术导则—声环境》（HJ2.4-2021）的要求，项目环评采用的模型为《环境影响评价技术导则 声环境》(HJ2.4.2021)附录A（规范性附录）户外声传播的衰减和附录B（规范性附录）中“B.1工业噪声预测计算模型”。</w:t>
            </w:r>
          </w:p>
          <w:p w14:paraId="4512442C">
            <w:pPr>
              <w:pStyle w:val="61"/>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rPr>
              <w:t>1.噪声源强分析</w:t>
            </w:r>
          </w:p>
          <w:p w14:paraId="68CE2DFD">
            <w:pPr>
              <w:pStyle w:val="63"/>
              <w:tabs>
                <w:tab w:val="left" w:pos="1485"/>
                <w:tab w:val="center" w:pos="4113"/>
              </w:tabs>
              <w:spacing w:line="360" w:lineRule="auto"/>
              <w:ind w:firstLine="480" w:firstLineChars="200"/>
              <w:jc w:val="left"/>
              <w:rPr>
                <w:rFonts w:hint="default" w:ascii="Times New Roman" w:hAnsi="Times New Roman" w:eastAsia="宋体" w:cs="Times New Roman"/>
                <w:b w:val="0"/>
                <w:bCs/>
                <w:color w:val="auto"/>
                <w:szCs w:val="32"/>
                <w:lang w:val="zh-CN"/>
              </w:rPr>
            </w:pPr>
            <w:r>
              <w:rPr>
                <w:rFonts w:hint="default" w:ascii="Times New Roman" w:hAnsi="Times New Roman" w:eastAsia="宋体" w:cs="Times New Roman"/>
                <w:b w:val="0"/>
                <w:bCs/>
                <w:color w:val="auto"/>
                <w:szCs w:val="32"/>
                <w:lang w:val="zh-CN"/>
              </w:rPr>
              <w:t>本项目营运期噪声主要来自</w:t>
            </w:r>
            <w:r>
              <w:rPr>
                <w:rFonts w:hint="default" w:ascii="Times New Roman" w:hAnsi="Times New Roman" w:eastAsia="宋体" w:cs="Times New Roman"/>
                <w:b w:val="0"/>
                <w:bCs/>
                <w:color w:val="auto"/>
                <w:szCs w:val="32"/>
              </w:rPr>
              <w:t>各类机械</w:t>
            </w:r>
            <w:r>
              <w:rPr>
                <w:rFonts w:hint="default" w:ascii="Times New Roman" w:hAnsi="Times New Roman" w:eastAsia="宋体" w:cs="Times New Roman"/>
                <w:b w:val="0"/>
                <w:bCs/>
                <w:color w:val="auto"/>
                <w:szCs w:val="32"/>
                <w:lang w:val="zh-CN"/>
              </w:rPr>
              <w:t>设备等噪声。本项目噪声源调查清单见表4-</w:t>
            </w:r>
            <w:r>
              <w:rPr>
                <w:rFonts w:hint="default" w:ascii="Times New Roman" w:hAnsi="Times New Roman" w:eastAsia="宋体" w:cs="Times New Roman"/>
                <w:b w:val="0"/>
                <w:bCs/>
                <w:color w:val="auto"/>
                <w:szCs w:val="32"/>
                <w:lang w:val="en-US" w:eastAsia="zh-CN"/>
              </w:rPr>
              <w:t>1</w:t>
            </w:r>
            <w:r>
              <w:rPr>
                <w:rFonts w:hint="eastAsia" w:ascii="Times New Roman" w:hAnsi="Times New Roman" w:eastAsia="宋体" w:cs="Times New Roman"/>
                <w:b w:val="0"/>
                <w:bCs/>
                <w:color w:val="auto"/>
                <w:szCs w:val="32"/>
                <w:lang w:val="en-US" w:eastAsia="zh-CN"/>
              </w:rPr>
              <w:t>2</w:t>
            </w:r>
            <w:r>
              <w:rPr>
                <w:rFonts w:hint="default" w:ascii="Times New Roman" w:hAnsi="Times New Roman" w:eastAsia="宋体" w:cs="Times New Roman"/>
                <w:b w:val="0"/>
                <w:bCs/>
                <w:color w:val="auto"/>
                <w:szCs w:val="32"/>
                <w:lang w:val="zh-CN"/>
              </w:rPr>
              <w:t>和表4-</w:t>
            </w:r>
            <w:r>
              <w:rPr>
                <w:rFonts w:hint="default" w:ascii="Times New Roman" w:hAnsi="Times New Roman" w:eastAsia="宋体" w:cs="Times New Roman"/>
                <w:b w:val="0"/>
                <w:bCs/>
                <w:color w:val="auto"/>
                <w:szCs w:val="32"/>
                <w:lang w:val="en-US" w:eastAsia="zh-CN"/>
              </w:rPr>
              <w:t>1</w:t>
            </w:r>
            <w:r>
              <w:rPr>
                <w:rFonts w:hint="eastAsia" w:ascii="Times New Roman" w:hAnsi="Times New Roman" w:eastAsia="宋体" w:cs="Times New Roman"/>
                <w:b w:val="0"/>
                <w:bCs/>
                <w:color w:val="auto"/>
                <w:szCs w:val="32"/>
                <w:lang w:val="en-US" w:eastAsia="zh-CN"/>
              </w:rPr>
              <w:t>3</w:t>
            </w:r>
            <w:r>
              <w:rPr>
                <w:rFonts w:hint="default" w:ascii="Times New Roman" w:hAnsi="Times New Roman" w:eastAsia="宋体" w:cs="Times New Roman"/>
                <w:b w:val="0"/>
                <w:bCs/>
                <w:color w:val="auto"/>
                <w:szCs w:val="32"/>
                <w:lang w:val="zh-CN"/>
              </w:rPr>
              <w:t>。</w:t>
            </w:r>
          </w:p>
          <w:p w14:paraId="3F27A972">
            <w:pPr>
              <w:ind w:left="0" w:leftChars="0" w:firstLine="0" w:firstLineChars="0"/>
              <w:rPr>
                <w:rFonts w:hint="default" w:ascii="Times New Roman" w:hAnsi="Times New Roman" w:eastAsia="宋体" w:cs="Times New Roman"/>
                <w:color w:val="auto"/>
              </w:rPr>
            </w:pPr>
          </w:p>
        </w:tc>
      </w:tr>
    </w:tbl>
    <w:p w14:paraId="5AF11B18">
      <w:pPr>
        <w:adjustRightInd w:val="0"/>
        <w:snapToGrid w:val="0"/>
        <w:ind w:firstLine="562"/>
        <w:rPr>
          <w:b/>
          <w:color w:val="auto"/>
          <w:kern w:val="0"/>
          <w:sz w:val="28"/>
          <w:szCs w:val="28"/>
        </w:rPr>
        <w:sectPr>
          <w:pgSz w:w="11907" w:h="16840"/>
          <w:pgMar w:top="1587" w:right="1417" w:bottom="1587" w:left="1417" w:header="851" w:footer="851" w:gutter="0"/>
          <w:pgBorders>
            <w:top w:val="none" w:sz="0" w:space="0"/>
            <w:left w:val="none" w:sz="0" w:space="0"/>
            <w:bottom w:val="none" w:sz="0" w:space="0"/>
            <w:right w:val="none" w:sz="0" w:space="0"/>
          </w:pgBorders>
          <w:cols w:space="720" w:num="1"/>
          <w:docGrid w:linePitch="312" w:charSpace="0"/>
        </w:sect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
        <w:gridCol w:w="13658"/>
      </w:tblGrid>
      <w:tr w14:paraId="5567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dxa"/>
          </w:tcPr>
          <w:p w14:paraId="18DEB70A">
            <w:pPr>
              <w:rPr>
                <w:color w:val="auto"/>
                <w:vertAlign w:val="baseline"/>
              </w:rPr>
            </w:pPr>
            <w:bookmarkStart w:id="76" w:name="_Toc5498"/>
            <w:bookmarkStart w:id="77" w:name="_Toc18695"/>
          </w:p>
        </w:tc>
        <w:tc>
          <w:tcPr>
            <w:tcW w:w="13317" w:type="dxa"/>
          </w:tcPr>
          <w:p w14:paraId="3E47165C">
            <w:pPr>
              <w:pStyle w:val="59"/>
              <w:bidi w:val="0"/>
              <w:jc w:val="center"/>
              <w:rPr>
                <w:rFonts w:hint="default" w:ascii="Times New Roman" w:hAnsi="Times New Roman" w:cs="Times New Roman"/>
                <w:color w:val="000000"/>
                <w:sz w:val="21"/>
                <w:szCs w:val="22"/>
                <w:lang w:val="en-US" w:eastAsia="zh-CN"/>
              </w:rPr>
            </w:pPr>
            <w:r>
              <w:rPr>
                <w:rFonts w:hint="default" w:ascii="Times New Roman" w:hAnsi="Times New Roman" w:cs="Times New Roman"/>
                <w:color w:val="000000"/>
                <w:sz w:val="21"/>
                <w:szCs w:val="22"/>
                <w:lang w:val="en-US" w:eastAsia="zh-CN"/>
              </w:rPr>
              <w:t>表4-1</w:t>
            </w:r>
            <w:r>
              <w:rPr>
                <w:rFonts w:hint="eastAsia" w:cs="Times New Roman"/>
                <w:color w:val="000000"/>
                <w:sz w:val="21"/>
                <w:szCs w:val="22"/>
                <w:lang w:val="en-US" w:eastAsia="zh-CN"/>
              </w:rPr>
              <w:t>2</w:t>
            </w:r>
            <w:r>
              <w:rPr>
                <w:rFonts w:hint="default" w:ascii="Times New Roman" w:hAnsi="Times New Roman" w:cs="Times New Roman"/>
                <w:color w:val="000000"/>
                <w:sz w:val="21"/>
                <w:szCs w:val="22"/>
                <w:lang w:val="en-US" w:eastAsia="zh-CN"/>
              </w:rPr>
              <w:t>噪声源强调查表（室内声源）</w:t>
            </w:r>
          </w:p>
          <w:tbl>
            <w:tblPr>
              <w:tblStyle w:val="35"/>
              <w:tblW w:w="13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725"/>
              <w:gridCol w:w="1040"/>
              <w:gridCol w:w="806"/>
              <w:gridCol w:w="1063"/>
              <w:gridCol w:w="908"/>
              <w:gridCol w:w="1200"/>
              <w:gridCol w:w="542"/>
              <w:gridCol w:w="710"/>
              <w:gridCol w:w="1220"/>
              <w:gridCol w:w="1092"/>
              <w:gridCol w:w="778"/>
              <w:gridCol w:w="1132"/>
              <w:gridCol w:w="1075"/>
              <w:gridCol w:w="921"/>
            </w:tblGrid>
            <w:tr w14:paraId="4061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restart"/>
                  <w:tcBorders>
                    <w:tl2br w:val="nil"/>
                    <w:tr2bl w:val="nil"/>
                  </w:tcBorders>
                  <w:noWrap w:val="0"/>
                  <w:vAlign w:val="center"/>
                </w:tcPr>
                <w:p w14:paraId="03351FBB">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序号</w:t>
                  </w:r>
                </w:p>
              </w:tc>
              <w:tc>
                <w:tcPr>
                  <w:tcW w:w="725" w:type="dxa"/>
                  <w:vMerge w:val="restart"/>
                  <w:tcBorders>
                    <w:tl2br w:val="nil"/>
                    <w:tr2bl w:val="nil"/>
                  </w:tcBorders>
                  <w:noWrap w:val="0"/>
                  <w:vAlign w:val="center"/>
                </w:tcPr>
                <w:p w14:paraId="7A6052AF">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建筑物名称</w:t>
                  </w:r>
                </w:p>
              </w:tc>
              <w:tc>
                <w:tcPr>
                  <w:tcW w:w="1040" w:type="dxa"/>
                  <w:vMerge w:val="restart"/>
                  <w:tcBorders>
                    <w:tl2br w:val="nil"/>
                    <w:tr2bl w:val="nil"/>
                  </w:tcBorders>
                  <w:noWrap w:val="0"/>
                  <w:vAlign w:val="center"/>
                </w:tcPr>
                <w:p w14:paraId="5593466D">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声源名称</w:t>
                  </w:r>
                </w:p>
              </w:tc>
              <w:tc>
                <w:tcPr>
                  <w:tcW w:w="806" w:type="dxa"/>
                  <w:vMerge w:val="restart"/>
                  <w:tcBorders>
                    <w:tl2br w:val="nil"/>
                    <w:tr2bl w:val="nil"/>
                  </w:tcBorders>
                  <w:noWrap w:val="0"/>
                  <w:vAlign w:val="center"/>
                </w:tcPr>
                <w:p w14:paraId="2A981A94">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数量</w:t>
                  </w:r>
                </w:p>
              </w:tc>
              <w:tc>
                <w:tcPr>
                  <w:tcW w:w="1063" w:type="dxa"/>
                  <w:tcBorders>
                    <w:tl2br w:val="nil"/>
                    <w:tr2bl w:val="nil"/>
                  </w:tcBorders>
                  <w:noWrap w:val="0"/>
                  <w:vAlign w:val="center"/>
                </w:tcPr>
                <w:p w14:paraId="2DADDAB9">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声源源强</w:t>
                  </w:r>
                </w:p>
              </w:tc>
              <w:tc>
                <w:tcPr>
                  <w:tcW w:w="908" w:type="dxa"/>
                  <w:vMerge w:val="restart"/>
                  <w:tcBorders>
                    <w:tl2br w:val="nil"/>
                    <w:tr2bl w:val="nil"/>
                  </w:tcBorders>
                  <w:noWrap w:val="0"/>
                  <w:vAlign w:val="center"/>
                </w:tcPr>
                <w:p w14:paraId="7FD2632F">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声源控制措施</w:t>
                  </w:r>
                </w:p>
              </w:tc>
              <w:tc>
                <w:tcPr>
                  <w:tcW w:w="2452" w:type="dxa"/>
                  <w:gridSpan w:val="3"/>
                  <w:tcBorders>
                    <w:tl2br w:val="nil"/>
                    <w:tr2bl w:val="nil"/>
                  </w:tcBorders>
                  <w:noWrap w:val="0"/>
                  <w:vAlign w:val="center"/>
                </w:tcPr>
                <w:p w14:paraId="37659B47">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空间相对位置（m）</w:t>
                  </w:r>
                </w:p>
              </w:tc>
              <w:tc>
                <w:tcPr>
                  <w:tcW w:w="1220" w:type="dxa"/>
                  <w:vMerge w:val="restart"/>
                  <w:tcBorders>
                    <w:tl2br w:val="nil"/>
                    <w:tr2bl w:val="nil"/>
                  </w:tcBorders>
                  <w:noWrap w:val="0"/>
                  <w:vAlign w:val="center"/>
                </w:tcPr>
                <w:p w14:paraId="7BD236F8">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距室内边界距离（m）</w:t>
                  </w:r>
                </w:p>
              </w:tc>
              <w:tc>
                <w:tcPr>
                  <w:tcW w:w="1092" w:type="dxa"/>
                  <w:vMerge w:val="restart"/>
                  <w:tcBorders>
                    <w:tl2br w:val="nil"/>
                    <w:tr2bl w:val="nil"/>
                  </w:tcBorders>
                  <w:noWrap w:val="0"/>
                  <w:vAlign w:val="center"/>
                </w:tcPr>
                <w:p w14:paraId="3D074D70">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室内边界声级/dB（A）</w:t>
                  </w:r>
                </w:p>
              </w:tc>
              <w:tc>
                <w:tcPr>
                  <w:tcW w:w="778" w:type="dxa"/>
                  <w:vMerge w:val="restart"/>
                  <w:tcBorders>
                    <w:tl2br w:val="nil"/>
                    <w:tr2bl w:val="nil"/>
                  </w:tcBorders>
                  <w:noWrap w:val="0"/>
                  <w:vAlign w:val="center"/>
                </w:tcPr>
                <w:p w14:paraId="6AFC87C0">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运行时段</w:t>
                  </w:r>
                </w:p>
              </w:tc>
              <w:tc>
                <w:tcPr>
                  <w:tcW w:w="1132" w:type="dxa"/>
                  <w:vMerge w:val="restart"/>
                  <w:tcBorders>
                    <w:tl2br w:val="nil"/>
                    <w:tr2bl w:val="nil"/>
                  </w:tcBorders>
                  <w:noWrap w:val="0"/>
                  <w:vAlign w:val="center"/>
                </w:tcPr>
                <w:p w14:paraId="4DEB16F6">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建筑物插入损失/dB（A）</w:t>
                  </w:r>
                </w:p>
              </w:tc>
              <w:tc>
                <w:tcPr>
                  <w:tcW w:w="1996" w:type="dxa"/>
                  <w:gridSpan w:val="2"/>
                  <w:tcBorders>
                    <w:tl2br w:val="nil"/>
                    <w:tr2bl w:val="nil"/>
                  </w:tcBorders>
                  <w:noWrap w:val="0"/>
                  <w:vAlign w:val="center"/>
                </w:tcPr>
                <w:p w14:paraId="2215D750">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建筑物外噪声</w:t>
                  </w:r>
                </w:p>
              </w:tc>
            </w:tr>
            <w:tr w14:paraId="6590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tcBorders>
                    <w:tl2br w:val="nil"/>
                    <w:tr2bl w:val="nil"/>
                  </w:tcBorders>
                  <w:noWrap w:val="0"/>
                  <w:vAlign w:val="center"/>
                </w:tcPr>
                <w:p w14:paraId="3E769942">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725" w:type="dxa"/>
                  <w:vMerge w:val="continue"/>
                  <w:tcBorders>
                    <w:tl2br w:val="nil"/>
                    <w:tr2bl w:val="nil"/>
                  </w:tcBorders>
                  <w:noWrap w:val="0"/>
                  <w:vAlign w:val="center"/>
                </w:tcPr>
                <w:p w14:paraId="2AE78C67">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vMerge w:val="continue"/>
                  <w:tcBorders>
                    <w:tl2br w:val="nil"/>
                    <w:tr2bl w:val="nil"/>
                  </w:tcBorders>
                  <w:noWrap w:val="0"/>
                  <w:vAlign w:val="center"/>
                </w:tcPr>
                <w:p w14:paraId="2099CB53">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806" w:type="dxa"/>
                  <w:vMerge w:val="continue"/>
                  <w:tcBorders>
                    <w:tl2br w:val="nil"/>
                    <w:tr2bl w:val="nil"/>
                  </w:tcBorders>
                  <w:noWrap w:val="0"/>
                  <w:vAlign w:val="center"/>
                </w:tcPr>
                <w:p w14:paraId="13A83421">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63" w:type="dxa"/>
                  <w:tcBorders>
                    <w:tl2br w:val="nil"/>
                    <w:tr2bl w:val="nil"/>
                  </w:tcBorders>
                  <w:noWrap w:val="0"/>
                  <w:vAlign w:val="center"/>
                </w:tcPr>
                <w:p w14:paraId="3D7734B5">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声功率级/dB（A）</w:t>
                  </w:r>
                </w:p>
              </w:tc>
              <w:tc>
                <w:tcPr>
                  <w:tcW w:w="908" w:type="dxa"/>
                  <w:vMerge w:val="continue"/>
                  <w:tcBorders>
                    <w:tl2br w:val="nil"/>
                    <w:tr2bl w:val="nil"/>
                  </w:tcBorders>
                  <w:noWrap w:val="0"/>
                  <w:vAlign w:val="center"/>
                </w:tcPr>
                <w:p w14:paraId="4F31B51D">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200" w:type="dxa"/>
                  <w:tcBorders>
                    <w:tl2br w:val="nil"/>
                    <w:tr2bl w:val="nil"/>
                  </w:tcBorders>
                  <w:noWrap w:val="0"/>
                  <w:vAlign w:val="center"/>
                </w:tcPr>
                <w:p w14:paraId="37897F5F">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X</w:t>
                  </w:r>
                </w:p>
              </w:tc>
              <w:tc>
                <w:tcPr>
                  <w:tcW w:w="542" w:type="dxa"/>
                  <w:tcBorders>
                    <w:tl2br w:val="nil"/>
                    <w:tr2bl w:val="nil"/>
                  </w:tcBorders>
                  <w:noWrap w:val="0"/>
                  <w:vAlign w:val="center"/>
                </w:tcPr>
                <w:p w14:paraId="617BFDF2">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w:t>
                  </w:r>
                </w:p>
              </w:tc>
              <w:tc>
                <w:tcPr>
                  <w:tcW w:w="710" w:type="dxa"/>
                  <w:tcBorders>
                    <w:tl2br w:val="nil"/>
                    <w:tr2bl w:val="nil"/>
                  </w:tcBorders>
                  <w:noWrap w:val="0"/>
                  <w:vAlign w:val="center"/>
                </w:tcPr>
                <w:p w14:paraId="1161F250">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Z</w:t>
                  </w:r>
                </w:p>
              </w:tc>
              <w:tc>
                <w:tcPr>
                  <w:tcW w:w="1220" w:type="dxa"/>
                  <w:vMerge w:val="continue"/>
                  <w:tcBorders>
                    <w:tl2br w:val="nil"/>
                    <w:tr2bl w:val="nil"/>
                  </w:tcBorders>
                  <w:noWrap w:val="0"/>
                  <w:vAlign w:val="center"/>
                </w:tcPr>
                <w:p w14:paraId="066FFE42">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92" w:type="dxa"/>
                  <w:vMerge w:val="continue"/>
                  <w:tcBorders>
                    <w:tl2br w:val="nil"/>
                    <w:tr2bl w:val="nil"/>
                  </w:tcBorders>
                  <w:noWrap w:val="0"/>
                  <w:vAlign w:val="center"/>
                </w:tcPr>
                <w:p w14:paraId="4E52E2DC">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778" w:type="dxa"/>
                  <w:vMerge w:val="continue"/>
                  <w:tcBorders>
                    <w:tl2br w:val="nil"/>
                    <w:tr2bl w:val="nil"/>
                  </w:tcBorders>
                  <w:noWrap w:val="0"/>
                  <w:vAlign w:val="center"/>
                </w:tcPr>
                <w:p w14:paraId="4185FB31">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vMerge w:val="continue"/>
                  <w:tcBorders>
                    <w:tl2br w:val="nil"/>
                    <w:tr2bl w:val="nil"/>
                  </w:tcBorders>
                  <w:noWrap w:val="0"/>
                  <w:vAlign w:val="center"/>
                </w:tcPr>
                <w:p w14:paraId="5E8E2EE5">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75" w:type="dxa"/>
                  <w:tcBorders>
                    <w:tl2br w:val="nil"/>
                    <w:tr2bl w:val="nil"/>
                  </w:tcBorders>
                  <w:noWrap w:val="0"/>
                  <w:vAlign w:val="center"/>
                </w:tcPr>
                <w:p w14:paraId="4B1D74AD">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建筑物外距离（m）</w:t>
                  </w:r>
                </w:p>
              </w:tc>
              <w:tc>
                <w:tcPr>
                  <w:tcW w:w="921" w:type="dxa"/>
                  <w:tcBorders>
                    <w:tl2br w:val="nil"/>
                    <w:tr2bl w:val="nil"/>
                  </w:tcBorders>
                  <w:noWrap w:val="0"/>
                  <w:vAlign w:val="center"/>
                </w:tcPr>
                <w:p w14:paraId="5FE9440E">
                  <w:pPr>
                    <w:pStyle w:val="59"/>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声压级/dB（A）</w:t>
                  </w:r>
                </w:p>
              </w:tc>
            </w:tr>
            <w:tr w14:paraId="3F12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40" w:type="dxa"/>
                  <w:tcBorders>
                    <w:tl2br w:val="nil"/>
                    <w:tr2bl w:val="nil"/>
                  </w:tcBorders>
                  <w:noWrap w:val="0"/>
                  <w:vAlign w:val="center"/>
                </w:tcPr>
                <w:p w14:paraId="3A4D5D4F">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1</w:t>
                  </w:r>
                </w:p>
              </w:tc>
              <w:tc>
                <w:tcPr>
                  <w:tcW w:w="725" w:type="dxa"/>
                  <w:vMerge w:val="restart"/>
                  <w:tcBorders>
                    <w:tl2br w:val="nil"/>
                    <w:tr2bl w:val="nil"/>
                  </w:tcBorders>
                  <w:noWrap w:val="0"/>
                  <w:vAlign w:val="center"/>
                </w:tcPr>
                <w:p w14:paraId="5F821FAD">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eastAsia="宋体" w:cs="Times New Roman"/>
                      <w:color w:val="000000"/>
                      <w:sz w:val="21"/>
                      <w:szCs w:val="21"/>
                      <w:lang w:val="en-US" w:eastAsia="zh-CN"/>
                    </w:rPr>
                    <w:t>骨料</w:t>
                  </w:r>
                  <w:r>
                    <w:rPr>
                      <w:rFonts w:hint="eastAsia" w:ascii="Times New Roman" w:hAnsi="Times New Roman" w:cs="Times New Roman"/>
                      <w:color w:val="000000"/>
                      <w:sz w:val="21"/>
                      <w:szCs w:val="21"/>
                      <w:lang w:val="en-US" w:eastAsia="zh-CN"/>
                    </w:rPr>
                    <w:t>生产线</w:t>
                  </w:r>
                </w:p>
              </w:tc>
              <w:tc>
                <w:tcPr>
                  <w:tcW w:w="1040" w:type="dxa"/>
                  <w:tcBorders>
                    <w:tl2br w:val="nil"/>
                    <w:tr2bl w:val="nil"/>
                  </w:tcBorders>
                  <w:noWrap w:val="0"/>
                  <w:vAlign w:val="center"/>
                </w:tcPr>
                <w:p w14:paraId="5A5695A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eastAsia="宋体" w:cs="Times New Roman"/>
                      <w:color w:val="auto"/>
                      <w:sz w:val="21"/>
                      <w:szCs w:val="21"/>
                      <w:lang w:val="en-US" w:eastAsia="zh-CN"/>
                    </w:rPr>
                    <w:t>振动给料机</w:t>
                  </w:r>
                </w:p>
              </w:tc>
              <w:tc>
                <w:tcPr>
                  <w:tcW w:w="806" w:type="dxa"/>
                  <w:tcBorders>
                    <w:tl2br w:val="nil"/>
                    <w:tr2bl w:val="nil"/>
                  </w:tcBorders>
                  <w:noWrap w:val="0"/>
                  <w:vAlign w:val="center"/>
                </w:tcPr>
                <w:p w14:paraId="0B5A5E51">
                  <w:pPr>
                    <w:keepNext w:val="0"/>
                    <w:keepLines w:val="0"/>
                    <w:pageBreakBefore w:val="0"/>
                    <w:widowControl w:val="0"/>
                    <w:kinsoku/>
                    <w:wordWrap/>
                    <w:overflowPunct/>
                    <w:topLinePunct w:val="0"/>
                    <w:autoSpaceDE/>
                    <w:autoSpaceDN/>
                    <w:bidi w:val="0"/>
                    <w:adjustRightInd/>
                    <w:snapToGrid/>
                    <w:spacing w:line="188" w:lineRule="auto"/>
                    <w:ind w:left="0" w:leftChars="0"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spacing w:val="-15"/>
                      <w:sz w:val="21"/>
                      <w:szCs w:val="21"/>
                      <w:lang w:val="en-US" w:eastAsia="zh-CN"/>
                    </w:rPr>
                    <w:t>1</w:t>
                  </w:r>
                </w:p>
              </w:tc>
              <w:tc>
                <w:tcPr>
                  <w:tcW w:w="1063" w:type="dxa"/>
                  <w:tcBorders>
                    <w:tl2br w:val="nil"/>
                    <w:tr2bl w:val="nil"/>
                  </w:tcBorders>
                  <w:noWrap w:val="0"/>
                  <w:vAlign w:val="center"/>
                </w:tcPr>
                <w:p w14:paraId="1716B6E1">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color w:val="000000"/>
                      <w:kern w:val="2"/>
                      <w:sz w:val="21"/>
                      <w:szCs w:val="21"/>
                      <w:lang w:val="en-US" w:eastAsia="zh-CN" w:bidi="ar-SA"/>
                    </w:rPr>
                  </w:pPr>
                  <w:r>
                    <w:rPr>
                      <w:rFonts w:hint="eastAsia" w:ascii="Times New Roman" w:hAnsi="Times New Roman" w:eastAsia="宋体" w:cs="Times New Roman"/>
                      <w:color w:val="000000"/>
                      <w:sz w:val="21"/>
                      <w:szCs w:val="21"/>
                      <w:lang w:val="en-US" w:eastAsia="zh-CN"/>
                    </w:rPr>
                    <w:t>85</w:t>
                  </w:r>
                </w:p>
              </w:tc>
              <w:tc>
                <w:tcPr>
                  <w:tcW w:w="908" w:type="dxa"/>
                  <w:vMerge w:val="restart"/>
                  <w:tcBorders>
                    <w:tl2br w:val="nil"/>
                    <w:tr2bl w:val="nil"/>
                  </w:tcBorders>
                  <w:noWrap w:val="0"/>
                  <w:vAlign w:val="center"/>
                </w:tcPr>
                <w:p w14:paraId="5CC2D57E">
                  <w:pPr>
                    <w:keepNext w:val="0"/>
                    <w:keepLines w:val="0"/>
                    <w:pageBreakBefore w:val="0"/>
                    <w:widowControl/>
                    <w:suppressLineNumbers w:val="0"/>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选用低噪声设备、设置减振基础、厂房隔声</w:t>
                  </w:r>
                </w:p>
                <w:p w14:paraId="5800E0B1">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5E61158A">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45</w:t>
                  </w:r>
                </w:p>
              </w:tc>
              <w:tc>
                <w:tcPr>
                  <w:tcW w:w="542" w:type="dxa"/>
                  <w:tcBorders>
                    <w:tl2br w:val="nil"/>
                    <w:tr2bl w:val="nil"/>
                  </w:tcBorders>
                  <w:noWrap w:val="0"/>
                  <w:vAlign w:val="center"/>
                </w:tcPr>
                <w:p w14:paraId="7914DF86">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color w:val="000000"/>
                      <w:kern w:val="2"/>
                      <w:sz w:val="21"/>
                      <w:szCs w:val="21"/>
                      <w:lang w:val="en-US" w:eastAsia="zh-CN" w:bidi="ar-SA"/>
                    </w:rPr>
                  </w:pPr>
                  <w:r>
                    <w:rPr>
                      <w:rFonts w:hint="eastAsia" w:ascii="Times New Roman" w:hAnsi="Times New Roman" w:eastAsia="宋体" w:cs="Times New Roman"/>
                      <w:color w:val="000000"/>
                      <w:sz w:val="21"/>
                      <w:szCs w:val="21"/>
                      <w:lang w:val="en-US" w:eastAsia="zh-CN"/>
                    </w:rPr>
                    <w:t>42</w:t>
                  </w:r>
                </w:p>
              </w:tc>
              <w:tc>
                <w:tcPr>
                  <w:tcW w:w="710" w:type="dxa"/>
                  <w:tcBorders>
                    <w:tl2br w:val="nil"/>
                    <w:tr2bl w:val="nil"/>
                  </w:tcBorders>
                  <w:noWrap w:val="0"/>
                  <w:vAlign w:val="center"/>
                </w:tcPr>
                <w:p w14:paraId="235C7EF0">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val="0"/>
                      <w:color w:val="000000"/>
                      <w:kern w:val="2"/>
                      <w:sz w:val="21"/>
                      <w:szCs w:val="21"/>
                      <w:lang w:val="en-US" w:eastAsia="zh-CN" w:bidi="ar-SA"/>
                    </w:rPr>
                  </w:pPr>
                  <w:r>
                    <w:rPr>
                      <w:rFonts w:hint="default" w:ascii="Times New Roman" w:hAnsi="Times New Roman" w:eastAsia="宋体" w:cs="Times New Roman"/>
                      <w:b w:val="0"/>
                      <w:color w:val="000000"/>
                      <w:kern w:val="2"/>
                      <w:sz w:val="21"/>
                      <w:szCs w:val="21"/>
                      <w:lang w:val="en-US" w:eastAsia="zh-CN" w:bidi="ar-SA"/>
                    </w:rPr>
                    <w:t>1.0</w:t>
                  </w:r>
                </w:p>
              </w:tc>
              <w:tc>
                <w:tcPr>
                  <w:tcW w:w="1220" w:type="dxa"/>
                  <w:tcBorders>
                    <w:tl2br w:val="nil"/>
                    <w:tr2bl w:val="nil"/>
                  </w:tcBorders>
                  <w:noWrap w:val="0"/>
                  <w:vAlign w:val="center"/>
                </w:tcPr>
                <w:p w14:paraId="0B6A25CC">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12</w:t>
                  </w:r>
                </w:p>
              </w:tc>
              <w:tc>
                <w:tcPr>
                  <w:tcW w:w="1092" w:type="dxa"/>
                  <w:tcBorders>
                    <w:tl2br w:val="nil"/>
                    <w:tr2bl w:val="nil"/>
                  </w:tcBorders>
                  <w:noWrap w:val="0"/>
                  <w:vAlign w:val="center"/>
                </w:tcPr>
                <w:p w14:paraId="330FDF69">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63.41</w:t>
                  </w:r>
                </w:p>
              </w:tc>
              <w:tc>
                <w:tcPr>
                  <w:tcW w:w="778" w:type="dxa"/>
                  <w:vMerge w:val="restart"/>
                  <w:tcBorders>
                    <w:tl2br w:val="nil"/>
                    <w:tr2bl w:val="nil"/>
                  </w:tcBorders>
                  <w:noWrap w:val="0"/>
                  <w:vAlign w:val="center"/>
                </w:tcPr>
                <w:p w14:paraId="7C110204">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lang w:val="en-US" w:eastAsia="zh-CN"/>
                    </w:rPr>
                    <w:t>6:00-22:00</w:t>
                  </w:r>
                </w:p>
              </w:tc>
              <w:tc>
                <w:tcPr>
                  <w:tcW w:w="1132" w:type="dxa"/>
                  <w:tcBorders>
                    <w:tl2br w:val="nil"/>
                    <w:tr2bl w:val="nil"/>
                  </w:tcBorders>
                  <w:noWrap w:val="0"/>
                  <w:vAlign w:val="center"/>
                </w:tcPr>
                <w:p w14:paraId="0D2ADED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26F31AE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436DF18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48.41 </w:t>
                  </w:r>
                </w:p>
              </w:tc>
            </w:tr>
            <w:tr w14:paraId="7ECC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5CCF971B">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2</w:t>
                  </w:r>
                </w:p>
              </w:tc>
              <w:tc>
                <w:tcPr>
                  <w:tcW w:w="725" w:type="dxa"/>
                  <w:vMerge w:val="continue"/>
                  <w:tcBorders>
                    <w:tl2br w:val="nil"/>
                    <w:tr2bl w:val="nil"/>
                  </w:tcBorders>
                  <w:noWrap w:val="0"/>
                  <w:vAlign w:val="center"/>
                </w:tcPr>
                <w:p w14:paraId="1125A822">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10964AEF">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反击式破碎机</w:t>
                  </w:r>
                </w:p>
              </w:tc>
              <w:tc>
                <w:tcPr>
                  <w:tcW w:w="806" w:type="dxa"/>
                  <w:tcBorders>
                    <w:tl2br w:val="nil"/>
                    <w:tr2bl w:val="nil"/>
                  </w:tcBorders>
                  <w:noWrap w:val="0"/>
                  <w:vAlign w:val="center"/>
                </w:tcPr>
                <w:p w14:paraId="01C24093">
                  <w:pPr>
                    <w:keepNext w:val="0"/>
                    <w:keepLines w:val="0"/>
                    <w:pageBreakBefore w:val="0"/>
                    <w:widowControl w:val="0"/>
                    <w:kinsoku/>
                    <w:wordWrap/>
                    <w:overflowPunct/>
                    <w:topLinePunct w:val="0"/>
                    <w:autoSpaceDE/>
                    <w:autoSpaceDN/>
                    <w:bidi w:val="0"/>
                    <w:adjustRightInd/>
                    <w:snapToGrid/>
                    <w:spacing w:line="188" w:lineRule="auto"/>
                    <w:ind w:left="0" w:leftChars="0" w:firstLine="0" w:firstLineChars="0"/>
                    <w:jc w:val="center"/>
                    <w:textAlignment w:val="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sz w:val="21"/>
                      <w:szCs w:val="21"/>
                      <w:lang w:val="en-US" w:eastAsia="zh-CN"/>
                    </w:rPr>
                    <w:t>1</w:t>
                  </w:r>
                </w:p>
              </w:tc>
              <w:tc>
                <w:tcPr>
                  <w:tcW w:w="1063" w:type="dxa"/>
                  <w:tcBorders>
                    <w:tl2br w:val="nil"/>
                    <w:tr2bl w:val="nil"/>
                  </w:tcBorders>
                  <w:noWrap w:val="0"/>
                  <w:vAlign w:val="center"/>
                </w:tcPr>
                <w:p w14:paraId="529DDEFA">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100</w:t>
                  </w:r>
                </w:p>
              </w:tc>
              <w:tc>
                <w:tcPr>
                  <w:tcW w:w="908" w:type="dxa"/>
                  <w:vMerge w:val="continue"/>
                  <w:tcBorders>
                    <w:tl2br w:val="nil"/>
                    <w:tr2bl w:val="nil"/>
                  </w:tcBorders>
                  <w:noWrap w:val="0"/>
                  <w:vAlign w:val="center"/>
                </w:tcPr>
                <w:p w14:paraId="55546282">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67159679">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38</w:t>
                  </w:r>
                </w:p>
              </w:tc>
              <w:tc>
                <w:tcPr>
                  <w:tcW w:w="542" w:type="dxa"/>
                  <w:tcBorders>
                    <w:tl2br w:val="nil"/>
                    <w:tr2bl w:val="nil"/>
                  </w:tcBorders>
                  <w:noWrap w:val="0"/>
                  <w:vAlign w:val="center"/>
                </w:tcPr>
                <w:p w14:paraId="22F86EBC">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41</w:t>
                  </w:r>
                </w:p>
              </w:tc>
              <w:tc>
                <w:tcPr>
                  <w:tcW w:w="710" w:type="dxa"/>
                  <w:tcBorders>
                    <w:tl2br w:val="nil"/>
                    <w:tr2bl w:val="nil"/>
                  </w:tcBorders>
                  <w:noWrap w:val="0"/>
                  <w:vAlign w:val="center"/>
                </w:tcPr>
                <w:p w14:paraId="1515E408">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1.0</w:t>
                  </w:r>
                </w:p>
              </w:tc>
              <w:tc>
                <w:tcPr>
                  <w:tcW w:w="1220" w:type="dxa"/>
                  <w:tcBorders>
                    <w:tl2br w:val="nil"/>
                    <w:tr2bl w:val="nil"/>
                  </w:tcBorders>
                  <w:noWrap w:val="0"/>
                  <w:vAlign w:val="center"/>
                </w:tcPr>
                <w:p w14:paraId="5E502EAA">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25</w:t>
                  </w:r>
                </w:p>
              </w:tc>
              <w:tc>
                <w:tcPr>
                  <w:tcW w:w="1092" w:type="dxa"/>
                  <w:tcBorders>
                    <w:tl2br w:val="nil"/>
                    <w:tr2bl w:val="nil"/>
                  </w:tcBorders>
                  <w:noWrap w:val="0"/>
                  <w:vAlign w:val="center"/>
                </w:tcPr>
                <w:p w14:paraId="5FF8FF90">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72.04</w:t>
                  </w:r>
                </w:p>
              </w:tc>
              <w:tc>
                <w:tcPr>
                  <w:tcW w:w="778" w:type="dxa"/>
                  <w:vMerge w:val="continue"/>
                  <w:tcBorders>
                    <w:tl2br w:val="nil"/>
                    <w:tr2bl w:val="nil"/>
                  </w:tcBorders>
                  <w:noWrap w:val="0"/>
                  <w:vAlign w:val="center"/>
                </w:tcPr>
                <w:p w14:paraId="3FD8D4DA">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37AFE65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1BD0BB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25DB2FE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57.04 </w:t>
                  </w:r>
                </w:p>
              </w:tc>
            </w:tr>
            <w:tr w14:paraId="6B0FB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40D5AA10">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3</w:t>
                  </w:r>
                </w:p>
              </w:tc>
              <w:tc>
                <w:tcPr>
                  <w:tcW w:w="725" w:type="dxa"/>
                  <w:vMerge w:val="continue"/>
                  <w:tcBorders>
                    <w:tl2br w:val="nil"/>
                    <w:tr2bl w:val="nil"/>
                  </w:tcBorders>
                  <w:noWrap w:val="0"/>
                  <w:vAlign w:val="center"/>
                </w:tcPr>
                <w:p w14:paraId="448D7022">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312BC62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振动筛</w:t>
                  </w:r>
                </w:p>
              </w:tc>
              <w:tc>
                <w:tcPr>
                  <w:tcW w:w="806" w:type="dxa"/>
                  <w:tcBorders>
                    <w:tl2br w:val="nil"/>
                    <w:tr2bl w:val="nil"/>
                  </w:tcBorders>
                  <w:noWrap w:val="0"/>
                  <w:vAlign w:val="center"/>
                </w:tcPr>
                <w:p w14:paraId="1D463ADD">
                  <w:pPr>
                    <w:keepNext w:val="0"/>
                    <w:keepLines w:val="0"/>
                    <w:pageBreakBefore w:val="0"/>
                    <w:widowControl w:val="0"/>
                    <w:kinsoku/>
                    <w:wordWrap/>
                    <w:overflowPunct/>
                    <w:topLinePunct w:val="0"/>
                    <w:autoSpaceDE/>
                    <w:autoSpaceDN/>
                    <w:bidi w:val="0"/>
                    <w:adjustRightInd/>
                    <w:snapToGrid/>
                    <w:spacing w:line="188" w:lineRule="auto"/>
                    <w:ind w:left="0" w:leftChars="0"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kern w:val="2"/>
                      <w:sz w:val="21"/>
                      <w:szCs w:val="21"/>
                      <w:lang w:val="en-US" w:eastAsia="en-US" w:bidi="ar-SA"/>
                    </w:rPr>
                    <w:t>1</w:t>
                  </w:r>
                </w:p>
              </w:tc>
              <w:tc>
                <w:tcPr>
                  <w:tcW w:w="1063" w:type="dxa"/>
                  <w:tcBorders>
                    <w:tl2br w:val="nil"/>
                    <w:tr2bl w:val="nil"/>
                  </w:tcBorders>
                  <w:noWrap w:val="0"/>
                  <w:vAlign w:val="center"/>
                </w:tcPr>
                <w:p w14:paraId="40307D12">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100</w:t>
                  </w:r>
                </w:p>
              </w:tc>
              <w:tc>
                <w:tcPr>
                  <w:tcW w:w="908" w:type="dxa"/>
                  <w:vMerge w:val="continue"/>
                  <w:tcBorders>
                    <w:tl2br w:val="nil"/>
                    <w:tr2bl w:val="nil"/>
                  </w:tcBorders>
                  <w:noWrap w:val="0"/>
                  <w:vAlign w:val="center"/>
                </w:tcPr>
                <w:p w14:paraId="238AADEF">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3FEE459D">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35</w:t>
                  </w:r>
                </w:p>
              </w:tc>
              <w:tc>
                <w:tcPr>
                  <w:tcW w:w="542" w:type="dxa"/>
                  <w:tcBorders>
                    <w:tl2br w:val="nil"/>
                    <w:tr2bl w:val="nil"/>
                  </w:tcBorders>
                  <w:noWrap w:val="0"/>
                  <w:vAlign w:val="center"/>
                </w:tcPr>
                <w:p w14:paraId="34665D18">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38</w:t>
                  </w:r>
                </w:p>
              </w:tc>
              <w:tc>
                <w:tcPr>
                  <w:tcW w:w="710" w:type="dxa"/>
                  <w:tcBorders>
                    <w:tl2br w:val="nil"/>
                    <w:tr2bl w:val="nil"/>
                  </w:tcBorders>
                  <w:noWrap w:val="0"/>
                  <w:vAlign w:val="center"/>
                </w:tcPr>
                <w:p w14:paraId="03D76D28">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5645CB16">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21</w:t>
                  </w:r>
                </w:p>
              </w:tc>
              <w:tc>
                <w:tcPr>
                  <w:tcW w:w="1092" w:type="dxa"/>
                  <w:tcBorders>
                    <w:tl2br w:val="nil"/>
                    <w:tr2bl w:val="nil"/>
                  </w:tcBorders>
                  <w:noWrap w:val="0"/>
                  <w:vAlign w:val="center"/>
                </w:tcPr>
                <w:p w14:paraId="721EE7E3">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73.56</w:t>
                  </w:r>
                </w:p>
              </w:tc>
              <w:tc>
                <w:tcPr>
                  <w:tcW w:w="778" w:type="dxa"/>
                  <w:vMerge w:val="continue"/>
                  <w:tcBorders>
                    <w:tl2br w:val="nil"/>
                    <w:tr2bl w:val="nil"/>
                  </w:tcBorders>
                  <w:noWrap w:val="0"/>
                  <w:vAlign w:val="center"/>
                </w:tcPr>
                <w:p w14:paraId="1CC93CCD">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2DE2832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0C80891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7916297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58.56 </w:t>
                  </w:r>
                </w:p>
              </w:tc>
            </w:tr>
            <w:tr w14:paraId="32260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2480D32E">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4</w:t>
                  </w:r>
                </w:p>
              </w:tc>
              <w:tc>
                <w:tcPr>
                  <w:tcW w:w="725" w:type="dxa"/>
                  <w:vMerge w:val="continue"/>
                  <w:tcBorders>
                    <w:tl2br w:val="nil"/>
                    <w:tr2bl w:val="nil"/>
                  </w:tcBorders>
                  <w:noWrap w:val="0"/>
                  <w:vAlign w:val="center"/>
                </w:tcPr>
                <w:p w14:paraId="05812B6C">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1A4AFEC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除铁器</w:t>
                  </w:r>
                </w:p>
              </w:tc>
              <w:tc>
                <w:tcPr>
                  <w:tcW w:w="806" w:type="dxa"/>
                  <w:tcBorders>
                    <w:tl2br w:val="nil"/>
                    <w:tr2bl w:val="nil"/>
                  </w:tcBorders>
                  <w:noWrap w:val="0"/>
                  <w:vAlign w:val="center"/>
                </w:tcPr>
                <w:p w14:paraId="34BB214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63" w:type="dxa"/>
                  <w:tcBorders>
                    <w:tl2br w:val="nil"/>
                    <w:tr2bl w:val="nil"/>
                  </w:tcBorders>
                  <w:noWrap w:val="0"/>
                  <w:vAlign w:val="center"/>
                </w:tcPr>
                <w:p w14:paraId="3270D738">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80</w:t>
                  </w:r>
                </w:p>
              </w:tc>
              <w:tc>
                <w:tcPr>
                  <w:tcW w:w="908" w:type="dxa"/>
                  <w:vMerge w:val="continue"/>
                  <w:tcBorders>
                    <w:tl2br w:val="nil"/>
                    <w:tr2bl w:val="nil"/>
                  </w:tcBorders>
                  <w:noWrap w:val="0"/>
                  <w:vAlign w:val="center"/>
                </w:tcPr>
                <w:p w14:paraId="7B51DB6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52886391">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34</w:t>
                  </w:r>
                </w:p>
              </w:tc>
              <w:tc>
                <w:tcPr>
                  <w:tcW w:w="542" w:type="dxa"/>
                  <w:tcBorders>
                    <w:tl2br w:val="nil"/>
                    <w:tr2bl w:val="nil"/>
                  </w:tcBorders>
                  <w:noWrap w:val="0"/>
                  <w:vAlign w:val="center"/>
                </w:tcPr>
                <w:p w14:paraId="70171349">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32</w:t>
                  </w:r>
                </w:p>
              </w:tc>
              <w:tc>
                <w:tcPr>
                  <w:tcW w:w="710" w:type="dxa"/>
                  <w:tcBorders>
                    <w:tl2br w:val="nil"/>
                    <w:tr2bl w:val="nil"/>
                  </w:tcBorders>
                  <w:noWrap w:val="0"/>
                  <w:vAlign w:val="center"/>
                </w:tcPr>
                <w:p w14:paraId="1AC833D3">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2CC2F4E3">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13</w:t>
                  </w:r>
                </w:p>
              </w:tc>
              <w:tc>
                <w:tcPr>
                  <w:tcW w:w="1092" w:type="dxa"/>
                  <w:tcBorders>
                    <w:tl2br w:val="nil"/>
                    <w:tr2bl w:val="nil"/>
                  </w:tcBorders>
                  <w:noWrap w:val="0"/>
                  <w:vAlign w:val="center"/>
                </w:tcPr>
                <w:p w14:paraId="2014A968">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57.72</w:t>
                  </w:r>
                </w:p>
              </w:tc>
              <w:tc>
                <w:tcPr>
                  <w:tcW w:w="778" w:type="dxa"/>
                  <w:vMerge w:val="continue"/>
                  <w:tcBorders>
                    <w:tl2br w:val="nil"/>
                    <w:tr2bl w:val="nil"/>
                  </w:tcBorders>
                  <w:noWrap w:val="0"/>
                  <w:vAlign w:val="center"/>
                </w:tcPr>
                <w:p w14:paraId="7949C215">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110C2D6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1F29E5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175A4C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42.72 </w:t>
                  </w:r>
                </w:p>
              </w:tc>
            </w:tr>
            <w:tr w14:paraId="011E4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40" w:type="dxa"/>
                  <w:tcBorders>
                    <w:tl2br w:val="nil"/>
                    <w:tr2bl w:val="nil"/>
                  </w:tcBorders>
                  <w:noWrap w:val="0"/>
                  <w:vAlign w:val="center"/>
                </w:tcPr>
                <w:p w14:paraId="6582F039">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5</w:t>
                  </w:r>
                </w:p>
              </w:tc>
              <w:tc>
                <w:tcPr>
                  <w:tcW w:w="725" w:type="dxa"/>
                  <w:vMerge w:val="continue"/>
                  <w:tcBorders>
                    <w:tl2br w:val="nil"/>
                    <w:tr2bl w:val="nil"/>
                  </w:tcBorders>
                  <w:noWrap w:val="0"/>
                  <w:vAlign w:val="center"/>
                </w:tcPr>
                <w:p w14:paraId="10B84344">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66A44DD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除尘器</w:t>
                  </w:r>
                </w:p>
              </w:tc>
              <w:tc>
                <w:tcPr>
                  <w:tcW w:w="806" w:type="dxa"/>
                  <w:tcBorders>
                    <w:tl2br w:val="nil"/>
                    <w:tr2bl w:val="nil"/>
                  </w:tcBorders>
                  <w:noWrap w:val="0"/>
                  <w:vAlign w:val="center"/>
                </w:tcPr>
                <w:p w14:paraId="6C1DF47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63" w:type="dxa"/>
                  <w:tcBorders>
                    <w:tl2br w:val="nil"/>
                    <w:tr2bl w:val="nil"/>
                  </w:tcBorders>
                  <w:noWrap w:val="0"/>
                  <w:vAlign w:val="center"/>
                </w:tcPr>
                <w:p w14:paraId="6B5027E7">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85</w:t>
                  </w:r>
                </w:p>
              </w:tc>
              <w:tc>
                <w:tcPr>
                  <w:tcW w:w="908" w:type="dxa"/>
                  <w:vMerge w:val="continue"/>
                  <w:tcBorders>
                    <w:tl2br w:val="nil"/>
                    <w:tr2bl w:val="nil"/>
                  </w:tcBorders>
                  <w:noWrap w:val="0"/>
                  <w:vAlign w:val="center"/>
                </w:tcPr>
                <w:p w14:paraId="12219475">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68FFB285">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35</w:t>
                  </w:r>
                </w:p>
              </w:tc>
              <w:tc>
                <w:tcPr>
                  <w:tcW w:w="542" w:type="dxa"/>
                  <w:tcBorders>
                    <w:tl2br w:val="nil"/>
                    <w:tr2bl w:val="nil"/>
                  </w:tcBorders>
                  <w:noWrap w:val="0"/>
                  <w:vAlign w:val="center"/>
                </w:tcPr>
                <w:p w14:paraId="11C82064">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12</w:t>
                  </w:r>
                </w:p>
              </w:tc>
              <w:tc>
                <w:tcPr>
                  <w:tcW w:w="710" w:type="dxa"/>
                  <w:tcBorders>
                    <w:tl2br w:val="nil"/>
                    <w:tr2bl w:val="nil"/>
                  </w:tcBorders>
                  <w:noWrap w:val="0"/>
                  <w:vAlign w:val="center"/>
                </w:tcPr>
                <w:p w14:paraId="378BA6F1">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4D0B843C">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23</w:t>
                  </w:r>
                </w:p>
              </w:tc>
              <w:tc>
                <w:tcPr>
                  <w:tcW w:w="1092" w:type="dxa"/>
                  <w:tcBorders>
                    <w:tl2br w:val="nil"/>
                    <w:tr2bl w:val="nil"/>
                  </w:tcBorders>
                  <w:noWrap w:val="0"/>
                  <w:vAlign w:val="center"/>
                </w:tcPr>
                <w:p w14:paraId="2048342E">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57.77</w:t>
                  </w:r>
                </w:p>
              </w:tc>
              <w:tc>
                <w:tcPr>
                  <w:tcW w:w="778" w:type="dxa"/>
                  <w:vMerge w:val="continue"/>
                  <w:tcBorders>
                    <w:tl2br w:val="nil"/>
                    <w:tr2bl w:val="nil"/>
                  </w:tcBorders>
                  <w:noWrap w:val="0"/>
                  <w:vAlign w:val="center"/>
                </w:tcPr>
                <w:p w14:paraId="6032B5A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4A419B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5B24EE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096B4A8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42.77 </w:t>
                  </w:r>
                </w:p>
              </w:tc>
            </w:tr>
            <w:tr w14:paraId="555BE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2C5F331F">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6</w:t>
                  </w:r>
                </w:p>
              </w:tc>
              <w:tc>
                <w:tcPr>
                  <w:tcW w:w="725" w:type="dxa"/>
                  <w:vMerge w:val="continue"/>
                  <w:tcBorders>
                    <w:tl2br w:val="nil"/>
                    <w:tr2bl w:val="nil"/>
                  </w:tcBorders>
                  <w:noWrap w:val="0"/>
                  <w:vAlign w:val="center"/>
                </w:tcPr>
                <w:p w14:paraId="2697E739">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33EFF281">
                  <w:pPr>
                    <w:widowControl/>
                    <w:spacing w:line="240" w:lineRule="auto"/>
                    <w:ind w:firstLine="0" w:firstLineChars="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链板给料机</w:t>
                  </w:r>
                </w:p>
              </w:tc>
              <w:tc>
                <w:tcPr>
                  <w:tcW w:w="806" w:type="dxa"/>
                  <w:tcBorders>
                    <w:tl2br w:val="nil"/>
                    <w:tr2bl w:val="nil"/>
                  </w:tcBorders>
                  <w:noWrap w:val="0"/>
                  <w:vAlign w:val="center"/>
                </w:tcPr>
                <w:p w14:paraId="4090014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63" w:type="dxa"/>
                  <w:tcBorders>
                    <w:tl2br w:val="nil"/>
                    <w:tr2bl w:val="nil"/>
                  </w:tcBorders>
                  <w:noWrap w:val="0"/>
                  <w:vAlign w:val="center"/>
                </w:tcPr>
                <w:p w14:paraId="32403577">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80</w:t>
                  </w:r>
                </w:p>
              </w:tc>
              <w:tc>
                <w:tcPr>
                  <w:tcW w:w="908" w:type="dxa"/>
                  <w:vMerge w:val="continue"/>
                  <w:tcBorders>
                    <w:tl2br w:val="nil"/>
                    <w:tr2bl w:val="nil"/>
                  </w:tcBorders>
                  <w:noWrap w:val="0"/>
                  <w:vAlign w:val="center"/>
                </w:tcPr>
                <w:p w14:paraId="73549903">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6B2B2322">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24</w:t>
                  </w:r>
                </w:p>
              </w:tc>
              <w:tc>
                <w:tcPr>
                  <w:tcW w:w="542" w:type="dxa"/>
                  <w:tcBorders>
                    <w:tl2br w:val="nil"/>
                    <w:tr2bl w:val="nil"/>
                  </w:tcBorders>
                  <w:noWrap w:val="0"/>
                  <w:vAlign w:val="center"/>
                </w:tcPr>
                <w:p w14:paraId="482D9879">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35</w:t>
                  </w:r>
                </w:p>
              </w:tc>
              <w:tc>
                <w:tcPr>
                  <w:tcW w:w="710" w:type="dxa"/>
                  <w:tcBorders>
                    <w:tl2br w:val="nil"/>
                    <w:tr2bl w:val="nil"/>
                  </w:tcBorders>
                  <w:noWrap w:val="0"/>
                  <w:vAlign w:val="center"/>
                </w:tcPr>
                <w:p w14:paraId="614B33C4">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0839939F">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15</w:t>
                  </w:r>
                </w:p>
              </w:tc>
              <w:tc>
                <w:tcPr>
                  <w:tcW w:w="1092" w:type="dxa"/>
                  <w:tcBorders>
                    <w:tl2br w:val="nil"/>
                    <w:tr2bl w:val="nil"/>
                  </w:tcBorders>
                  <w:noWrap w:val="0"/>
                  <w:vAlign w:val="center"/>
                </w:tcPr>
                <w:p w14:paraId="0020D32F">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56.48</w:t>
                  </w:r>
                </w:p>
              </w:tc>
              <w:tc>
                <w:tcPr>
                  <w:tcW w:w="778" w:type="dxa"/>
                  <w:vMerge w:val="continue"/>
                  <w:tcBorders>
                    <w:tl2br w:val="nil"/>
                    <w:tr2bl w:val="nil"/>
                  </w:tcBorders>
                  <w:noWrap w:val="0"/>
                  <w:vAlign w:val="center"/>
                </w:tcPr>
                <w:p w14:paraId="51B7A231">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3946175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6BAC01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091ED35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41.48 </w:t>
                  </w:r>
                </w:p>
              </w:tc>
            </w:tr>
            <w:tr w14:paraId="2F280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40" w:type="dxa"/>
                  <w:tcBorders>
                    <w:tl2br w:val="nil"/>
                    <w:tr2bl w:val="nil"/>
                  </w:tcBorders>
                  <w:noWrap w:val="0"/>
                  <w:vAlign w:val="center"/>
                </w:tcPr>
                <w:p w14:paraId="3B435EB0">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7</w:t>
                  </w:r>
                </w:p>
              </w:tc>
              <w:tc>
                <w:tcPr>
                  <w:tcW w:w="725" w:type="dxa"/>
                  <w:vMerge w:val="continue"/>
                  <w:tcBorders>
                    <w:tl2br w:val="nil"/>
                    <w:tr2bl w:val="nil"/>
                  </w:tcBorders>
                  <w:noWrap w:val="0"/>
                  <w:vAlign w:val="center"/>
                </w:tcPr>
                <w:p w14:paraId="0AF3DA78">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181F7206">
                  <w:pPr>
                    <w:widowControl/>
                    <w:spacing w:line="240" w:lineRule="auto"/>
                    <w:ind w:firstLine="0" w:firstLineChars="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粗选筛</w:t>
                  </w:r>
                </w:p>
              </w:tc>
              <w:tc>
                <w:tcPr>
                  <w:tcW w:w="806" w:type="dxa"/>
                  <w:tcBorders>
                    <w:tl2br w:val="nil"/>
                    <w:tr2bl w:val="nil"/>
                  </w:tcBorders>
                  <w:noWrap w:val="0"/>
                  <w:vAlign w:val="center"/>
                </w:tcPr>
                <w:p w14:paraId="04C8EA1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63" w:type="dxa"/>
                  <w:tcBorders>
                    <w:tl2br w:val="nil"/>
                    <w:tr2bl w:val="nil"/>
                  </w:tcBorders>
                  <w:noWrap w:val="0"/>
                  <w:vAlign w:val="center"/>
                </w:tcPr>
                <w:p w14:paraId="64535F76">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85</w:t>
                  </w:r>
                </w:p>
              </w:tc>
              <w:tc>
                <w:tcPr>
                  <w:tcW w:w="908" w:type="dxa"/>
                  <w:vMerge w:val="continue"/>
                  <w:tcBorders>
                    <w:tl2br w:val="nil"/>
                    <w:tr2bl w:val="nil"/>
                  </w:tcBorders>
                  <w:noWrap w:val="0"/>
                  <w:vAlign w:val="center"/>
                </w:tcPr>
                <w:p w14:paraId="60C1481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5223921F">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17</w:t>
                  </w:r>
                </w:p>
              </w:tc>
              <w:tc>
                <w:tcPr>
                  <w:tcW w:w="542" w:type="dxa"/>
                  <w:tcBorders>
                    <w:tl2br w:val="nil"/>
                    <w:tr2bl w:val="nil"/>
                  </w:tcBorders>
                  <w:noWrap w:val="0"/>
                  <w:vAlign w:val="center"/>
                </w:tcPr>
                <w:p w14:paraId="6FBC4FA3">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32</w:t>
                  </w:r>
                </w:p>
              </w:tc>
              <w:tc>
                <w:tcPr>
                  <w:tcW w:w="710" w:type="dxa"/>
                  <w:tcBorders>
                    <w:tl2br w:val="nil"/>
                    <w:tr2bl w:val="nil"/>
                  </w:tcBorders>
                  <w:noWrap w:val="0"/>
                  <w:vAlign w:val="center"/>
                </w:tcPr>
                <w:p w14:paraId="049348F7">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1BF51C46">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21</w:t>
                  </w:r>
                </w:p>
              </w:tc>
              <w:tc>
                <w:tcPr>
                  <w:tcW w:w="1092" w:type="dxa"/>
                  <w:tcBorders>
                    <w:tl2br w:val="nil"/>
                    <w:tr2bl w:val="nil"/>
                  </w:tcBorders>
                  <w:noWrap w:val="0"/>
                  <w:vAlign w:val="center"/>
                </w:tcPr>
                <w:p w14:paraId="024E5071">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58.56</w:t>
                  </w:r>
                </w:p>
              </w:tc>
              <w:tc>
                <w:tcPr>
                  <w:tcW w:w="778" w:type="dxa"/>
                  <w:vMerge w:val="continue"/>
                  <w:tcBorders>
                    <w:tl2br w:val="nil"/>
                    <w:tr2bl w:val="nil"/>
                  </w:tcBorders>
                  <w:noWrap w:val="0"/>
                  <w:vAlign w:val="center"/>
                </w:tcPr>
                <w:p w14:paraId="58C8D2D0">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4DAE87C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02B726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6E05531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43.56 </w:t>
                  </w:r>
                </w:p>
              </w:tc>
            </w:tr>
            <w:tr w14:paraId="2842C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28134BF5">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8</w:t>
                  </w:r>
                </w:p>
              </w:tc>
              <w:tc>
                <w:tcPr>
                  <w:tcW w:w="725" w:type="dxa"/>
                  <w:vMerge w:val="continue"/>
                  <w:tcBorders>
                    <w:tl2br w:val="nil"/>
                    <w:tr2bl w:val="nil"/>
                  </w:tcBorders>
                  <w:noWrap w:val="0"/>
                  <w:vAlign w:val="center"/>
                </w:tcPr>
                <w:p w14:paraId="7BB3651A">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1671810E">
                  <w:pPr>
                    <w:widowControl/>
                    <w:spacing w:line="240" w:lineRule="auto"/>
                    <w:ind w:firstLine="0" w:firstLineChars="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滚筒筛</w:t>
                  </w:r>
                </w:p>
              </w:tc>
              <w:tc>
                <w:tcPr>
                  <w:tcW w:w="806" w:type="dxa"/>
                  <w:tcBorders>
                    <w:tl2br w:val="nil"/>
                    <w:tr2bl w:val="nil"/>
                  </w:tcBorders>
                  <w:noWrap w:val="0"/>
                  <w:vAlign w:val="center"/>
                </w:tcPr>
                <w:p w14:paraId="1A36E7A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63" w:type="dxa"/>
                  <w:tcBorders>
                    <w:tl2br w:val="nil"/>
                    <w:tr2bl w:val="nil"/>
                  </w:tcBorders>
                  <w:noWrap w:val="0"/>
                  <w:vAlign w:val="center"/>
                </w:tcPr>
                <w:p w14:paraId="73622C3E">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80</w:t>
                  </w:r>
                </w:p>
              </w:tc>
              <w:tc>
                <w:tcPr>
                  <w:tcW w:w="908" w:type="dxa"/>
                  <w:vMerge w:val="continue"/>
                  <w:tcBorders>
                    <w:tl2br w:val="nil"/>
                    <w:tr2bl w:val="nil"/>
                  </w:tcBorders>
                  <w:noWrap w:val="0"/>
                  <w:vAlign w:val="center"/>
                </w:tcPr>
                <w:p w14:paraId="7D6CFA29">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1B114D6C">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w:t>
                  </w:r>
                  <w:r>
                    <w:rPr>
                      <w:rFonts w:hint="eastAsia" w:ascii="Times New Roman" w:hAnsi="Times New Roman" w:eastAsia="宋体" w:cs="Times New Roman"/>
                      <w:color w:val="000000"/>
                      <w:sz w:val="21"/>
                      <w:szCs w:val="21"/>
                      <w:lang w:val="en-US" w:eastAsia="zh-CN"/>
                    </w:rPr>
                    <w:t>7</w:t>
                  </w:r>
                </w:p>
              </w:tc>
              <w:tc>
                <w:tcPr>
                  <w:tcW w:w="542" w:type="dxa"/>
                  <w:tcBorders>
                    <w:tl2br w:val="nil"/>
                    <w:tr2bl w:val="nil"/>
                  </w:tcBorders>
                  <w:noWrap w:val="0"/>
                  <w:vAlign w:val="center"/>
                </w:tcPr>
                <w:p w14:paraId="1F77A933">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3</w:t>
                  </w:r>
                  <w:r>
                    <w:rPr>
                      <w:rFonts w:hint="eastAsia" w:ascii="Times New Roman" w:hAnsi="Times New Roman" w:eastAsia="宋体" w:cs="Times New Roman"/>
                      <w:color w:val="000000"/>
                      <w:sz w:val="21"/>
                      <w:szCs w:val="21"/>
                      <w:lang w:val="en-US" w:eastAsia="zh-CN"/>
                    </w:rPr>
                    <w:t>0</w:t>
                  </w:r>
                </w:p>
              </w:tc>
              <w:tc>
                <w:tcPr>
                  <w:tcW w:w="710" w:type="dxa"/>
                  <w:tcBorders>
                    <w:tl2br w:val="nil"/>
                    <w:tr2bl w:val="nil"/>
                  </w:tcBorders>
                  <w:noWrap w:val="0"/>
                  <w:vAlign w:val="center"/>
                </w:tcPr>
                <w:p w14:paraId="119E0F9E">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3A8BC3CA">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13</w:t>
                  </w:r>
                </w:p>
              </w:tc>
              <w:tc>
                <w:tcPr>
                  <w:tcW w:w="1092" w:type="dxa"/>
                  <w:tcBorders>
                    <w:tl2br w:val="nil"/>
                    <w:tr2bl w:val="nil"/>
                  </w:tcBorders>
                  <w:noWrap w:val="0"/>
                  <w:vAlign w:val="center"/>
                </w:tcPr>
                <w:p w14:paraId="0BA9C272">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57.72</w:t>
                  </w:r>
                </w:p>
              </w:tc>
              <w:tc>
                <w:tcPr>
                  <w:tcW w:w="778" w:type="dxa"/>
                  <w:vMerge w:val="continue"/>
                  <w:tcBorders>
                    <w:tl2br w:val="nil"/>
                    <w:tr2bl w:val="nil"/>
                  </w:tcBorders>
                  <w:noWrap w:val="0"/>
                  <w:vAlign w:val="center"/>
                </w:tcPr>
                <w:p w14:paraId="348C999F">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238DC7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06FAD9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2EADB06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42.72 </w:t>
                  </w:r>
                </w:p>
              </w:tc>
            </w:tr>
            <w:tr w14:paraId="54E4E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26734D29">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9</w:t>
                  </w:r>
                </w:p>
              </w:tc>
              <w:tc>
                <w:tcPr>
                  <w:tcW w:w="725" w:type="dxa"/>
                  <w:vMerge w:val="continue"/>
                  <w:tcBorders>
                    <w:tl2br w:val="nil"/>
                    <w:tr2bl w:val="nil"/>
                  </w:tcBorders>
                  <w:noWrap w:val="0"/>
                  <w:vAlign w:val="center"/>
                </w:tcPr>
                <w:p w14:paraId="1A9FDF56">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06921ACB">
                  <w:pPr>
                    <w:widowControl/>
                    <w:spacing w:line="240" w:lineRule="auto"/>
                    <w:ind w:firstLine="0" w:firstLineChars="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风选机</w:t>
                  </w:r>
                </w:p>
              </w:tc>
              <w:tc>
                <w:tcPr>
                  <w:tcW w:w="806" w:type="dxa"/>
                  <w:tcBorders>
                    <w:tl2br w:val="nil"/>
                    <w:tr2bl w:val="nil"/>
                  </w:tcBorders>
                  <w:noWrap w:val="0"/>
                  <w:vAlign w:val="center"/>
                </w:tcPr>
                <w:p w14:paraId="63A21E7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63" w:type="dxa"/>
                  <w:tcBorders>
                    <w:tl2br w:val="nil"/>
                    <w:tr2bl w:val="nil"/>
                  </w:tcBorders>
                  <w:noWrap w:val="0"/>
                  <w:vAlign w:val="center"/>
                </w:tcPr>
                <w:p w14:paraId="39E540AC">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90</w:t>
                  </w:r>
                </w:p>
              </w:tc>
              <w:tc>
                <w:tcPr>
                  <w:tcW w:w="908" w:type="dxa"/>
                  <w:vMerge w:val="continue"/>
                  <w:tcBorders>
                    <w:tl2br w:val="nil"/>
                    <w:tr2bl w:val="nil"/>
                  </w:tcBorders>
                  <w:noWrap w:val="0"/>
                  <w:vAlign w:val="center"/>
                </w:tcPr>
                <w:p w14:paraId="1E4BB769">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4A23DCD6">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w:t>
                  </w:r>
                  <w:r>
                    <w:rPr>
                      <w:rFonts w:hint="eastAsia" w:ascii="Times New Roman" w:hAnsi="Times New Roman" w:eastAsia="宋体" w:cs="Times New Roman"/>
                      <w:color w:val="000000"/>
                      <w:sz w:val="21"/>
                      <w:szCs w:val="21"/>
                      <w:lang w:val="en-US" w:eastAsia="zh-CN"/>
                    </w:rPr>
                    <w:t>6</w:t>
                  </w:r>
                </w:p>
              </w:tc>
              <w:tc>
                <w:tcPr>
                  <w:tcW w:w="542" w:type="dxa"/>
                  <w:tcBorders>
                    <w:tl2br w:val="nil"/>
                    <w:tr2bl w:val="nil"/>
                  </w:tcBorders>
                  <w:noWrap w:val="0"/>
                  <w:vAlign w:val="center"/>
                </w:tcPr>
                <w:p w14:paraId="3DAAEFDB">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20</w:t>
                  </w:r>
                </w:p>
              </w:tc>
              <w:tc>
                <w:tcPr>
                  <w:tcW w:w="710" w:type="dxa"/>
                  <w:tcBorders>
                    <w:tl2br w:val="nil"/>
                    <w:tr2bl w:val="nil"/>
                  </w:tcBorders>
                  <w:noWrap w:val="0"/>
                  <w:vAlign w:val="center"/>
                </w:tcPr>
                <w:p w14:paraId="75CBA77A">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512B33C4">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11</w:t>
                  </w:r>
                </w:p>
              </w:tc>
              <w:tc>
                <w:tcPr>
                  <w:tcW w:w="1092" w:type="dxa"/>
                  <w:tcBorders>
                    <w:tl2br w:val="nil"/>
                    <w:tr2bl w:val="nil"/>
                  </w:tcBorders>
                  <w:noWrap w:val="0"/>
                  <w:vAlign w:val="center"/>
                </w:tcPr>
                <w:p w14:paraId="1144D03D">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69.17</w:t>
                  </w:r>
                </w:p>
              </w:tc>
              <w:tc>
                <w:tcPr>
                  <w:tcW w:w="778" w:type="dxa"/>
                  <w:vMerge w:val="continue"/>
                  <w:tcBorders>
                    <w:tl2br w:val="nil"/>
                    <w:tr2bl w:val="nil"/>
                  </w:tcBorders>
                  <w:noWrap w:val="0"/>
                  <w:vAlign w:val="center"/>
                </w:tcPr>
                <w:p w14:paraId="6150497A">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5C58704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1B9050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0B3DBAA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54.17 </w:t>
                  </w:r>
                </w:p>
              </w:tc>
            </w:tr>
            <w:tr w14:paraId="5B2F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3F182F65">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10</w:t>
                  </w:r>
                </w:p>
              </w:tc>
              <w:tc>
                <w:tcPr>
                  <w:tcW w:w="725" w:type="dxa"/>
                  <w:vMerge w:val="continue"/>
                  <w:tcBorders>
                    <w:tl2br w:val="nil"/>
                    <w:tr2bl w:val="nil"/>
                  </w:tcBorders>
                  <w:noWrap w:val="0"/>
                  <w:vAlign w:val="center"/>
                </w:tcPr>
                <w:p w14:paraId="628F4040">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104DF31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eastAsia" w:ascii="Times New Roman" w:hAnsi="Times New Roman" w:eastAsia="宋体" w:cs="Times New Roman"/>
                      <w:color w:val="auto"/>
                      <w:sz w:val="21"/>
                      <w:szCs w:val="21"/>
                      <w:lang w:val="en-US" w:eastAsia="zh-CN"/>
                    </w:rPr>
                    <w:t>除铁器</w:t>
                  </w:r>
                </w:p>
              </w:tc>
              <w:tc>
                <w:tcPr>
                  <w:tcW w:w="806" w:type="dxa"/>
                  <w:tcBorders>
                    <w:tl2br w:val="nil"/>
                    <w:tr2bl w:val="nil"/>
                  </w:tcBorders>
                  <w:noWrap w:val="0"/>
                  <w:vAlign w:val="center"/>
                </w:tcPr>
                <w:p w14:paraId="49F184C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63" w:type="dxa"/>
                  <w:tcBorders>
                    <w:tl2br w:val="nil"/>
                    <w:tr2bl w:val="nil"/>
                  </w:tcBorders>
                  <w:noWrap w:val="0"/>
                  <w:vAlign w:val="center"/>
                </w:tcPr>
                <w:p w14:paraId="421D941E">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80</w:t>
                  </w:r>
                </w:p>
              </w:tc>
              <w:tc>
                <w:tcPr>
                  <w:tcW w:w="908" w:type="dxa"/>
                  <w:vMerge w:val="continue"/>
                  <w:tcBorders>
                    <w:tl2br w:val="nil"/>
                    <w:tr2bl w:val="nil"/>
                  </w:tcBorders>
                  <w:noWrap w:val="0"/>
                  <w:vAlign w:val="center"/>
                </w:tcPr>
                <w:p w14:paraId="7F9CC560">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14A5A8F0">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3</w:t>
                  </w:r>
                </w:p>
              </w:tc>
              <w:tc>
                <w:tcPr>
                  <w:tcW w:w="542" w:type="dxa"/>
                  <w:tcBorders>
                    <w:tl2br w:val="nil"/>
                    <w:tr2bl w:val="nil"/>
                  </w:tcBorders>
                  <w:noWrap w:val="0"/>
                  <w:vAlign w:val="center"/>
                </w:tcPr>
                <w:p w14:paraId="157DAB88">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12</w:t>
                  </w:r>
                </w:p>
              </w:tc>
              <w:tc>
                <w:tcPr>
                  <w:tcW w:w="710" w:type="dxa"/>
                  <w:tcBorders>
                    <w:tl2br w:val="nil"/>
                    <w:tr2bl w:val="nil"/>
                  </w:tcBorders>
                  <w:noWrap w:val="0"/>
                  <w:vAlign w:val="center"/>
                </w:tcPr>
                <w:p w14:paraId="67630524">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5156910A">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13</w:t>
                  </w:r>
                </w:p>
              </w:tc>
              <w:tc>
                <w:tcPr>
                  <w:tcW w:w="1092" w:type="dxa"/>
                  <w:tcBorders>
                    <w:tl2br w:val="nil"/>
                    <w:tr2bl w:val="nil"/>
                  </w:tcBorders>
                  <w:noWrap w:val="0"/>
                  <w:vAlign w:val="center"/>
                </w:tcPr>
                <w:p w14:paraId="36F6909B">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57.72</w:t>
                  </w:r>
                </w:p>
              </w:tc>
              <w:tc>
                <w:tcPr>
                  <w:tcW w:w="778" w:type="dxa"/>
                  <w:vMerge w:val="continue"/>
                  <w:tcBorders>
                    <w:tl2br w:val="nil"/>
                    <w:tr2bl w:val="nil"/>
                  </w:tcBorders>
                  <w:noWrap w:val="0"/>
                  <w:vAlign w:val="center"/>
                </w:tcPr>
                <w:p w14:paraId="4E22D97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7780E89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2ED662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0162396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42.72 </w:t>
                  </w:r>
                </w:p>
              </w:tc>
            </w:tr>
            <w:tr w14:paraId="46AE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4D940EA3">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eastAsia="宋体" w:cs="Times New Roman"/>
                      <w:color w:val="000000"/>
                      <w:sz w:val="21"/>
                      <w:szCs w:val="21"/>
                      <w:vertAlign w:val="baseline"/>
                      <w:lang w:val="en-US" w:eastAsia="zh-CN"/>
                    </w:rPr>
                    <w:t>11</w:t>
                  </w:r>
                </w:p>
              </w:tc>
              <w:tc>
                <w:tcPr>
                  <w:tcW w:w="725" w:type="dxa"/>
                  <w:vMerge w:val="restart"/>
                  <w:tcBorders>
                    <w:tl2br w:val="nil"/>
                    <w:tr2bl w:val="nil"/>
                  </w:tcBorders>
                  <w:noWrap w:val="0"/>
                  <w:vAlign w:val="center"/>
                </w:tcPr>
                <w:p w14:paraId="27D0D443">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水稳</w:t>
                  </w:r>
                  <w:r>
                    <w:rPr>
                      <w:rFonts w:hint="eastAsia" w:ascii="Times New Roman" w:hAnsi="Times New Roman" w:cs="Times New Roman"/>
                      <w:color w:val="000000"/>
                      <w:sz w:val="21"/>
                      <w:szCs w:val="21"/>
                      <w:lang w:val="en-US" w:eastAsia="zh-CN"/>
                    </w:rPr>
                    <w:t>生产线</w:t>
                  </w:r>
                </w:p>
              </w:tc>
              <w:tc>
                <w:tcPr>
                  <w:tcW w:w="1040" w:type="dxa"/>
                  <w:tcBorders>
                    <w:tl2br w:val="nil"/>
                    <w:tr2bl w:val="nil"/>
                  </w:tcBorders>
                  <w:noWrap w:val="0"/>
                  <w:vAlign w:val="center"/>
                </w:tcPr>
                <w:p w14:paraId="0600E251">
                  <w:pPr>
                    <w:widowControl/>
                    <w:spacing w:line="240" w:lineRule="auto"/>
                    <w:ind w:firstLine="0" w:firstLineChars="0"/>
                    <w:jc w:val="center"/>
                    <w:rPr>
                      <w:rFonts w:hint="default" w:ascii="Times New Roman" w:hAnsi="Times New Roman" w:eastAsia="宋体" w:cs="Times New Roman"/>
                      <w:color w:val="000000"/>
                      <w:sz w:val="21"/>
                      <w:szCs w:val="21"/>
                    </w:rPr>
                  </w:pPr>
                  <w:r>
                    <w:rPr>
                      <w:rFonts w:hint="eastAsia"/>
                      <w:color w:val="auto"/>
                      <w:sz w:val="21"/>
                      <w:szCs w:val="21"/>
                    </w:rPr>
                    <w:t>混合搅拌机</w:t>
                  </w:r>
                </w:p>
              </w:tc>
              <w:tc>
                <w:tcPr>
                  <w:tcW w:w="806" w:type="dxa"/>
                  <w:tcBorders>
                    <w:tl2br w:val="nil"/>
                    <w:tr2bl w:val="nil"/>
                  </w:tcBorders>
                  <w:noWrap w:val="0"/>
                  <w:vAlign w:val="center"/>
                </w:tcPr>
                <w:p w14:paraId="52DFDA1D">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w:t>
                  </w:r>
                </w:p>
              </w:tc>
              <w:tc>
                <w:tcPr>
                  <w:tcW w:w="1063" w:type="dxa"/>
                  <w:tcBorders>
                    <w:tl2br w:val="nil"/>
                    <w:tr2bl w:val="nil"/>
                  </w:tcBorders>
                  <w:noWrap w:val="0"/>
                  <w:vAlign w:val="center"/>
                </w:tcPr>
                <w:p w14:paraId="36B2EB39">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80</w:t>
                  </w:r>
                </w:p>
              </w:tc>
              <w:tc>
                <w:tcPr>
                  <w:tcW w:w="908" w:type="dxa"/>
                  <w:vMerge w:val="continue"/>
                  <w:tcBorders>
                    <w:tl2br w:val="nil"/>
                    <w:tr2bl w:val="nil"/>
                  </w:tcBorders>
                  <w:noWrap w:val="0"/>
                  <w:vAlign w:val="center"/>
                </w:tcPr>
                <w:p w14:paraId="5C255FCD">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3C4ED9CF">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32</w:t>
                  </w:r>
                </w:p>
              </w:tc>
              <w:tc>
                <w:tcPr>
                  <w:tcW w:w="542" w:type="dxa"/>
                  <w:tcBorders>
                    <w:tl2br w:val="nil"/>
                    <w:tr2bl w:val="nil"/>
                  </w:tcBorders>
                  <w:noWrap w:val="0"/>
                  <w:vAlign w:val="center"/>
                </w:tcPr>
                <w:p w14:paraId="32E0BA96">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42</w:t>
                  </w:r>
                </w:p>
              </w:tc>
              <w:tc>
                <w:tcPr>
                  <w:tcW w:w="710" w:type="dxa"/>
                  <w:tcBorders>
                    <w:tl2br w:val="nil"/>
                    <w:tr2bl w:val="nil"/>
                  </w:tcBorders>
                  <w:noWrap w:val="0"/>
                  <w:vAlign w:val="center"/>
                </w:tcPr>
                <w:p w14:paraId="448AF660">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1.0</w:t>
                  </w:r>
                </w:p>
              </w:tc>
              <w:tc>
                <w:tcPr>
                  <w:tcW w:w="1220" w:type="dxa"/>
                  <w:tcBorders>
                    <w:tl2br w:val="nil"/>
                    <w:tr2bl w:val="nil"/>
                  </w:tcBorders>
                  <w:noWrap w:val="0"/>
                  <w:vAlign w:val="center"/>
                </w:tcPr>
                <w:p w14:paraId="383AA942">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9</w:t>
                  </w:r>
                </w:p>
              </w:tc>
              <w:tc>
                <w:tcPr>
                  <w:tcW w:w="1092" w:type="dxa"/>
                  <w:tcBorders>
                    <w:tl2br w:val="nil"/>
                    <w:tr2bl w:val="nil"/>
                  </w:tcBorders>
                  <w:noWrap w:val="0"/>
                  <w:vAlign w:val="center"/>
                </w:tcPr>
                <w:p w14:paraId="7CE7AE9B">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56.48</w:t>
                  </w:r>
                </w:p>
              </w:tc>
              <w:tc>
                <w:tcPr>
                  <w:tcW w:w="778" w:type="dxa"/>
                  <w:vMerge w:val="continue"/>
                  <w:tcBorders>
                    <w:tl2br w:val="nil"/>
                    <w:tr2bl w:val="nil"/>
                  </w:tcBorders>
                  <w:noWrap w:val="0"/>
                  <w:vAlign w:val="center"/>
                </w:tcPr>
                <w:p w14:paraId="2FF69DB4">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2D6A396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6FD223B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31B7D5B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41.48 </w:t>
                  </w:r>
                </w:p>
              </w:tc>
            </w:tr>
            <w:tr w14:paraId="4400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3A68C71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eastAsia="宋体" w:cs="Times New Roman"/>
                      <w:color w:val="000000"/>
                      <w:sz w:val="21"/>
                      <w:szCs w:val="21"/>
                      <w:vertAlign w:val="baseline"/>
                      <w:lang w:val="en-US" w:eastAsia="zh-CN"/>
                    </w:rPr>
                    <w:t>12</w:t>
                  </w:r>
                </w:p>
              </w:tc>
              <w:tc>
                <w:tcPr>
                  <w:tcW w:w="725" w:type="dxa"/>
                  <w:vMerge w:val="continue"/>
                  <w:tcBorders>
                    <w:tl2br w:val="nil"/>
                    <w:tr2bl w:val="nil"/>
                  </w:tcBorders>
                  <w:noWrap w:val="0"/>
                  <w:vAlign w:val="center"/>
                </w:tcPr>
                <w:p w14:paraId="7B93D2E9">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0FC09D78">
                  <w:pPr>
                    <w:widowControl/>
                    <w:spacing w:line="240" w:lineRule="auto"/>
                    <w:ind w:firstLine="0" w:firstLineChars="0"/>
                    <w:jc w:val="center"/>
                    <w:rPr>
                      <w:rFonts w:hint="default" w:ascii="Times New Roman" w:hAnsi="Times New Roman" w:eastAsia="宋体" w:cs="Times New Roman"/>
                      <w:color w:val="000000"/>
                      <w:sz w:val="21"/>
                      <w:szCs w:val="21"/>
                    </w:rPr>
                  </w:pPr>
                  <w:r>
                    <w:rPr>
                      <w:rFonts w:hint="eastAsia"/>
                      <w:color w:val="auto"/>
                      <w:sz w:val="21"/>
                      <w:szCs w:val="21"/>
                      <w:lang w:val="en-US" w:eastAsia="zh-CN"/>
                    </w:rPr>
                    <w:t>给料料斗</w:t>
                  </w:r>
                </w:p>
              </w:tc>
              <w:tc>
                <w:tcPr>
                  <w:tcW w:w="806" w:type="dxa"/>
                  <w:tcBorders>
                    <w:tl2br w:val="nil"/>
                    <w:tr2bl w:val="nil"/>
                  </w:tcBorders>
                  <w:noWrap w:val="0"/>
                  <w:vAlign w:val="center"/>
                </w:tcPr>
                <w:p w14:paraId="58A01B3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w:t>
                  </w:r>
                </w:p>
              </w:tc>
              <w:tc>
                <w:tcPr>
                  <w:tcW w:w="1063" w:type="dxa"/>
                  <w:tcBorders>
                    <w:tl2br w:val="nil"/>
                    <w:tr2bl w:val="nil"/>
                  </w:tcBorders>
                  <w:noWrap w:val="0"/>
                  <w:vAlign w:val="center"/>
                </w:tcPr>
                <w:p w14:paraId="0FC11C72">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908" w:type="dxa"/>
                  <w:vMerge w:val="continue"/>
                  <w:tcBorders>
                    <w:tl2br w:val="nil"/>
                    <w:tr2bl w:val="nil"/>
                  </w:tcBorders>
                  <w:noWrap w:val="0"/>
                  <w:vAlign w:val="center"/>
                </w:tcPr>
                <w:p w14:paraId="73AE1DD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08459127">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34</w:t>
                  </w:r>
                </w:p>
              </w:tc>
              <w:tc>
                <w:tcPr>
                  <w:tcW w:w="542" w:type="dxa"/>
                  <w:tcBorders>
                    <w:tl2br w:val="nil"/>
                    <w:tr2bl w:val="nil"/>
                  </w:tcBorders>
                  <w:noWrap w:val="0"/>
                  <w:vAlign w:val="center"/>
                </w:tcPr>
                <w:p w14:paraId="6504F17D">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40</w:t>
                  </w:r>
                </w:p>
              </w:tc>
              <w:tc>
                <w:tcPr>
                  <w:tcW w:w="710" w:type="dxa"/>
                  <w:tcBorders>
                    <w:tl2br w:val="nil"/>
                    <w:tr2bl w:val="nil"/>
                  </w:tcBorders>
                  <w:noWrap w:val="0"/>
                  <w:vAlign w:val="center"/>
                </w:tcPr>
                <w:p w14:paraId="1D941B42">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1.0</w:t>
                  </w:r>
                </w:p>
              </w:tc>
              <w:tc>
                <w:tcPr>
                  <w:tcW w:w="1220" w:type="dxa"/>
                  <w:tcBorders>
                    <w:tl2br w:val="nil"/>
                    <w:tr2bl w:val="nil"/>
                  </w:tcBorders>
                  <w:noWrap w:val="0"/>
                  <w:vAlign w:val="center"/>
                </w:tcPr>
                <w:p w14:paraId="47810FD4">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6</w:t>
                  </w:r>
                </w:p>
              </w:tc>
              <w:tc>
                <w:tcPr>
                  <w:tcW w:w="1092" w:type="dxa"/>
                  <w:tcBorders>
                    <w:tl2br w:val="nil"/>
                    <w:tr2bl w:val="nil"/>
                  </w:tcBorders>
                  <w:noWrap w:val="0"/>
                  <w:vAlign w:val="center"/>
                </w:tcPr>
                <w:p w14:paraId="4084A4BA">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69.20</w:t>
                  </w:r>
                </w:p>
              </w:tc>
              <w:tc>
                <w:tcPr>
                  <w:tcW w:w="778" w:type="dxa"/>
                  <w:vMerge w:val="continue"/>
                  <w:tcBorders>
                    <w:tl2br w:val="nil"/>
                    <w:tr2bl w:val="nil"/>
                  </w:tcBorders>
                  <w:noWrap w:val="0"/>
                  <w:vAlign w:val="center"/>
                </w:tcPr>
                <w:p w14:paraId="24998D06">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275C064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24BAF24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41FE88B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54.20 </w:t>
                  </w:r>
                </w:p>
              </w:tc>
            </w:tr>
            <w:tr w14:paraId="65BA9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2561131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eastAsia="宋体" w:cs="Times New Roman"/>
                      <w:color w:val="000000"/>
                      <w:sz w:val="21"/>
                      <w:szCs w:val="21"/>
                      <w:vertAlign w:val="baseline"/>
                      <w:lang w:val="en-US" w:eastAsia="zh-CN"/>
                    </w:rPr>
                    <w:t>13</w:t>
                  </w:r>
                </w:p>
              </w:tc>
              <w:tc>
                <w:tcPr>
                  <w:tcW w:w="725" w:type="dxa"/>
                  <w:vMerge w:val="restart"/>
                  <w:tcBorders>
                    <w:tl2br w:val="nil"/>
                    <w:tr2bl w:val="nil"/>
                  </w:tcBorders>
                  <w:noWrap w:val="0"/>
                  <w:vAlign w:val="center"/>
                </w:tcPr>
                <w:p w14:paraId="43BCB86C">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RDF燃料生产线</w:t>
                  </w:r>
                </w:p>
              </w:tc>
              <w:tc>
                <w:tcPr>
                  <w:tcW w:w="1040" w:type="dxa"/>
                  <w:tcBorders>
                    <w:tl2br w:val="nil"/>
                    <w:tr2bl w:val="nil"/>
                  </w:tcBorders>
                  <w:noWrap w:val="0"/>
                  <w:vAlign w:val="center"/>
                </w:tcPr>
                <w:p w14:paraId="50801DAA">
                  <w:pPr>
                    <w:widowControl/>
                    <w:spacing w:line="240" w:lineRule="auto"/>
                    <w:ind w:firstLine="0" w:firstLineChars="0"/>
                    <w:jc w:val="center"/>
                    <w:rPr>
                      <w:rFonts w:hint="default" w:ascii="Times New Roman" w:hAnsi="Times New Roman" w:eastAsia="宋体" w:cs="Times New Roman"/>
                      <w:color w:val="000000"/>
                      <w:sz w:val="21"/>
                      <w:szCs w:val="21"/>
                    </w:rPr>
                  </w:pPr>
                  <w:r>
                    <w:rPr>
                      <w:rFonts w:hint="eastAsia"/>
                      <w:color w:val="auto"/>
                      <w:sz w:val="21"/>
                      <w:szCs w:val="21"/>
                      <w:lang w:val="en-US" w:eastAsia="zh-CN"/>
                    </w:rPr>
                    <w:t>撕碎机</w:t>
                  </w:r>
                </w:p>
              </w:tc>
              <w:tc>
                <w:tcPr>
                  <w:tcW w:w="806" w:type="dxa"/>
                  <w:tcBorders>
                    <w:tl2br w:val="nil"/>
                    <w:tr2bl w:val="nil"/>
                  </w:tcBorders>
                  <w:noWrap w:val="0"/>
                  <w:vAlign w:val="center"/>
                </w:tcPr>
                <w:p w14:paraId="32EB5978">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w:t>
                  </w:r>
                </w:p>
              </w:tc>
              <w:tc>
                <w:tcPr>
                  <w:tcW w:w="1063" w:type="dxa"/>
                  <w:tcBorders>
                    <w:tl2br w:val="nil"/>
                    <w:tr2bl w:val="nil"/>
                  </w:tcBorders>
                  <w:noWrap w:val="0"/>
                  <w:vAlign w:val="center"/>
                </w:tcPr>
                <w:p w14:paraId="55EEC867">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85</w:t>
                  </w:r>
                </w:p>
              </w:tc>
              <w:tc>
                <w:tcPr>
                  <w:tcW w:w="908" w:type="dxa"/>
                  <w:vMerge w:val="continue"/>
                  <w:tcBorders>
                    <w:tl2br w:val="nil"/>
                    <w:tr2bl w:val="nil"/>
                  </w:tcBorders>
                  <w:noWrap w:val="0"/>
                  <w:vAlign w:val="center"/>
                </w:tcPr>
                <w:p w14:paraId="4CAEFE7E">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385E9DF8">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24</w:t>
                  </w:r>
                </w:p>
              </w:tc>
              <w:tc>
                <w:tcPr>
                  <w:tcW w:w="542" w:type="dxa"/>
                  <w:tcBorders>
                    <w:tl2br w:val="nil"/>
                    <w:tr2bl w:val="nil"/>
                  </w:tcBorders>
                  <w:noWrap w:val="0"/>
                  <w:vAlign w:val="center"/>
                </w:tcPr>
                <w:p w14:paraId="1C591E8A">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-15</w:t>
                  </w:r>
                </w:p>
              </w:tc>
              <w:tc>
                <w:tcPr>
                  <w:tcW w:w="710" w:type="dxa"/>
                  <w:tcBorders>
                    <w:tl2br w:val="nil"/>
                    <w:tr2bl w:val="nil"/>
                  </w:tcBorders>
                  <w:noWrap w:val="0"/>
                  <w:vAlign w:val="center"/>
                </w:tcPr>
                <w:p w14:paraId="72848ABB">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1.0</w:t>
                  </w:r>
                </w:p>
              </w:tc>
              <w:tc>
                <w:tcPr>
                  <w:tcW w:w="1220" w:type="dxa"/>
                  <w:tcBorders>
                    <w:tl2br w:val="nil"/>
                    <w:tr2bl w:val="nil"/>
                  </w:tcBorders>
                  <w:noWrap w:val="0"/>
                  <w:vAlign w:val="center"/>
                </w:tcPr>
                <w:p w14:paraId="4649CD9E">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16</w:t>
                  </w:r>
                </w:p>
              </w:tc>
              <w:tc>
                <w:tcPr>
                  <w:tcW w:w="1092" w:type="dxa"/>
                  <w:tcBorders>
                    <w:tl2br w:val="nil"/>
                    <w:tr2bl w:val="nil"/>
                  </w:tcBorders>
                  <w:noWrap w:val="0"/>
                  <w:vAlign w:val="center"/>
                </w:tcPr>
                <w:p w14:paraId="1DB962AA">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67.91</w:t>
                  </w:r>
                </w:p>
              </w:tc>
              <w:tc>
                <w:tcPr>
                  <w:tcW w:w="778" w:type="dxa"/>
                  <w:vMerge w:val="continue"/>
                  <w:tcBorders>
                    <w:tl2br w:val="nil"/>
                    <w:tr2bl w:val="nil"/>
                  </w:tcBorders>
                  <w:noWrap w:val="0"/>
                  <w:vAlign w:val="center"/>
                </w:tcPr>
                <w:p w14:paraId="2684136D">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2620652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3CE3CD5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25FD1C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52.91 </w:t>
                  </w:r>
                </w:p>
              </w:tc>
            </w:tr>
            <w:tr w14:paraId="03F6E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789A0287">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eastAsia="宋体" w:cs="Times New Roman"/>
                      <w:color w:val="000000"/>
                      <w:sz w:val="21"/>
                      <w:szCs w:val="21"/>
                      <w:vertAlign w:val="baseline"/>
                      <w:lang w:val="en-US" w:eastAsia="zh-CN"/>
                    </w:rPr>
                    <w:t>14</w:t>
                  </w:r>
                </w:p>
              </w:tc>
              <w:tc>
                <w:tcPr>
                  <w:tcW w:w="725" w:type="dxa"/>
                  <w:vMerge w:val="continue"/>
                  <w:tcBorders>
                    <w:tl2br w:val="nil"/>
                    <w:tr2bl w:val="nil"/>
                  </w:tcBorders>
                  <w:noWrap w:val="0"/>
                  <w:vAlign w:val="center"/>
                </w:tcPr>
                <w:p w14:paraId="7295A5D4">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4B972947">
                  <w:pPr>
                    <w:widowControl/>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eastAsia"/>
                      <w:color w:val="auto"/>
                      <w:sz w:val="21"/>
                      <w:szCs w:val="21"/>
                      <w:lang w:val="en-US" w:eastAsia="zh-CN"/>
                    </w:rPr>
                    <w:t>混合机</w:t>
                  </w:r>
                </w:p>
              </w:tc>
              <w:tc>
                <w:tcPr>
                  <w:tcW w:w="806" w:type="dxa"/>
                  <w:tcBorders>
                    <w:tl2br w:val="nil"/>
                    <w:tr2bl w:val="nil"/>
                  </w:tcBorders>
                  <w:noWrap w:val="0"/>
                  <w:vAlign w:val="center"/>
                </w:tcPr>
                <w:p w14:paraId="16626675">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w:t>
                  </w:r>
                </w:p>
              </w:tc>
              <w:tc>
                <w:tcPr>
                  <w:tcW w:w="1063" w:type="dxa"/>
                  <w:tcBorders>
                    <w:tl2br w:val="nil"/>
                    <w:tr2bl w:val="nil"/>
                  </w:tcBorders>
                  <w:noWrap w:val="0"/>
                  <w:vAlign w:val="center"/>
                </w:tcPr>
                <w:p w14:paraId="0D1C756D">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90</w:t>
                  </w:r>
                </w:p>
              </w:tc>
              <w:tc>
                <w:tcPr>
                  <w:tcW w:w="908" w:type="dxa"/>
                  <w:vMerge w:val="continue"/>
                  <w:tcBorders>
                    <w:tl2br w:val="nil"/>
                    <w:tr2bl w:val="nil"/>
                  </w:tcBorders>
                  <w:noWrap w:val="0"/>
                  <w:vAlign w:val="center"/>
                </w:tcPr>
                <w:p w14:paraId="2B5D7B45">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1B56163A">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26</w:t>
                  </w:r>
                </w:p>
              </w:tc>
              <w:tc>
                <w:tcPr>
                  <w:tcW w:w="542" w:type="dxa"/>
                  <w:tcBorders>
                    <w:tl2br w:val="nil"/>
                    <w:tr2bl w:val="nil"/>
                  </w:tcBorders>
                  <w:noWrap w:val="0"/>
                  <w:vAlign w:val="center"/>
                </w:tcPr>
                <w:p w14:paraId="7A7B7CF3">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-16</w:t>
                  </w:r>
                </w:p>
              </w:tc>
              <w:tc>
                <w:tcPr>
                  <w:tcW w:w="710" w:type="dxa"/>
                  <w:tcBorders>
                    <w:tl2br w:val="nil"/>
                    <w:tr2bl w:val="nil"/>
                  </w:tcBorders>
                  <w:noWrap w:val="0"/>
                  <w:vAlign w:val="center"/>
                </w:tcPr>
                <w:p w14:paraId="1634CE9F">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23C3247D">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11</w:t>
                  </w:r>
                </w:p>
              </w:tc>
              <w:tc>
                <w:tcPr>
                  <w:tcW w:w="1092" w:type="dxa"/>
                  <w:tcBorders>
                    <w:tl2br w:val="nil"/>
                    <w:tr2bl w:val="nil"/>
                  </w:tcBorders>
                  <w:noWrap w:val="0"/>
                  <w:vAlign w:val="center"/>
                </w:tcPr>
                <w:p w14:paraId="4003C1EF">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6</w:t>
                  </w:r>
                  <w:r>
                    <w:rPr>
                      <w:rFonts w:hint="eastAsia" w:ascii="Times New Roman" w:hAnsi="Times New Roman" w:eastAsia="宋体" w:cs="Times New Roman"/>
                      <w:color w:val="000000"/>
                      <w:sz w:val="21"/>
                      <w:szCs w:val="21"/>
                      <w:vertAlign w:val="baseline"/>
                      <w:lang w:val="en-US" w:eastAsia="zh-CN"/>
                    </w:rPr>
                    <w:t>9</w:t>
                  </w:r>
                  <w:r>
                    <w:rPr>
                      <w:rFonts w:hint="default" w:ascii="Times New Roman" w:hAnsi="Times New Roman" w:eastAsia="宋体" w:cs="Times New Roman"/>
                      <w:color w:val="000000"/>
                      <w:sz w:val="21"/>
                      <w:szCs w:val="21"/>
                      <w:vertAlign w:val="baseline"/>
                      <w:lang w:val="en-US" w:eastAsia="zh-CN"/>
                    </w:rPr>
                    <w:t>.</w:t>
                  </w:r>
                  <w:r>
                    <w:rPr>
                      <w:rFonts w:hint="eastAsia" w:ascii="Times New Roman" w:hAnsi="Times New Roman" w:cs="Times New Roman"/>
                      <w:color w:val="000000"/>
                      <w:sz w:val="21"/>
                      <w:szCs w:val="21"/>
                      <w:vertAlign w:val="baseline"/>
                      <w:lang w:val="en-US" w:eastAsia="zh-CN"/>
                    </w:rPr>
                    <w:t>17</w:t>
                  </w:r>
                </w:p>
              </w:tc>
              <w:tc>
                <w:tcPr>
                  <w:tcW w:w="778" w:type="dxa"/>
                  <w:vMerge w:val="continue"/>
                  <w:tcBorders>
                    <w:tl2br w:val="nil"/>
                    <w:tr2bl w:val="nil"/>
                  </w:tcBorders>
                  <w:noWrap w:val="0"/>
                  <w:vAlign w:val="center"/>
                </w:tcPr>
                <w:p w14:paraId="2175CB40">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61A8DA0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0D031DF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6D5FFC6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54.17 </w:t>
                  </w:r>
                </w:p>
              </w:tc>
            </w:tr>
            <w:tr w14:paraId="230A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tcBorders>
                    <w:tl2br w:val="nil"/>
                    <w:tr2bl w:val="nil"/>
                  </w:tcBorders>
                  <w:noWrap w:val="0"/>
                  <w:vAlign w:val="center"/>
                </w:tcPr>
                <w:p w14:paraId="618C4224">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eastAsia="宋体" w:cs="Times New Roman"/>
                      <w:color w:val="000000"/>
                      <w:sz w:val="21"/>
                      <w:szCs w:val="21"/>
                      <w:vertAlign w:val="baseline"/>
                      <w:lang w:val="en-US" w:eastAsia="zh-CN"/>
                    </w:rPr>
                    <w:t>15</w:t>
                  </w:r>
                </w:p>
              </w:tc>
              <w:tc>
                <w:tcPr>
                  <w:tcW w:w="725" w:type="dxa"/>
                  <w:vMerge w:val="continue"/>
                  <w:tcBorders>
                    <w:tl2br w:val="nil"/>
                    <w:tr2bl w:val="nil"/>
                  </w:tcBorders>
                  <w:noWrap w:val="0"/>
                  <w:vAlign w:val="center"/>
                </w:tcPr>
                <w:p w14:paraId="4FE438AE">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040" w:type="dxa"/>
                  <w:tcBorders>
                    <w:tl2br w:val="nil"/>
                    <w:tr2bl w:val="nil"/>
                  </w:tcBorders>
                  <w:noWrap w:val="0"/>
                  <w:vAlign w:val="center"/>
                </w:tcPr>
                <w:p w14:paraId="19C537C4">
                  <w:pPr>
                    <w:widowControl/>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eastAsia"/>
                      <w:color w:val="auto"/>
                      <w:sz w:val="21"/>
                      <w:szCs w:val="21"/>
                      <w:lang w:val="en-US" w:eastAsia="zh-CN"/>
                    </w:rPr>
                    <w:t>成型机</w:t>
                  </w:r>
                </w:p>
              </w:tc>
              <w:tc>
                <w:tcPr>
                  <w:tcW w:w="806" w:type="dxa"/>
                  <w:tcBorders>
                    <w:tl2br w:val="nil"/>
                    <w:tr2bl w:val="nil"/>
                  </w:tcBorders>
                  <w:noWrap w:val="0"/>
                  <w:vAlign w:val="center"/>
                </w:tcPr>
                <w:p w14:paraId="6DFAA48B">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w:t>
                  </w:r>
                </w:p>
              </w:tc>
              <w:tc>
                <w:tcPr>
                  <w:tcW w:w="1063" w:type="dxa"/>
                  <w:tcBorders>
                    <w:tl2br w:val="nil"/>
                    <w:tr2bl w:val="nil"/>
                  </w:tcBorders>
                  <w:noWrap w:val="0"/>
                  <w:vAlign w:val="center"/>
                </w:tcPr>
                <w:p w14:paraId="729AF833">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908" w:type="dxa"/>
                  <w:vMerge w:val="continue"/>
                  <w:tcBorders>
                    <w:tl2br w:val="nil"/>
                    <w:tr2bl w:val="nil"/>
                  </w:tcBorders>
                  <w:noWrap w:val="0"/>
                  <w:vAlign w:val="center"/>
                </w:tcPr>
                <w:p w14:paraId="52B7497D">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p>
              </w:tc>
              <w:tc>
                <w:tcPr>
                  <w:tcW w:w="1200" w:type="dxa"/>
                  <w:tcBorders>
                    <w:tl2br w:val="nil"/>
                    <w:tr2bl w:val="nil"/>
                  </w:tcBorders>
                  <w:noWrap w:val="0"/>
                  <w:vAlign w:val="center"/>
                </w:tcPr>
                <w:p w14:paraId="19EF14BB">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34</w:t>
                  </w:r>
                </w:p>
              </w:tc>
              <w:tc>
                <w:tcPr>
                  <w:tcW w:w="542" w:type="dxa"/>
                  <w:tcBorders>
                    <w:tl2br w:val="nil"/>
                    <w:tr2bl w:val="nil"/>
                  </w:tcBorders>
                  <w:noWrap w:val="0"/>
                  <w:vAlign w:val="center"/>
                </w:tcPr>
                <w:p w14:paraId="3BEAEDF4">
                  <w:pPr>
                    <w:pStyle w:val="110"/>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-17</w:t>
                  </w:r>
                </w:p>
              </w:tc>
              <w:tc>
                <w:tcPr>
                  <w:tcW w:w="710" w:type="dxa"/>
                  <w:tcBorders>
                    <w:tl2br w:val="nil"/>
                    <w:tr2bl w:val="nil"/>
                  </w:tcBorders>
                  <w:noWrap w:val="0"/>
                  <w:vAlign w:val="center"/>
                </w:tcPr>
                <w:p w14:paraId="79EA2B14">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8.0</w:t>
                  </w:r>
                </w:p>
              </w:tc>
              <w:tc>
                <w:tcPr>
                  <w:tcW w:w="1220" w:type="dxa"/>
                  <w:tcBorders>
                    <w:tl2br w:val="nil"/>
                    <w:tr2bl w:val="nil"/>
                  </w:tcBorders>
                  <w:noWrap w:val="0"/>
                  <w:vAlign w:val="center"/>
                </w:tcPr>
                <w:p w14:paraId="0AEA4114">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13</w:t>
                  </w:r>
                </w:p>
              </w:tc>
              <w:tc>
                <w:tcPr>
                  <w:tcW w:w="1092" w:type="dxa"/>
                  <w:tcBorders>
                    <w:tl2br w:val="nil"/>
                    <w:tr2bl w:val="nil"/>
                  </w:tcBorders>
                  <w:noWrap w:val="0"/>
                  <w:vAlign w:val="center"/>
                </w:tcPr>
                <w:p w14:paraId="74295772">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vertAlign w:val="baseline"/>
                      <w:lang w:val="en-US" w:eastAsia="zh-CN"/>
                    </w:rPr>
                  </w:pPr>
                  <w:r>
                    <w:rPr>
                      <w:rFonts w:hint="eastAsia" w:ascii="Times New Roman" w:hAnsi="Times New Roman" w:cs="Times New Roman"/>
                      <w:color w:val="000000"/>
                      <w:sz w:val="21"/>
                      <w:szCs w:val="21"/>
                      <w:vertAlign w:val="baseline"/>
                      <w:lang w:val="en-US" w:eastAsia="zh-CN"/>
                    </w:rPr>
                    <w:t>57.72</w:t>
                  </w:r>
                </w:p>
              </w:tc>
              <w:tc>
                <w:tcPr>
                  <w:tcW w:w="778" w:type="dxa"/>
                  <w:vMerge w:val="continue"/>
                  <w:tcBorders>
                    <w:tl2br w:val="nil"/>
                    <w:tr2bl w:val="nil"/>
                  </w:tcBorders>
                  <w:noWrap w:val="0"/>
                  <w:vAlign w:val="center"/>
                </w:tcPr>
                <w:p w14:paraId="23A5F5BE">
                  <w:pPr>
                    <w:pStyle w:val="110"/>
                    <w:keepNext w:val="0"/>
                    <w:keepLines w:val="0"/>
                    <w:pageBreakBefore w:val="0"/>
                    <w:kinsoku/>
                    <w:wordWrap/>
                    <w:overflowPunct/>
                    <w:topLinePunct w:val="0"/>
                    <w:autoSpaceDE/>
                    <w:autoSpaceDN/>
                    <w:bidi w:val="0"/>
                    <w:ind w:firstLine="0" w:firstLineChars="0"/>
                    <w:jc w:val="center"/>
                    <w:rPr>
                      <w:rFonts w:hint="default" w:ascii="Times New Roman" w:hAnsi="Times New Roman" w:eastAsia="宋体" w:cs="Times New Roman"/>
                      <w:color w:val="000000"/>
                      <w:sz w:val="21"/>
                      <w:szCs w:val="21"/>
                      <w:lang w:val="en-US" w:eastAsia="zh-CN"/>
                    </w:rPr>
                  </w:pPr>
                </w:p>
              </w:tc>
              <w:tc>
                <w:tcPr>
                  <w:tcW w:w="1132" w:type="dxa"/>
                  <w:tcBorders>
                    <w:tl2br w:val="nil"/>
                    <w:tr2bl w:val="nil"/>
                  </w:tcBorders>
                  <w:noWrap w:val="0"/>
                  <w:vAlign w:val="center"/>
                </w:tcPr>
                <w:p w14:paraId="6135922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bottom"/>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5" w:type="dxa"/>
                  <w:tcBorders>
                    <w:tl2br w:val="nil"/>
                    <w:tr2bl w:val="nil"/>
                  </w:tcBorders>
                  <w:noWrap w:val="0"/>
                  <w:vAlign w:val="center"/>
                </w:tcPr>
                <w:p w14:paraId="054CC39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1m</w:t>
                  </w:r>
                </w:p>
              </w:tc>
              <w:tc>
                <w:tcPr>
                  <w:tcW w:w="921" w:type="dxa"/>
                  <w:tcBorders>
                    <w:tl2br w:val="nil"/>
                    <w:tr2bl w:val="nil"/>
                  </w:tcBorders>
                  <w:noWrap w:val="0"/>
                  <w:vAlign w:val="center"/>
                </w:tcPr>
                <w:p w14:paraId="2571189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 xml:space="preserve">42.72 </w:t>
                  </w:r>
                </w:p>
              </w:tc>
            </w:tr>
            <w:tr w14:paraId="218F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52" w:type="dxa"/>
                  <w:gridSpan w:val="15"/>
                  <w:tcBorders>
                    <w:tl2br w:val="nil"/>
                    <w:tr2bl w:val="nil"/>
                  </w:tcBorders>
                  <w:noWrap w:val="0"/>
                  <w:vAlign w:val="center"/>
                </w:tcPr>
                <w:p w14:paraId="26769E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bottom"/>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-注：本次坐标原点选择以厂界中心（116.987325,30.137955）为坐标原点，正东向为X轴正方向，正北向为Y轴正方向</w:t>
                  </w:r>
                </w:p>
              </w:tc>
            </w:tr>
          </w:tbl>
          <w:p w14:paraId="3F8932FC">
            <w:pPr>
              <w:pStyle w:val="59"/>
              <w:bidi w:val="0"/>
              <w:jc w:val="center"/>
              <w:rPr>
                <w:rFonts w:hint="default" w:ascii="Times New Roman" w:hAnsi="Times New Roman" w:cs="Times New Roman"/>
                <w:color w:val="000000"/>
                <w:sz w:val="21"/>
                <w:szCs w:val="22"/>
                <w:lang w:val="en-US" w:eastAsia="zh-CN"/>
              </w:rPr>
            </w:pPr>
            <w:r>
              <w:rPr>
                <w:rFonts w:hint="default" w:ascii="Times New Roman" w:hAnsi="Times New Roman" w:cs="Times New Roman"/>
                <w:color w:val="000000"/>
                <w:sz w:val="21"/>
                <w:szCs w:val="22"/>
                <w:lang w:val="en-US" w:eastAsia="zh-CN"/>
              </w:rPr>
              <w:t>表4-1</w:t>
            </w:r>
            <w:r>
              <w:rPr>
                <w:rFonts w:hint="eastAsia" w:cs="Times New Roman"/>
                <w:color w:val="000000"/>
                <w:sz w:val="21"/>
                <w:szCs w:val="22"/>
                <w:lang w:val="en-US" w:eastAsia="zh-CN"/>
              </w:rPr>
              <w:t>3</w:t>
            </w:r>
            <w:r>
              <w:rPr>
                <w:rFonts w:hint="default" w:ascii="Times New Roman" w:hAnsi="Times New Roman" w:cs="Times New Roman"/>
                <w:color w:val="000000"/>
                <w:sz w:val="21"/>
                <w:szCs w:val="22"/>
                <w:lang w:val="en-US" w:eastAsia="zh-CN"/>
              </w:rPr>
              <w:t>噪声声源源强（室外声源）</w:t>
            </w:r>
          </w:p>
          <w:tbl>
            <w:tblPr>
              <w:tblStyle w:val="35"/>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712"/>
              <w:gridCol w:w="1318"/>
              <w:gridCol w:w="1417"/>
              <w:gridCol w:w="1505"/>
              <w:gridCol w:w="1320"/>
              <w:gridCol w:w="2466"/>
              <w:gridCol w:w="1489"/>
              <w:gridCol w:w="1490"/>
            </w:tblGrid>
            <w:tr w14:paraId="4B023E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7" w:type="pct"/>
                  <w:vMerge w:val="restart"/>
                  <w:tcBorders>
                    <w:tl2br w:val="nil"/>
                    <w:tr2bl w:val="nil"/>
                  </w:tcBorders>
                  <w:noWrap w:val="0"/>
                  <w:vAlign w:val="center"/>
                </w:tcPr>
                <w:p w14:paraId="3F45DD34">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序号</w:t>
                  </w:r>
                </w:p>
              </w:tc>
              <w:tc>
                <w:tcPr>
                  <w:tcW w:w="638" w:type="pct"/>
                  <w:vMerge w:val="restart"/>
                  <w:tcBorders>
                    <w:tl2br w:val="nil"/>
                    <w:tr2bl w:val="nil"/>
                  </w:tcBorders>
                  <w:noWrap w:val="0"/>
                  <w:vAlign w:val="center"/>
                </w:tcPr>
                <w:p w14:paraId="57BE03CF">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声源名称</w:t>
                  </w:r>
                </w:p>
              </w:tc>
              <w:tc>
                <w:tcPr>
                  <w:tcW w:w="491" w:type="pct"/>
                  <w:vMerge w:val="restart"/>
                  <w:tcBorders>
                    <w:tl2br w:val="nil"/>
                    <w:tr2bl w:val="nil"/>
                  </w:tcBorders>
                  <w:noWrap w:val="0"/>
                  <w:vAlign w:val="center"/>
                </w:tcPr>
                <w:p w14:paraId="1359CAB0">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型号</w:t>
                  </w:r>
                </w:p>
              </w:tc>
              <w:tc>
                <w:tcPr>
                  <w:tcW w:w="1581" w:type="pct"/>
                  <w:gridSpan w:val="3"/>
                  <w:tcBorders>
                    <w:tl2br w:val="nil"/>
                    <w:tr2bl w:val="nil"/>
                  </w:tcBorders>
                  <w:noWrap w:val="0"/>
                  <w:vAlign w:val="center"/>
                </w:tcPr>
                <w:p w14:paraId="1EA45D31">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空间相对位置（m）</w:t>
                  </w:r>
                </w:p>
              </w:tc>
              <w:tc>
                <w:tcPr>
                  <w:tcW w:w="919" w:type="pct"/>
                  <w:tcBorders>
                    <w:tl2br w:val="nil"/>
                    <w:tr2bl w:val="nil"/>
                  </w:tcBorders>
                  <w:noWrap w:val="0"/>
                  <w:vAlign w:val="center"/>
                </w:tcPr>
                <w:p w14:paraId="58813255">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声源源强</w:t>
                  </w:r>
                </w:p>
              </w:tc>
              <w:tc>
                <w:tcPr>
                  <w:tcW w:w="555" w:type="pct"/>
                  <w:vMerge w:val="restart"/>
                  <w:tcBorders>
                    <w:tl2br w:val="nil"/>
                    <w:tr2bl w:val="nil"/>
                  </w:tcBorders>
                  <w:noWrap w:val="0"/>
                  <w:vAlign w:val="center"/>
                </w:tcPr>
                <w:p w14:paraId="2F23E730">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声源控制措施</w:t>
                  </w:r>
                </w:p>
              </w:tc>
              <w:tc>
                <w:tcPr>
                  <w:tcW w:w="555" w:type="pct"/>
                  <w:vMerge w:val="restart"/>
                  <w:tcBorders>
                    <w:tl2br w:val="nil"/>
                    <w:tr2bl w:val="nil"/>
                  </w:tcBorders>
                  <w:noWrap w:val="0"/>
                  <w:vAlign w:val="center"/>
                </w:tcPr>
                <w:p w14:paraId="522D32D2">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运行时段</w:t>
                  </w:r>
                </w:p>
              </w:tc>
            </w:tr>
            <w:tr w14:paraId="5BC793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7" w:type="pct"/>
                  <w:vMerge w:val="continue"/>
                  <w:tcBorders>
                    <w:tl2br w:val="nil"/>
                    <w:tr2bl w:val="nil"/>
                  </w:tcBorders>
                  <w:noWrap w:val="0"/>
                  <w:vAlign w:val="center"/>
                </w:tcPr>
                <w:p w14:paraId="4705A4EA">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p>
              </w:tc>
              <w:tc>
                <w:tcPr>
                  <w:tcW w:w="638" w:type="pct"/>
                  <w:vMerge w:val="continue"/>
                  <w:tcBorders>
                    <w:tl2br w:val="nil"/>
                    <w:tr2bl w:val="nil"/>
                  </w:tcBorders>
                  <w:noWrap w:val="0"/>
                  <w:vAlign w:val="center"/>
                </w:tcPr>
                <w:p w14:paraId="524B0192">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p>
              </w:tc>
              <w:tc>
                <w:tcPr>
                  <w:tcW w:w="491" w:type="pct"/>
                  <w:vMerge w:val="continue"/>
                  <w:tcBorders>
                    <w:tl2br w:val="nil"/>
                    <w:tr2bl w:val="nil"/>
                  </w:tcBorders>
                  <w:noWrap w:val="0"/>
                  <w:vAlign w:val="center"/>
                </w:tcPr>
                <w:p w14:paraId="73464BF1">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p>
              </w:tc>
              <w:tc>
                <w:tcPr>
                  <w:tcW w:w="528" w:type="pct"/>
                  <w:tcBorders>
                    <w:tl2br w:val="nil"/>
                    <w:tr2bl w:val="nil"/>
                  </w:tcBorders>
                  <w:noWrap w:val="0"/>
                  <w:vAlign w:val="center"/>
                </w:tcPr>
                <w:p w14:paraId="421CDAF8">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X</w:t>
                  </w:r>
                </w:p>
              </w:tc>
              <w:tc>
                <w:tcPr>
                  <w:tcW w:w="561" w:type="pct"/>
                  <w:tcBorders>
                    <w:tl2br w:val="nil"/>
                    <w:tr2bl w:val="nil"/>
                  </w:tcBorders>
                  <w:noWrap w:val="0"/>
                  <w:vAlign w:val="center"/>
                </w:tcPr>
                <w:p w14:paraId="6AADF3B4">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Y</w:t>
                  </w:r>
                </w:p>
              </w:tc>
              <w:tc>
                <w:tcPr>
                  <w:tcW w:w="491" w:type="pct"/>
                  <w:tcBorders>
                    <w:tl2br w:val="nil"/>
                    <w:tr2bl w:val="nil"/>
                  </w:tcBorders>
                  <w:noWrap w:val="0"/>
                  <w:vAlign w:val="center"/>
                </w:tcPr>
                <w:p w14:paraId="2EB2C386">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Z</w:t>
                  </w:r>
                </w:p>
              </w:tc>
              <w:tc>
                <w:tcPr>
                  <w:tcW w:w="919" w:type="pct"/>
                  <w:tcBorders>
                    <w:tl2br w:val="nil"/>
                    <w:tr2bl w:val="nil"/>
                  </w:tcBorders>
                  <w:noWrap w:val="0"/>
                  <w:vAlign w:val="center"/>
                </w:tcPr>
                <w:p w14:paraId="3D3CE926">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声功率级/dB（A）</w:t>
                  </w:r>
                </w:p>
              </w:tc>
              <w:tc>
                <w:tcPr>
                  <w:tcW w:w="555" w:type="pct"/>
                  <w:vMerge w:val="continue"/>
                  <w:tcBorders>
                    <w:tl2br w:val="nil"/>
                    <w:tr2bl w:val="nil"/>
                  </w:tcBorders>
                  <w:noWrap w:val="0"/>
                  <w:vAlign w:val="center"/>
                </w:tcPr>
                <w:p w14:paraId="3892E1F1">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p>
              </w:tc>
              <w:tc>
                <w:tcPr>
                  <w:tcW w:w="555" w:type="pct"/>
                  <w:vMerge w:val="continue"/>
                  <w:tcBorders>
                    <w:tl2br w:val="nil"/>
                    <w:tr2bl w:val="nil"/>
                  </w:tcBorders>
                  <w:noWrap w:val="0"/>
                  <w:vAlign w:val="center"/>
                </w:tcPr>
                <w:p w14:paraId="163EA257">
                  <w:pPr>
                    <w:pStyle w:val="59"/>
                    <w:keepLines w:val="0"/>
                    <w:pageBreakBefore w:val="0"/>
                    <w:widowControl/>
                    <w:kinsoku/>
                    <w:wordWrap/>
                    <w:topLinePunct w:val="0"/>
                    <w:autoSpaceDE/>
                    <w:autoSpaceDN/>
                    <w:bidi w:val="0"/>
                    <w:spacing w:before="0" w:after="0" w:line="240" w:lineRule="auto"/>
                    <w:ind w:right="0" w:firstLineChars="0"/>
                    <w:jc w:val="center"/>
                    <w:rPr>
                      <w:rFonts w:hint="default" w:ascii="Times New Roman" w:hAnsi="Times New Roman" w:cs="Times New Roman"/>
                      <w:color w:val="000000"/>
                      <w:sz w:val="21"/>
                      <w:szCs w:val="21"/>
                      <w:lang w:val="en-US" w:eastAsia="zh-CN"/>
                    </w:rPr>
                  </w:pPr>
                </w:p>
              </w:tc>
            </w:tr>
            <w:tr w14:paraId="7A5878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7" w:type="pct"/>
                  <w:tcBorders>
                    <w:tl2br w:val="nil"/>
                    <w:tr2bl w:val="nil"/>
                  </w:tcBorders>
                  <w:noWrap w:val="0"/>
                  <w:vAlign w:val="center"/>
                </w:tcPr>
                <w:p w14:paraId="4EF9053B">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1</w:t>
                  </w:r>
                </w:p>
              </w:tc>
              <w:tc>
                <w:tcPr>
                  <w:tcW w:w="638" w:type="pct"/>
                  <w:tcBorders>
                    <w:tl2br w:val="nil"/>
                    <w:tr2bl w:val="nil"/>
                  </w:tcBorders>
                  <w:noWrap w:val="0"/>
                  <w:vAlign w:val="center"/>
                </w:tcPr>
                <w:p w14:paraId="22D877C4">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风机</w:t>
                  </w:r>
                </w:p>
              </w:tc>
              <w:tc>
                <w:tcPr>
                  <w:tcW w:w="491" w:type="pct"/>
                  <w:tcBorders>
                    <w:tl2br w:val="nil"/>
                    <w:tr2bl w:val="nil"/>
                  </w:tcBorders>
                  <w:noWrap w:val="0"/>
                  <w:vAlign w:val="center"/>
                </w:tcPr>
                <w:p w14:paraId="64D54222">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w:t>
                  </w:r>
                </w:p>
              </w:tc>
              <w:tc>
                <w:tcPr>
                  <w:tcW w:w="528" w:type="pct"/>
                  <w:tcBorders>
                    <w:tl2br w:val="nil"/>
                    <w:tr2bl w:val="nil"/>
                  </w:tcBorders>
                  <w:noWrap w:val="0"/>
                  <w:vAlign w:val="center"/>
                </w:tcPr>
                <w:p w14:paraId="201B3280">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w:t>
                  </w:r>
                  <w:r>
                    <w:rPr>
                      <w:rFonts w:hint="eastAsia" w:ascii="Times New Roman" w:hAnsi="Times New Roman" w:cs="Times New Roman"/>
                      <w:color w:val="000000"/>
                      <w:sz w:val="21"/>
                      <w:szCs w:val="21"/>
                      <w:lang w:val="en-US" w:eastAsia="zh-CN"/>
                    </w:rPr>
                    <w:t>30</w:t>
                  </w:r>
                </w:p>
              </w:tc>
              <w:tc>
                <w:tcPr>
                  <w:tcW w:w="561" w:type="pct"/>
                  <w:tcBorders>
                    <w:tl2br w:val="nil"/>
                    <w:tr2bl w:val="nil"/>
                  </w:tcBorders>
                  <w:noWrap w:val="0"/>
                  <w:vAlign w:val="center"/>
                </w:tcPr>
                <w:p w14:paraId="1F6ECC22">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58</w:t>
                  </w:r>
                </w:p>
              </w:tc>
              <w:tc>
                <w:tcPr>
                  <w:tcW w:w="491" w:type="pct"/>
                  <w:tcBorders>
                    <w:tl2br w:val="nil"/>
                    <w:tr2bl w:val="nil"/>
                  </w:tcBorders>
                  <w:noWrap w:val="0"/>
                  <w:vAlign w:val="center"/>
                </w:tcPr>
                <w:p w14:paraId="410CF29E">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1.0</w:t>
                  </w:r>
                </w:p>
              </w:tc>
              <w:tc>
                <w:tcPr>
                  <w:tcW w:w="919" w:type="pct"/>
                  <w:tcBorders>
                    <w:tl2br w:val="nil"/>
                    <w:tr2bl w:val="nil"/>
                  </w:tcBorders>
                  <w:noWrap w:val="0"/>
                  <w:vAlign w:val="center"/>
                </w:tcPr>
                <w:p w14:paraId="57CFCAD8">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9</w:t>
                  </w:r>
                  <w:r>
                    <w:rPr>
                      <w:rFonts w:hint="eastAsia" w:ascii="Times New Roman" w:hAnsi="Times New Roman" w:cs="Times New Roman"/>
                      <w:color w:val="000000"/>
                      <w:sz w:val="21"/>
                      <w:szCs w:val="21"/>
                      <w:lang w:val="en-US" w:eastAsia="zh-CN"/>
                    </w:rPr>
                    <w:t>5</w:t>
                  </w:r>
                </w:p>
              </w:tc>
              <w:tc>
                <w:tcPr>
                  <w:tcW w:w="555" w:type="pct"/>
                  <w:vMerge w:val="restart"/>
                  <w:tcBorders>
                    <w:tl2br w:val="nil"/>
                    <w:tr2bl w:val="nil"/>
                  </w:tcBorders>
                  <w:noWrap w:val="0"/>
                  <w:vAlign w:val="center"/>
                </w:tcPr>
                <w:p w14:paraId="4DE89390">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减振隔声</w:t>
                  </w:r>
                </w:p>
              </w:tc>
              <w:tc>
                <w:tcPr>
                  <w:tcW w:w="555" w:type="pct"/>
                  <w:vMerge w:val="restart"/>
                  <w:tcBorders>
                    <w:tl2br w:val="nil"/>
                    <w:tr2bl w:val="nil"/>
                  </w:tcBorders>
                  <w:noWrap w:val="0"/>
                  <w:vAlign w:val="center"/>
                </w:tcPr>
                <w:p w14:paraId="2D9F2459">
                  <w:pPr>
                    <w:pStyle w:val="110"/>
                    <w:keepLines w:val="0"/>
                    <w:pageBreakBefore w:val="0"/>
                    <w:widowControl/>
                    <w:kinsoku/>
                    <w:wordWrap/>
                    <w:topLinePunct w:val="0"/>
                    <w:autoSpaceDE/>
                    <w:autoSpaceDN/>
                    <w:bidi w:val="0"/>
                    <w:spacing w:line="240" w:lineRule="auto"/>
                    <w:ind w:right="0" w:firstLine="0" w:firstLineChars="0"/>
                    <w:jc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6</w:t>
                  </w:r>
                  <w:r>
                    <w:rPr>
                      <w:rFonts w:hint="default" w:ascii="Times New Roman" w:hAnsi="Times New Roman" w:eastAsia="宋体" w:cs="Times New Roman"/>
                      <w:color w:val="000000"/>
                      <w:sz w:val="21"/>
                      <w:szCs w:val="21"/>
                      <w:lang w:val="en-US" w:eastAsia="zh-CN"/>
                    </w:rPr>
                    <w:t>:00-</w:t>
                  </w:r>
                  <w:r>
                    <w:rPr>
                      <w:rFonts w:hint="eastAsia" w:ascii="Times New Roman" w:hAnsi="Times New Roman" w:cs="Times New Roman"/>
                      <w:color w:val="000000"/>
                      <w:sz w:val="21"/>
                      <w:szCs w:val="21"/>
                      <w:lang w:val="en-US" w:eastAsia="zh-CN"/>
                    </w:rPr>
                    <w:t>22</w:t>
                  </w:r>
                  <w:r>
                    <w:rPr>
                      <w:rFonts w:hint="default" w:ascii="Times New Roman" w:hAnsi="Times New Roman" w:cs="Times New Roman"/>
                      <w:color w:val="000000"/>
                      <w:sz w:val="21"/>
                      <w:szCs w:val="21"/>
                      <w:lang w:val="en-US" w:eastAsia="zh-CN"/>
                    </w:rPr>
                    <w:t>:00</w:t>
                  </w:r>
                </w:p>
              </w:tc>
            </w:tr>
            <w:tr w14:paraId="39803B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57" w:type="pct"/>
                  <w:tcBorders>
                    <w:tl2br w:val="nil"/>
                    <w:tr2bl w:val="nil"/>
                  </w:tcBorders>
                  <w:noWrap w:val="0"/>
                  <w:vAlign w:val="center"/>
                </w:tcPr>
                <w:p w14:paraId="1F063302">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w:t>
                  </w:r>
                </w:p>
              </w:tc>
              <w:tc>
                <w:tcPr>
                  <w:tcW w:w="638" w:type="pct"/>
                  <w:tcBorders>
                    <w:tl2br w:val="nil"/>
                    <w:tr2bl w:val="nil"/>
                  </w:tcBorders>
                  <w:noWrap w:val="0"/>
                  <w:vAlign w:val="center"/>
                </w:tcPr>
                <w:p w14:paraId="2D7647F4">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风机</w:t>
                  </w:r>
                </w:p>
              </w:tc>
              <w:tc>
                <w:tcPr>
                  <w:tcW w:w="491" w:type="pct"/>
                  <w:tcBorders>
                    <w:tl2br w:val="nil"/>
                    <w:tr2bl w:val="nil"/>
                  </w:tcBorders>
                  <w:noWrap w:val="0"/>
                  <w:vAlign w:val="center"/>
                </w:tcPr>
                <w:p w14:paraId="43A5B670">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w:t>
                  </w:r>
                </w:p>
              </w:tc>
              <w:tc>
                <w:tcPr>
                  <w:tcW w:w="528" w:type="pct"/>
                  <w:tcBorders>
                    <w:tl2br w:val="nil"/>
                    <w:tr2bl w:val="nil"/>
                  </w:tcBorders>
                  <w:noWrap w:val="0"/>
                  <w:vAlign w:val="center"/>
                </w:tcPr>
                <w:p w14:paraId="24461BAC">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21</w:t>
                  </w:r>
                </w:p>
              </w:tc>
              <w:tc>
                <w:tcPr>
                  <w:tcW w:w="561" w:type="pct"/>
                  <w:tcBorders>
                    <w:tl2br w:val="nil"/>
                    <w:tr2bl w:val="nil"/>
                  </w:tcBorders>
                  <w:noWrap w:val="0"/>
                  <w:vAlign w:val="center"/>
                </w:tcPr>
                <w:p w14:paraId="5CE13E8B">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64</w:t>
                  </w:r>
                </w:p>
              </w:tc>
              <w:tc>
                <w:tcPr>
                  <w:tcW w:w="491" w:type="pct"/>
                  <w:tcBorders>
                    <w:tl2br w:val="nil"/>
                    <w:tr2bl w:val="nil"/>
                  </w:tcBorders>
                  <w:noWrap w:val="0"/>
                  <w:vAlign w:val="center"/>
                </w:tcPr>
                <w:p w14:paraId="3BEDDE19">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w:t>
                  </w:r>
                  <w:r>
                    <w:rPr>
                      <w:rFonts w:hint="default" w:ascii="Times New Roman" w:hAnsi="Times New Roman" w:cs="Times New Roman"/>
                      <w:color w:val="000000"/>
                      <w:sz w:val="21"/>
                      <w:szCs w:val="21"/>
                      <w:lang w:val="en-US" w:eastAsia="zh-CN"/>
                    </w:rPr>
                    <w:t>.0</w:t>
                  </w:r>
                </w:p>
              </w:tc>
              <w:tc>
                <w:tcPr>
                  <w:tcW w:w="919" w:type="pct"/>
                  <w:tcBorders>
                    <w:tl2br w:val="nil"/>
                    <w:tr2bl w:val="nil"/>
                  </w:tcBorders>
                  <w:noWrap w:val="0"/>
                  <w:vAlign w:val="center"/>
                </w:tcPr>
                <w:p w14:paraId="446E4DC4">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9</w:t>
                  </w:r>
                  <w:r>
                    <w:rPr>
                      <w:rFonts w:hint="eastAsia" w:ascii="Times New Roman" w:hAnsi="Times New Roman" w:cs="Times New Roman"/>
                      <w:color w:val="000000"/>
                      <w:sz w:val="21"/>
                      <w:szCs w:val="21"/>
                      <w:lang w:val="en-US" w:eastAsia="zh-CN"/>
                    </w:rPr>
                    <w:t>5</w:t>
                  </w:r>
                </w:p>
              </w:tc>
              <w:tc>
                <w:tcPr>
                  <w:tcW w:w="555" w:type="pct"/>
                  <w:vMerge w:val="continue"/>
                  <w:tcBorders>
                    <w:tl2br w:val="nil"/>
                    <w:tr2bl w:val="nil"/>
                  </w:tcBorders>
                  <w:noWrap w:val="0"/>
                  <w:vAlign w:val="center"/>
                </w:tcPr>
                <w:p w14:paraId="08C11375">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p>
              </w:tc>
              <w:tc>
                <w:tcPr>
                  <w:tcW w:w="555" w:type="pct"/>
                  <w:vMerge w:val="continue"/>
                  <w:tcBorders>
                    <w:tl2br w:val="nil"/>
                    <w:tr2bl w:val="nil"/>
                  </w:tcBorders>
                  <w:noWrap w:val="0"/>
                  <w:vAlign w:val="center"/>
                </w:tcPr>
                <w:p w14:paraId="48E538D1">
                  <w:pPr>
                    <w:pStyle w:val="110"/>
                    <w:keepLines w:val="0"/>
                    <w:pageBreakBefore w:val="0"/>
                    <w:widowControl/>
                    <w:kinsoku/>
                    <w:wordWrap/>
                    <w:topLinePunct w:val="0"/>
                    <w:autoSpaceDE/>
                    <w:autoSpaceDN/>
                    <w:bidi w:val="0"/>
                    <w:spacing w:line="240" w:lineRule="auto"/>
                    <w:ind w:right="0" w:firstLine="0" w:firstLineChars="0"/>
                    <w:jc w:val="center"/>
                    <w:rPr>
                      <w:rFonts w:hint="default" w:ascii="Times New Roman" w:hAnsi="Times New Roman" w:cs="Times New Roman"/>
                      <w:color w:val="000000"/>
                      <w:sz w:val="21"/>
                      <w:szCs w:val="21"/>
                      <w:lang w:val="en-US" w:eastAsia="zh-CN"/>
                    </w:rPr>
                  </w:pPr>
                </w:p>
              </w:tc>
            </w:tr>
            <w:tr w14:paraId="4DF1C0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57" w:type="pct"/>
                  <w:tcBorders>
                    <w:tl2br w:val="nil"/>
                    <w:tr2bl w:val="nil"/>
                  </w:tcBorders>
                  <w:noWrap w:val="0"/>
                  <w:vAlign w:val="center"/>
                </w:tcPr>
                <w:p w14:paraId="54CA73C3">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3</w:t>
                  </w:r>
                </w:p>
              </w:tc>
              <w:tc>
                <w:tcPr>
                  <w:tcW w:w="638" w:type="pct"/>
                  <w:tcBorders>
                    <w:tl2br w:val="nil"/>
                    <w:tr2bl w:val="nil"/>
                  </w:tcBorders>
                  <w:noWrap w:val="0"/>
                  <w:vAlign w:val="center"/>
                </w:tcPr>
                <w:p w14:paraId="2969CD29">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风机</w:t>
                  </w:r>
                </w:p>
              </w:tc>
              <w:tc>
                <w:tcPr>
                  <w:tcW w:w="491" w:type="pct"/>
                  <w:tcBorders>
                    <w:tl2br w:val="nil"/>
                    <w:tr2bl w:val="nil"/>
                  </w:tcBorders>
                  <w:noWrap w:val="0"/>
                  <w:vAlign w:val="center"/>
                </w:tcPr>
                <w:p w14:paraId="7D6CA58A">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w:t>
                  </w:r>
                </w:p>
              </w:tc>
              <w:tc>
                <w:tcPr>
                  <w:tcW w:w="528" w:type="pct"/>
                  <w:tcBorders>
                    <w:tl2br w:val="nil"/>
                    <w:tr2bl w:val="nil"/>
                  </w:tcBorders>
                  <w:noWrap w:val="0"/>
                  <w:vAlign w:val="center"/>
                </w:tcPr>
                <w:p w14:paraId="1B4CB8B7">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28</w:t>
                  </w:r>
                </w:p>
              </w:tc>
              <w:tc>
                <w:tcPr>
                  <w:tcW w:w="561" w:type="pct"/>
                  <w:tcBorders>
                    <w:tl2br w:val="nil"/>
                    <w:tr2bl w:val="nil"/>
                  </w:tcBorders>
                  <w:noWrap w:val="0"/>
                  <w:vAlign w:val="center"/>
                </w:tcPr>
                <w:p w14:paraId="37ADEC28">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w:t>
                  </w:r>
                  <w:r>
                    <w:rPr>
                      <w:rFonts w:hint="default" w:ascii="Times New Roman" w:hAnsi="Times New Roman" w:cs="Times New Roman"/>
                      <w:color w:val="000000"/>
                      <w:sz w:val="21"/>
                      <w:szCs w:val="21"/>
                      <w:lang w:val="en-US" w:eastAsia="zh-CN"/>
                    </w:rPr>
                    <w:t>46</w:t>
                  </w:r>
                </w:p>
              </w:tc>
              <w:tc>
                <w:tcPr>
                  <w:tcW w:w="491" w:type="pct"/>
                  <w:tcBorders>
                    <w:tl2br w:val="nil"/>
                    <w:tr2bl w:val="nil"/>
                  </w:tcBorders>
                  <w:noWrap w:val="0"/>
                  <w:vAlign w:val="center"/>
                </w:tcPr>
                <w:p w14:paraId="5CD93595">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w:t>
                  </w:r>
                  <w:r>
                    <w:rPr>
                      <w:rFonts w:hint="default" w:ascii="Times New Roman" w:hAnsi="Times New Roman" w:cs="Times New Roman"/>
                      <w:color w:val="000000"/>
                      <w:sz w:val="21"/>
                      <w:szCs w:val="21"/>
                      <w:lang w:val="en-US" w:eastAsia="zh-CN"/>
                    </w:rPr>
                    <w:t>.0</w:t>
                  </w:r>
                </w:p>
              </w:tc>
              <w:tc>
                <w:tcPr>
                  <w:tcW w:w="919" w:type="pct"/>
                  <w:tcBorders>
                    <w:tl2br w:val="nil"/>
                    <w:tr2bl w:val="nil"/>
                  </w:tcBorders>
                  <w:noWrap w:val="0"/>
                  <w:vAlign w:val="center"/>
                </w:tcPr>
                <w:p w14:paraId="0DCAB01D">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9</w:t>
                  </w:r>
                  <w:r>
                    <w:rPr>
                      <w:rFonts w:hint="eastAsia" w:ascii="Times New Roman" w:hAnsi="Times New Roman" w:cs="Times New Roman"/>
                      <w:color w:val="000000"/>
                      <w:sz w:val="21"/>
                      <w:szCs w:val="21"/>
                      <w:lang w:val="en-US" w:eastAsia="zh-CN"/>
                    </w:rPr>
                    <w:t>5</w:t>
                  </w:r>
                </w:p>
              </w:tc>
              <w:tc>
                <w:tcPr>
                  <w:tcW w:w="555" w:type="pct"/>
                  <w:vMerge w:val="continue"/>
                  <w:tcBorders>
                    <w:tl2br w:val="nil"/>
                    <w:tr2bl w:val="nil"/>
                  </w:tcBorders>
                  <w:noWrap w:val="0"/>
                  <w:vAlign w:val="center"/>
                </w:tcPr>
                <w:p w14:paraId="26997CAA">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p>
              </w:tc>
              <w:tc>
                <w:tcPr>
                  <w:tcW w:w="555" w:type="pct"/>
                  <w:vMerge w:val="continue"/>
                  <w:tcBorders>
                    <w:tl2br w:val="nil"/>
                    <w:tr2bl w:val="nil"/>
                  </w:tcBorders>
                  <w:noWrap w:val="0"/>
                  <w:vAlign w:val="center"/>
                </w:tcPr>
                <w:p w14:paraId="689F041D">
                  <w:pPr>
                    <w:pStyle w:val="110"/>
                    <w:keepLines w:val="0"/>
                    <w:pageBreakBefore w:val="0"/>
                    <w:widowControl/>
                    <w:kinsoku/>
                    <w:wordWrap/>
                    <w:topLinePunct w:val="0"/>
                    <w:autoSpaceDE/>
                    <w:autoSpaceDN/>
                    <w:bidi w:val="0"/>
                    <w:spacing w:line="240" w:lineRule="auto"/>
                    <w:ind w:right="0" w:firstLine="0" w:firstLineChars="0"/>
                    <w:jc w:val="center"/>
                    <w:rPr>
                      <w:rFonts w:hint="default" w:ascii="Times New Roman" w:hAnsi="Times New Roman" w:cs="Times New Roman"/>
                      <w:color w:val="000000"/>
                      <w:sz w:val="21"/>
                      <w:szCs w:val="21"/>
                      <w:lang w:val="en-US" w:eastAsia="zh-CN"/>
                    </w:rPr>
                  </w:pPr>
                </w:p>
              </w:tc>
            </w:tr>
            <w:tr w14:paraId="5A8ED9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57" w:type="pct"/>
                  <w:tcBorders>
                    <w:tl2br w:val="nil"/>
                    <w:tr2bl w:val="nil"/>
                  </w:tcBorders>
                  <w:noWrap w:val="0"/>
                  <w:vAlign w:val="center"/>
                </w:tcPr>
                <w:p w14:paraId="6D5076F3">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4</w:t>
                  </w:r>
                </w:p>
              </w:tc>
              <w:tc>
                <w:tcPr>
                  <w:tcW w:w="638" w:type="pct"/>
                  <w:tcBorders>
                    <w:tl2br w:val="nil"/>
                    <w:tr2bl w:val="nil"/>
                  </w:tcBorders>
                  <w:noWrap w:val="0"/>
                  <w:vAlign w:val="center"/>
                </w:tcPr>
                <w:p w14:paraId="36824D12">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风机</w:t>
                  </w:r>
                </w:p>
              </w:tc>
              <w:tc>
                <w:tcPr>
                  <w:tcW w:w="491" w:type="pct"/>
                  <w:tcBorders>
                    <w:tl2br w:val="nil"/>
                    <w:tr2bl w:val="nil"/>
                  </w:tcBorders>
                  <w:noWrap w:val="0"/>
                  <w:vAlign w:val="center"/>
                </w:tcPr>
                <w:p w14:paraId="31F8574D">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w:t>
                  </w:r>
                </w:p>
              </w:tc>
              <w:tc>
                <w:tcPr>
                  <w:tcW w:w="528" w:type="pct"/>
                  <w:tcBorders>
                    <w:tl2br w:val="nil"/>
                    <w:tr2bl w:val="nil"/>
                  </w:tcBorders>
                  <w:noWrap w:val="0"/>
                  <w:vAlign w:val="center"/>
                </w:tcPr>
                <w:p w14:paraId="0CB751F3">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24</w:t>
                  </w:r>
                </w:p>
              </w:tc>
              <w:tc>
                <w:tcPr>
                  <w:tcW w:w="561" w:type="pct"/>
                  <w:tcBorders>
                    <w:tl2br w:val="nil"/>
                    <w:tr2bl w:val="nil"/>
                  </w:tcBorders>
                  <w:noWrap w:val="0"/>
                  <w:vAlign w:val="center"/>
                </w:tcPr>
                <w:p w14:paraId="3670022E">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-53</w:t>
                  </w:r>
                </w:p>
              </w:tc>
              <w:tc>
                <w:tcPr>
                  <w:tcW w:w="491" w:type="pct"/>
                  <w:tcBorders>
                    <w:tl2br w:val="nil"/>
                    <w:tr2bl w:val="nil"/>
                  </w:tcBorders>
                  <w:noWrap w:val="0"/>
                  <w:vAlign w:val="center"/>
                </w:tcPr>
                <w:p w14:paraId="478014B8">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eastAsia="宋体" w:cs="Times New Roman"/>
                      <w:b w:val="0"/>
                      <w:color w:val="000000"/>
                      <w:kern w:val="2"/>
                      <w:sz w:val="21"/>
                      <w:szCs w:val="21"/>
                      <w:lang w:val="en-US" w:eastAsia="zh-CN" w:bidi="ar-SA"/>
                    </w:rPr>
                  </w:pPr>
                  <w:r>
                    <w:rPr>
                      <w:rFonts w:hint="default" w:ascii="Times New Roman" w:hAnsi="Times New Roman" w:cs="Times New Roman"/>
                      <w:color w:val="000000"/>
                      <w:sz w:val="21"/>
                      <w:szCs w:val="21"/>
                      <w:lang w:val="en-US" w:eastAsia="zh-CN"/>
                    </w:rPr>
                    <w:t>1.0</w:t>
                  </w:r>
                </w:p>
              </w:tc>
              <w:tc>
                <w:tcPr>
                  <w:tcW w:w="919" w:type="pct"/>
                  <w:tcBorders>
                    <w:tl2br w:val="nil"/>
                    <w:tr2bl w:val="nil"/>
                  </w:tcBorders>
                  <w:noWrap w:val="0"/>
                  <w:vAlign w:val="center"/>
                </w:tcPr>
                <w:p w14:paraId="1B804EDD">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eastAsia="宋体" w:cs="Times New Roman"/>
                      <w:b w:val="0"/>
                      <w:color w:val="000000"/>
                      <w:kern w:val="2"/>
                      <w:sz w:val="21"/>
                      <w:szCs w:val="21"/>
                      <w:lang w:val="en-US" w:eastAsia="zh-CN" w:bidi="ar-SA"/>
                    </w:rPr>
                  </w:pPr>
                  <w:r>
                    <w:rPr>
                      <w:rFonts w:hint="default" w:ascii="Times New Roman" w:hAnsi="Times New Roman" w:cs="Times New Roman"/>
                      <w:color w:val="000000"/>
                      <w:sz w:val="21"/>
                      <w:szCs w:val="21"/>
                      <w:lang w:val="en-US" w:eastAsia="zh-CN"/>
                    </w:rPr>
                    <w:t>9</w:t>
                  </w:r>
                  <w:r>
                    <w:rPr>
                      <w:rFonts w:hint="eastAsia" w:ascii="Times New Roman" w:hAnsi="Times New Roman" w:cs="Times New Roman"/>
                      <w:color w:val="000000"/>
                      <w:sz w:val="21"/>
                      <w:szCs w:val="21"/>
                      <w:lang w:val="en-US" w:eastAsia="zh-CN"/>
                    </w:rPr>
                    <w:t>5</w:t>
                  </w:r>
                </w:p>
              </w:tc>
              <w:tc>
                <w:tcPr>
                  <w:tcW w:w="555" w:type="pct"/>
                  <w:vMerge w:val="continue"/>
                  <w:tcBorders>
                    <w:tl2br w:val="nil"/>
                    <w:tr2bl w:val="nil"/>
                  </w:tcBorders>
                  <w:noWrap w:val="0"/>
                  <w:vAlign w:val="center"/>
                </w:tcPr>
                <w:p w14:paraId="499A11EE">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p>
              </w:tc>
              <w:tc>
                <w:tcPr>
                  <w:tcW w:w="555" w:type="pct"/>
                  <w:vMerge w:val="continue"/>
                  <w:tcBorders>
                    <w:tl2br w:val="nil"/>
                    <w:tr2bl w:val="nil"/>
                  </w:tcBorders>
                  <w:noWrap w:val="0"/>
                  <w:vAlign w:val="center"/>
                </w:tcPr>
                <w:p w14:paraId="2A2165B7">
                  <w:pPr>
                    <w:pStyle w:val="110"/>
                    <w:keepLines w:val="0"/>
                    <w:pageBreakBefore w:val="0"/>
                    <w:widowControl/>
                    <w:kinsoku/>
                    <w:wordWrap/>
                    <w:topLinePunct w:val="0"/>
                    <w:autoSpaceDE/>
                    <w:autoSpaceDN/>
                    <w:bidi w:val="0"/>
                    <w:spacing w:line="240" w:lineRule="auto"/>
                    <w:ind w:right="0" w:firstLine="0" w:firstLineChars="0"/>
                    <w:jc w:val="center"/>
                    <w:rPr>
                      <w:rFonts w:hint="default" w:ascii="Times New Roman" w:hAnsi="Times New Roman" w:cs="Times New Roman"/>
                      <w:color w:val="000000"/>
                      <w:sz w:val="21"/>
                      <w:szCs w:val="21"/>
                      <w:lang w:val="en-US" w:eastAsia="zh-CN"/>
                    </w:rPr>
                  </w:pPr>
                </w:p>
              </w:tc>
            </w:tr>
            <w:tr w14:paraId="717D43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57" w:type="pct"/>
                  <w:tcBorders>
                    <w:tl2br w:val="nil"/>
                    <w:tr2bl w:val="nil"/>
                  </w:tcBorders>
                  <w:noWrap w:val="0"/>
                  <w:vAlign w:val="center"/>
                </w:tcPr>
                <w:p w14:paraId="13CA3E74">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5</w:t>
                  </w:r>
                </w:p>
              </w:tc>
              <w:tc>
                <w:tcPr>
                  <w:tcW w:w="638" w:type="pct"/>
                  <w:tcBorders>
                    <w:tl2br w:val="nil"/>
                    <w:tr2bl w:val="nil"/>
                  </w:tcBorders>
                  <w:noWrap w:val="0"/>
                  <w:vAlign w:val="center"/>
                </w:tcPr>
                <w:p w14:paraId="46AC4EA2">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水泵</w:t>
                  </w:r>
                </w:p>
              </w:tc>
              <w:tc>
                <w:tcPr>
                  <w:tcW w:w="491" w:type="pct"/>
                  <w:tcBorders>
                    <w:tl2br w:val="nil"/>
                    <w:tr2bl w:val="nil"/>
                  </w:tcBorders>
                  <w:noWrap w:val="0"/>
                  <w:vAlign w:val="center"/>
                </w:tcPr>
                <w:p w14:paraId="40363C2B">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w:t>
                  </w:r>
                </w:p>
              </w:tc>
              <w:tc>
                <w:tcPr>
                  <w:tcW w:w="528" w:type="pct"/>
                  <w:tcBorders>
                    <w:tl2br w:val="nil"/>
                    <w:tr2bl w:val="nil"/>
                  </w:tcBorders>
                  <w:noWrap w:val="0"/>
                  <w:vAlign w:val="center"/>
                </w:tcPr>
                <w:p w14:paraId="215F7B4C">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-67</w:t>
                  </w:r>
                </w:p>
              </w:tc>
              <w:tc>
                <w:tcPr>
                  <w:tcW w:w="561" w:type="pct"/>
                  <w:tcBorders>
                    <w:tl2br w:val="nil"/>
                    <w:tr2bl w:val="nil"/>
                  </w:tcBorders>
                  <w:noWrap w:val="0"/>
                  <w:vAlign w:val="center"/>
                </w:tcPr>
                <w:p w14:paraId="19FFD20E">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56</w:t>
                  </w:r>
                </w:p>
              </w:tc>
              <w:tc>
                <w:tcPr>
                  <w:tcW w:w="491" w:type="pct"/>
                  <w:tcBorders>
                    <w:tl2br w:val="nil"/>
                    <w:tr2bl w:val="nil"/>
                  </w:tcBorders>
                  <w:noWrap w:val="0"/>
                  <w:vAlign w:val="center"/>
                </w:tcPr>
                <w:p w14:paraId="4226D06E">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-1.0</w:t>
                  </w:r>
                </w:p>
              </w:tc>
              <w:tc>
                <w:tcPr>
                  <w:tcW w:w="919" w:type="pct"/>
                  <w:tcBorders>
                    <w:tl2br w:val="nil"/>
                    <w:tr2bl w:val="nil"/>
                  </w:tcBorders>
                  <w:noWrap w:val="0"/>
                  <w:vAlign w:val="center"/>
                </w:tcPr>
                <w:p w14:paraId="265943C6">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90</w:t>
                  </w:r>
                </w:p>
              </w:tc>
              <w:tc>
                <w:tcPr>
                  <w:tcW w:w="555" w:type="pct"/>
                  <w:vMerge w:val="continue"/>
                  <w:tcBorders>
                    <w:tl2br w:val="nil"/>
                    <w:tr2bl w:val="nil"/>
                  </w:tcBorders>
                  <w:noWrap w:val="0"/>
                  <w:vAlign w:val="center"/>
                </w:tcPr>
                <w:p w14:paraId="1DE314CC">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p>
              </w:tc>
              <w:tc>
                <w:tcPr>
                  <w:tcW w:w="555" w:type="pct"/>
                  <w:vMerge w:val="continue"/>
                  <w:tcBorders>
                    <w:tl2br w:val="nil"/>
                    <w:tr2bl w:val="nil"/>
                  </w:tcBorders>
                  <w:noWrap w:val="0"/>
                  <w:vAlign w:val="center"/>
                </w:tcPr>
                <w:p w14:paraId="0DE7316D">
                  <w:pPr>
                    <w:pStyle w:val="110"/>
                    <w:keepLines w:val="0"/>
                    <w:pageBreakBefore w:val="0"/>
                    <w:widowControl/>
                    <w:kinsoku/>
                    <w:wordWrap/>
                    <w:topLinePunct w:val="0"/>
                    <w:autoSpaceDE/>
                    <w:autoSpaceDN/>
                    <w:bidi w:val="0"/>
                    <w:spacing w:line="240" w:lineRule="auto"/>
                    <w:ind w:right="0" w:firstLine="0" w:firstLineChars="0"/>
                    <w:jc w:val="center"/>
                    <w:rPr>
                      <w:rFonts w:hint="default" w:ascii="Times New Roman" w:hAnsi="Times New Roman" w:cs="Times New Roman"/>
                      <w:color w:val="000000"/>
                      <w:sz w:val="21"/>
                      <w:szCs w:val="21"/>
                      <w:lang w:val="en-US" w:eastAsia="zh-CN"/>
                    </w:rPr>
                  </w:pPr>
                </w:p>
              </w:tc>
            </w:tr>
            <w:tr w14:paraId="28E9AE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57" w:type="pct"/>
                  <w:tcBorders>
                    <w:tl2br w:val="nil"/>
                    <w:tr2bl w:val="nil"/>
                  </w:tcBorders>
                  <w:noWrap w:val="0"/>
                  <w:vAlign w:val="center"/>
                </w:tcPr>
                <w:p w14:paraId="1E48B8EC">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6</w:t>
                  </w:r>
                </w:p>
              </w:tc>
              <w:tc>
                <w:tcPr>
                  <w:tcW w:w="638" w:type="pct"/>
                  <w:tcBorders>
                    <w:tl2br w:val="nil"/>
                    <w:tr2bl w:val="nil"/>
                  </w:tcBorders>
                  <w:noWrap w:val="0"/>
                  <w:vAlign w:val="center"/>
                </w:tcPr>
                <w:p w14:paraId="6C33631F">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水泵</w:t>
                  </w:r>
                </w:p>
              </w:tc>
              <w:tc>
                <w:tcPr>
                  <w:tcW w:w="491" w:type="pct"/>
                  <w:tcBorders>
                    <w:tl2br w:val="nil"/>
                    <w:tr2bl w:val="nil"/>
                  </w:tcBorders>
                  <w:noWrap w:val="0"/>
                  <w:vAlign w:val="center"/>
                </w:tcPr>
                <w:p w14:paraId="1EEA2356">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w:t>
                  </w:r>
                </w:p>
              </w:tc>
              <w:tc>
                <w:tcPr>
                  <w:tcW w:w="528" w:type="pct"/>
                  <w:tcBorders>
                    <w:tl2br w:val="nil"/>
                    <w:tr2bl w:val="nil"/>
                  </w:tcBorders>
                  <w:noWrap w:val="0"/>
                  <w:vAlign w:val="center"/>
                </w:tcPr>
                <w:p w14:paraId="69D8DD3E">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45</w:t>
                  </w:r>
                </w:p>
              </w:tc>
              <w:tc>
                <w:tcPr>
                  <w:tcW w:w="561" w:type="pct"/>
                  <w:tcBorders>
                    <w:tl2br w:val="nil"/>
                    <w:tr2bl w:val="nil"/>
                  </w:tcBorders>
                  <w:noWrap w:val="0"/>
                  <w:vAlign w:val="center"/>
                </w:tcPr>
                <w:p w14:paraId="1AAB3005">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36</w:t>
                  </w:r>
                </w:p>
              </w:tc>
              <w:tc>
                <w:tcPr>
                  <w:tcW w:w="491" w:type="pct"/>
                  <w:tcBorders>
                    <w:tl2br w:val="nil"/>
                    <w:tr2bl w:val="nil"/>
                  </w:tcBorders>
                  <w:noWrap w:val="0"/>
                  <w:vAlign w:val="center"/>
                </w:tcPr>
                <w:p w14:paraId="7D4E9351">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-1.0</w:t>
                  </w:r>
                </w:p>
              </w:tc>
              <w:tc>
                <w:tcPr>
                  <w:tcW w:w="919" w:type="pct"/>
                  <w:tcBorders>
                    <w:tl2br w:val="nil"/>
                    <w:tr2bl w:val="nil"/>
                  </w:tcBorders>
                  <w:noWrap w:val="0"/>
                  <w:vAlign w:val="center"/>
                </w:tcPr>
                <w:p w14:paraId="45068879">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90</w:t>
                  </w:r>
                </w:p>
              </w:tc>
              <w:tc>
                <w:tcPr>
                  <w:tcW w:w="555" w:type="pct"/>
                  <w:vMerge w:val="continue"/>
                  <w:tcBorders>
                    <w:tl2br w:val="nil"/>
                    <w:tr2bl w:val="nil"/>
                  </w:tcBorders>
                  <w:noWrap w:val="0"/>
                  <w:vAlign w:val="center"/>
                </w:tcPr>
                <w:p w14:paraId="77032B34">
                  <w:pPr>
                    <w:pStyle w:val="110"/>
                    <w:keepLines w:val="0"/>
                    <w:pageBreakBefore w:val="0"/>
                    <w:widowControl/>
                    <w:kinsoku/>
                    <w:wordWrap/>
                    <w:topLinePunct w:val="0"/>
                    <w:autoSpaceDE/>
                    <w:autoSpaceDN/>
                    <w:bidi w:val="0"/>
                    <w:adjustRightInd w:val="0"/>
                    <w:snapToGrid w:val="0"/>
                    <w:spacing w:line="240" w:lineRule="auto"/>
                    <w:ind w:right="0" w:firstLine="0" w:firstLineChars="0"/>
                    <w:rPr>
                      <w:rFonts w:hint="default" w:ascii="Times New Roman" w:hAnsi="Times New Roman" w:cs="Times New Roman"/>
                      <w:color w:val="000000"/>
                      <w:sz w:val="21"/>
                      <w:szCs w:val="21"/>
                      <w:lang w:val="en-US" w:eastAsia="zh-CN"/>
                    </w:rPr>
                  </w:pPr>
                </w:p>
              </w:tc>
              <w:tc>
                <w:tcPr>
                  <w:tcW w:w="555" w:type="pct"/>
                  <w:vMerge w:val="continue"/>
                  <w:tcBorders>
                    <w:tl2br w:val="nil"/>
                    <w:tr2bl w:val="nil"/>
                  </w:tcBorders>
                  <w:noWrap w:val="0"/>
                  <w:vAlign w:val="center"/>
                </w:tcPr>
                <w:p w14:paraId="36B3F52F">
                  <w:pPr>
                    <w:pStyle w:val="110"/>
                    <w:keepLines w:val="0"/>
                    <w:pageBreakBefore w:val="0"/>
                    <w:widowControl/>
                    <w:kinsoku/>
                    <w:wordWrap/>
                    <w:topLinePunct w:val="0"/>
                    <w:autoSpaceDE/>
                    <w:autoSpaceDN/>
                    <w:bidi w:val="0"/>
                    <w:spacing w:line="240" w:lineRule="auto"/>
                    <w:ind w:right="0" w:firstLine="0" w:firstLineChars="0"/>
                    <w:jc w:val="center"/>
                    <w:rPr>
                      <w:rFonts w:hint="default" w:ascii="Times New Roman" w:hAnsi="Times New Roman" w:cs="Times New Roman"/>
                      <w:color w:val="000000"/>
                      <w:sz w:val="21"/>
                      <w:szCs w:val="21"/>
                      <w:lang w:val="en-US" w:eastAsia="zh-CN"/>
                    </w:rPr>
                  </w:pPr>
                </w:p>
              </w:tc>
            </w:tr>
          </w:tbl>
          <w:p w14:paraId="58DC5CC2">
            <w:pPr>
              <w:pStyle w:val="59"/>
              <w:bidi w:val="0"/>
              <w:jc w:val="center"/>
              <w:rPr>
                <w:rFonts w:hint="default" w:ascii="Times New Roman" w:hAnsi="Times New Roman" w:cs="Times New Roman"/>
                <w:color w:val="000000"/>
                <w:lang w:val="en-US" w:eastAsia="zh-CN"/>
              </w:rPr>
            </w:pPr>
          </w:p>
          <w:p w14:paraId="276C7253">
            <w:pPr>
              <w:pStyle w:val="59"/>
              <w:bidi w:val="0"/>
              <w:jc w:val="center"/>
              <w:rPr>
                <w:rFonts w:hint="default" w:ascii="Times New Roman" w:hAnsi="Times New Roman" w:cs="Times New Roman"/>
                <w:color w:val="000000"/>
                <w:lang w:val="en-US" w:eastAsia="zh-CN"/>
              </w:rPr>
            </w:pPr>
          </w:p>
          <w:p w14:paraId="1463F143">
            <w:pPr>
              <w:pStyle w:val="59"/>
              <w:bidi w:val="0"/>
              <w:ind w:left="0" w:leftChars="0" w:firstLine="0" w:firstLineChars="0"/>
              <w:jc w:val="both"/>
              <w:rPr>
                <w:rFonts w:hint="default" w:ascii="Times New Roman" w:hAnsi="Times New Roman" w:cs="Times New Roman"/>
                <w:color w:val="000000"/>
                <w:lang w:val="en-US" w:eastAsia="zh-CN"/>
              </w:rPr>
            </w:pPr>
          </w:p>
          <w:p w14:paraId="3290D811">
            <w:pPr>
              <w:pStyle w:val="59"/>
              <w:bidi w:val="0"/>
              <w:jc w:val="center"/>
              <w:rPr>
                <w:rFonts w:hint="default" w:ascii="Times New Roman" w:hAnsi="Times New Roman" w:cs="Times New Roman"/>
                <w:color w:val="000000"/>
                <w:lang w:val="en-US" w:eastAsia="zh-CN"/>
              </w:rPr>
            </w:pPr>
          </w:p>
          <w:p w14:paraId="3FB8E976">
            <w:pPr>
              <w:pStyle w:val="59"/>
              <w:bidi w:val="0"/>
              <w:jc w:val="center"/>
              <w:rPr>
                <w:rFonts w:hint="default" w:ascii="Times New Roman" w:hAnsi="Times New Roman" w:cs="Times New Roman"/>
                <w:color w:val="000000"/>
                <w:lang w:val="en-US" w:eastAsia="zh-CN"/>
              </w:rPr>
            </w:pPr>
          </w:p>
          <w:p w14:paraId="52B91B57">
            <w:pPr>
              <w:pStyle w:val="59"/>
              <w:bidi w:val="0"/>
              <w:jc w:val="center"/>
              <w:rPr>
                <w:rFonts w:hint="default" w:ascii="Times New Roman" w:hAnsi="Times New Roman" w:cs="Times New Roman"/>
                <w:color w:val="000000"/>
                <w:lang w:val="en-US" w:eastAsia="zh-CN"/>
              </w:rPr>
            </w:pPr>
          </w:p>
          <w:p w14:paraId="554F1E2D">
            <w:pPr>
              <w:pStyle w:val="59"/>
              <w:bidi w:val="0"/>
              <w:jc w:val="center"/>
              <w:rPr>
                <w:rFonts w:hint="default" w:ascii="Times New Roman" w:hAnsi="Times New Roman" w:cs="Times New Roman"/>
                <w:color w:val="000000"/>
                <w:lang w:val="en-US" w:eastAsia="zh-CN"/>
              </w:rPr>
            </w:pPr>
          </w:p>
          <w:p w14:paraId="4FC17387">
            <w:pPr>
              <w:pStyle w:val="59"/>
              <w:bidi w:val="0"/>
              <w:jc w:val="center"/>
              <w:rPr>
                <w:rFonts w:hint="default" w:ascii="Times New Roman" w:hAnsi="Times New Roman" w:cs="Times New Roman"/>
                <w:color w:val="000000"/>
                <w:lang w:val="en-US" w:eastAsia="zh-CN"/>
              </w:rPr>
            </w:pPr>
          </w:p>
          <w:p w14:paraId="4525C4E6">
            <w:pPr>
              <w:pStyle w:val="59"/>
              <w:bidi w:val="0"/>
              <w:jc w:val="center"/>
              <w:rPr>
                <w:rFonts w:hint="default" w:ascii="Times New Roman" w:hAnsi="Times New Roman" w:cs="Times New Roman"/>
                <w:color w:val="000000"/>
                <w:lang w:val="en-US" w:eastAsia="zh-CN"/>
              </w:rPr>
            </w:pPr>
          </w:p>
          <w:p w14:paraId="30BE0AA7">
            <w:pPr>
              <w:pStyle w:val="59"/>
              <w:bidi w:val="0"/>
              <w:jc w:val="center"/>
              <w:rPr>
                <w:rFonts w:hint="default" w:ascii="Times New Roman" w:hAnsi="Times New Roman" w:cs="Times New Roman"/>
                <w:color w:val="000000"/>
                <w:lang w:val="en-US" w:eastAsia="zh-CN"/>
              </w:rPr>
            </w:pPr>
          </w:p>
          <w:p w14:paraId="1806B751">
            <w:pPr>
              <w:pStyle w:val="59"/>
              <w:bidi w:val="0"/>
              <w:jc w:val="center"/>
              <w:rPr>
                <w:rFonts w:hint="default" w:ascii="Times New Roman" w:hAnsi="Times New Roman" w:cs="Times New Roman"/>
                <w:color w:val="000000"/>
                <w:lang w:val="en-US" w:eastAsia="zh-CN"/>
              </w:rPr>
            </w:pPr>
          </w:p>
          <w:p w14:paraId="3931F359">
            <w:pPr>
              <w:rPr>
                <w:color w:val="auto"/>
                <w:vertAlign w:val="baseline"/>
              </w:rPr>
            </w:pPr>
          </w:p>
        </w:tc>
      </w:tr>
    </w:tbl>
    <w:p w14:paraId="49A90C38">
      <w:pPr>
        <w:rPr>
          <w:color w:val="auto"/>
        </w:rPr>
      </w:pPr>
      <w:r>
        <w:rPr>
          <w:color w:val="auto"/>
        </w:rPr>
        <w:br w:type="page"/>
      </w:r>
    </w:p>
    <w:p w14:paraId="24FB4BC8">
      <w:pPr>
        <w:pStyle w:val="2"/>
        <w:spacing w:before="0" w:after="0" w:line="240" w:lineRule="auto"/>
        <w:rPr>
          <w:color w:val="auto"/>
        </w:rPr>
        <w:sectPr>
          <w:pgSz w:w="16838" w:h="11906" w:orient="landscape"/>
          <w:pgMar w:top="1417" w:right="1587" w:bottom="1417" w:left="1587" w:header="851" w:footer="851" w:gutter="0"/>
          <w:pgBorders>
            <w:top w:val="none" w:sz="0" w:space="0"/>
            <w:left w:val="none" w:sz="0" w:space="0"/>
            <w:bottom w:val="none" w:sz="0" w:space="0"/>
            <w:right w:val="none" w:sz="0" w:space="0"/>
          </w:pgBorders>
          <w:cols w:space="720" w:num="1"/>
          <w:docGrid w:linePitch="312" w:charSpace="0"/>
        </w:sectPr>
      </w:pPr>
    </w:p>
    <w:p w14:paraId="00A7B7B8">
      <w:pPr>
        <w:pStyle w:val="2"/>
        <w:spacing w:before="0" w:after="0" w:line="240" w:lineRule="auto"/>
        <w:rPr>
          <w:color w:val="auto"/>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2"/>
        <w:gridCol w:w="8676"/>
      </w:tblGrid>
      <w:tr w14:paraId="4A981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2" w:type="dxa"/>
          </w:tcPr>
          <w:p w14:paraId="427F408C">
            <w:pPr>
              <w:pStyle w:val="2"/>
              <w:spacing w:before="0" w:after="0" w:line="240" w:lineRule="auto"/>
              <w:rPr>
                <w:rFonts w:hint="default" w:ascii="Times New Roman" w:hAnsi="Times New Roman" w:eastAsia="宋体" w:cs="Times New Roman"/>
                <w:color w:val="auto"/>
                <w:vertAlign w:val="baseline"/>
              </w:rPr>
            </w:pPr>
          </w:p>
        </w:tc>
        <w:tc>
          <w:tcPr>
            <w:tcW w:w="8676" w:type="dxa"/>
          </w:tcPr>
          <w:p w14:paraId="7B33D5DD">
            <w:pPr>
              <w:ind w:firstLine="482"/>
              <w:rPr>
                <w:rFonts w:hint="default" w:ascii="Times New Roman" w:hAnsi="Times New Roman" w:eastAsia="宋体" w:cs="Times New Roman"/>
                <w:b/>
                <w:bCs/>
                <w:color w:val="auto"/>
              </w:rPr>
            </w:pPr>
            <w:r>
              <w:rPr>
                <w:rFonts w:hint="default" w:ascii="Times New Roman" w:hAnsi="Times New Roman" w:eastAsia="宋体" w:cs="Times New Roman"/>
                <w:b/>
                <w:bCs/>
                <w:color w:val="auto"/>
              </w:rPr>
              <w:t>2.基础数据</w:t>
            </w:r>
          </w:p>
          <w:p w14:paraId="69F99A71">
            <w:pPr>
              <w:pStyle w:val="12"/>
              <w:adjustRightInd w:val="0"/>
              <w:spacing w:before="0" w:after="0" w:line="360" w:lineRule="auto"/>
              <w:ind w:right="0"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项目噪声环境影响预测基础数据见表4-</w:t>
            </w:r>
            <w:r>
              <w:rPr>
                <w:rFonts w:hint="default" w:ascii="Times New Roman" w:hAnsi="Times New Roman" w:eastAsia="宋体" w:cs="Times New Roman"/>
                <w:color w:val="auto"/>
                <w:sz w:val="24"/>
                <w:szCs w:val="24"/>
                <w:lang w:val="en-US" w:eastAsia="zh-CN"/>
              </w:rPr>
              <w:t>14</w:t>
            </w:r>
            <w:r>
              <w:rPr>
                <w:rFonts w:hint="default" w:ascii="Times New Roman" w:hAnsi="Times New Roman" w:eastAsia="宋体" w:cs="Times New Roman"/>
                <w:color w:val="auto"/>
                <w:sz w:val="24"/>
                <w:szCs w:val="24"/>
              </w:rPr>
              <w:t>。</w:t>
            </w:r>
          </w:p>
          <w:p w14:paraId="66029199">
            <w:pPr>
              <w:pStyle w:val="12"/>
              <w:adjustRightInd w:val="0"/>
              <w:spacing w:before="0" w:after="0" w:line="240" w:lineRule="auto"/>
              <w:ind w:right="0" w:firstLine="482"/>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表4-</w:t>
            </w:r>
            <w:r>
              <w:rPr>
                <w:rFonts w:hint="default" w:ascii="Times New Roman" w:hAnsi="Times New Roman" w:eastAsia="宋体" w:cs="Times New Roman"/>
                <w:b/>
                <w:bCs/>
                <w:color w:val="auto"/>
                <w:sz w:val="21"/>
                <w:szCs w:val="21"/>
                <w:lang w:val="en-US" w:eastAsia="zh-CN"/>
              </w:rPr>
              <w:t>14</w:t>
            </w:r>
            <w:r>
              <w:rPr>
                <w:rFonts w:hint="default" w:ascii="Times New Roman" w:hAnsi="Times New Roman" w:eastAsia="宋体" w:cs="Times New Roman"/>
                <w:b/>
                <w:bCs/>
                <w:color w:val="auto"/>
                <w:sz w:val="21"/>
                <w:szCs w:val="21"/>
              </w:rPr>
              <w:t xml:space="preserve">  项目噪声环境影响预测基础数据表</w:t>
            </w:r>
            <w:bookmarkStart w:id="78" w:name="PT_4"/>
          </w:p>
          <w:bookmarkEnd w:id="78"/>
          <w:tbl>
            <w:tblPr>
              <w:tblStyle w:val="3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462"/>
              <w:gridCol w:w="2761"/>
              <w:gridCol w:w="2118"/>
              <w:gridCol w:w="2109"/>
            </w:tblGrid>
            <w:tr w14:paraId="2FB467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865" w:type="pct"/>
                  <w:vAlign w:val="center"/>
                </w:tcPr>
                <w:p w14:paraId="251B830D">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序号</w:t>
                  </w:r>
                </w:p>
              </w:tc>
              <w:tc>
                <w:tcPr>
                  <w:tcW w:w="1634" w:type="pct"/>
                  <w:vAlign w:val="center"/>
                </w:tcPr>
                <w:p w14:paraId="7EAF66D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名称</w:t>
                  </w:r>
                </w:p>
              </w:tc>
              <w:tc>
                <w:tcPr>
                  <w:tcW w:w="1253" w:type="pct"/>
                  <w:vAlign w:val="center"/>
                </w:tcPr>
                <w:p w14:paraId="7F30EA2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单位</w:t>
                  </w:r>
                </w:p>
              </w:tc>
              <w:tc>
                <w:tcPr>
                  <w:tcW w:w="1248" w:type="pct"/>
                  <w:vAlign w:val="center"/>
                </w:tcPr>
                <w:p w14:paraId="64595C92">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数据</w:t>
                  </w:r>
                </w:p>
              </w:tc>
            </w:tr>
            <w:tr w14:paraId="339FC9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FFFFFF"/>
                <w:tblCellMar>
                  <w:top w:w="0" w:type="dxa"/>
                  <w:left w:w="108" w:type="dxa"/>
                  <w:bottom w:w="0" w:type="dxa"/>
                  <w:right w:w="108" w:type="dxa"/>
                </w:tblCellMar>
              </w:tblPrEx>
              <w:trPr>
                <w:jc w:val="center"/>
              </w:trPr>
              <w:tc>
                <w:tcPr>
                  <w:tcW w:w="865" w:type="pct"/>
                  <w:shd w:val="clear" w:color="auto" w:fill="FFFFFF"/>
                  <w:vAlign w:val="center"/>
                </w:tcPr>
                <w:p w14:paraId="738FB121">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634" w:type="pct"/>
                  <w:shd w:val="clear" w:color="auto" w:fill="FFFFFF"/>
                  <w:vAlign w:val="center"/>
                </w:tcPr>
                <w:p w14:paraId="7D4B6FA1">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年平均风速</w:t>
                  </w:r>
                </w:p>
              </w:tc>
              <w:tc>
                <w:tcPr>
                  <w:tcW w:w="1253" w:type="pct"/>
                  <w:shd w:val="clear" w:color="auto" w:fill="FFFFFF"/>
                  <w:vAlign w:val="center"/>
                </w:tcPr>
                <w:p w14:paraId="7981AC01">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m/s</w:t>
                  </w:r>
                </w:p>
              </w:tc>
              <w:tc>
                <w:tcPr>
                  <w:tcW w:w="2213" w:type="dxa"/>
                  <w:shd w:val="clear" w:color="auto" w:fill="FFFFFF"/>
                  <w:vAlign w:val="center"/>
                </w:tcPr>
                <w:p w14:paraId="0A6B57D9">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3.</w:t>
                  </w:r>
                  <w:r>
                    <w:rPr>
                      <w:rFonts w:hint="default" w:ascii="Times New Roman" w:hAnsi="Times New Roman" w:eastAsia="宋体" w:cs="Times New Roman"/>
                      <w:color w:val="auto"/>
                      <w:sz w:val="21"/>
                      <w:szCs w:val="21"/>
                      <w:lang w:val="en-US" w:eastAsia="zh-CN"/>
                    </w:rPr>
                    <w:t>2</w:t>
                  </w:r>
                </w:p>
              </w:tc>
            </w:tr>
            <w:tr w14:paraId="179B2C8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FFFFFF"/>
                <w:tblCellMar>
                  <w:top w:w="0" w:type="dxa"/>
                  <w:left w:w="108" w:type="dxa"/>
                  <w:bottom w:w="0" w:type="dxa"/>
                  <w:right w:w="108" w:type="dxa"/>
                </w:tblCellMar>
              </w:tblPrEx>
              <w:trPr>
                <w:jc w:val="center"/>
              </w:trPr>
              <w:tc>
                <w:tcPr>
                  <w:tcW w:w="865" w:type="pct"/>
                  <w:shd w:val="clear" w:color="auto" w:fill="FFFFFF"/>
                  <w:vAlign w:val="center"/>
                </w:tcPr>
                <w:p w14:paraId="69D3D51A">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634" w:type="pct"/>
                  <w:shd w:val="clear" w:color="auto" w:fill="FFFFFF"/>
                  <w:vAlign w:val="center"/>
                </w:tcPr>
                <w:p w14:paraId="7F538438">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主导风向</w:t>
                  </w:r>
                </w:p>
              </w:tc>
              <w:tc>
                <w:tcPr>
                  <w:tcW w:w="1253" w:type="pct"/>
                  <w:shd w:val="clear" w:color="auto" w:fill="FFFFFF"/>
                  <w:vAlign w:val="center"/>
                </w:tcPr>
                <w:p w14:paraId="56A4745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2213" w:type="dxa"/>
                  <w:shd w:val="clear" w:color="auto" w:fill="FFFFFF"/>
                  <w:vAlign w:val="center"/>
                </w:tcPr>
                <w:p w14:paraId="191424F0">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东北风</w:t>
                  </w:r>
                </w:p>
              </w:tc>
            </w:tr>
            <w:tr w14:paraId="21B5C4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FFFFFF"/>
                <w:tblCellMar>
                  <w:top w:w="0" w:type="dxa"/>
                  <w:left w:w="108" w:type="dxa"/>
                  <w:bottom w:w="0" w:type="dxa"/>
                  <w:right w:w="108" w:type="dxa"/>
                </w:tblCellMar>
              </w:tblPrEx>
              <w:trPr>
                <w:jc w:val="center"/>
              </w:trPr>
              <w:tc>
                <w:tcPr>
                  <w:tcW w:w="865" w:type="pct"/>
                  <w:shd w:val="clear" w:color="auto" w:fill="FFFFFF"/>
                  <w:vAlign w:val="center"/>
                </w:tcPr>
                <w:p w14:paraId="6AEAA2A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1634" w:type="pct"/>
                  <w:shd w:val="clear" w:color="auto" w:fill="FFFFFF"/>
                  <w:vAlign w:val="center"/>
                </w:tcPr>
                <w:p w14:paraId="26B08FE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年平均气温</w:t>
                  </w:r>
                </w:p>
              </w:tc>
              <w:tc>
                <w:tcPr>
                  <w:tcW w:w="1253" w:type="pct"/>
                  <w:shd w:val="clear" w:color="auto" w:fill="FFFFFF"/>
                  <w:vAlign w:val="center"/>
                </w:tcPr>
                <w:p w14:paraId="5EE1625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2213" w:type="dxa"/>
                  <w:shd w:val="clear" w:color="auto" w:fill="FFFFFF"/>
                  <w:vAlign w:val="center"/>
                </w:tcPr>
                <w:p w14:paraId="0DA2F19A">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16.</w:t>
                  </w:r>
                  <w:r>
                    <w:rPr>
                      <w:rFonts w:hint="default" w:ascii="Times New Roman" w:hAnsi="Times New Roman" w:eastAsia="宋体" w:cs="Times New Roman"/>
                      <w:color w:val="auto"/>
                      <w:sz w:val="21"/>
                      <w:szCs w:val="21"/>
                      <w:lang w:val="en-US" w:eastAsia="zh-CN"/>
                    </w:rPr>
                    <w:t>6</w:t>
                  </w:r>
                </w:p>
              </w:tc>
            </w:tr>
            <w:tr w14:paraId="40B98E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FFFFFF"/>
                <w:tblCellMar>
                  <w:top w:w="0" w:type="dxa"/>
                  <w:left w:w="108" w:type="dxa"/>
                  <w:bottom w:w="0" w:type="dxa"/>
                  <w:right w:w="108" w:type="dxa"/>
                </w:tblCellMar>
              </w:tblPrEx>
              <w:trPr>
                <w:jc w:val="center"/>
              </w:trPr>
              <w:tc>
                <w:tcPr>
                  <w:tcW w:w="865" w:type="pct"/>
                  <w:shd w:val="clear" w:color="auto" w:fill="FFFFFF"/>
                  <w:vAlign w:val="center"/>
                </w:tcPr>
                <w:p w14:paraId="057E3788">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1634" w:type="pct"/>
                  <w:shd w:val="clear" w:color="auto" w:fill="FFFFFF"/>
                  <w:vAlign w:val="center"/>
                </w:tcPr>
                <w:p w14:paraId="2764982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年平均相对湿度</w:t>
                  </w:r>
                </w:p>
              </w:tc>
              <w:tc>
                <w:tcPr>
                  <w:tcW w:w="1253" w:type="pct"/>
                  <w:shd w:val="clear" w:color="auto" w:fill="FFFFFF"/>
                  <w:vAlign w:val="center"/>
                </w:tcPr>
                <w:p w14:paraId="15157BD7">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2213" w:type="dxa"/>
                  <w:shd w:val="clear" w:color="auto" w:fill="FFFFFF"/>
                  <w:vAlign w:val="center"/>
                </w:tcPr>
                <w:p w14:paraId="18EDDE5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78</w:t>
                  </w:r>
                </w:p>
              </w:tc>
            </w:tr>
            <w:tr w14:paraId="0F3BD7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FFFFFF"/>
                <w:tblCellMar>
                  <w:top w:w="0" w:type="dxa"/>
                  <w:left w:w="108" w:type="dxa"/>
                  <w:bottom w:w="0" w:type="dxa"/>
                  <w:right w:w="108" w:type="dxa"/>
                </w:tblCellMar>
              </w:tblPrEx>
              <w:trPr>
                <w:jc w:val="center"/>
              </w:trPr>
              <w:tc>
                <w:tcPr>
                  <w:tcW w:w="865" w:type="pct"/>
                  <w:shd w:val="clear" w:color="auto" w:fill="FFFFFF"/>
                  <w:vAlign w:val="center"/>
                </w:tcPr>
                <w:p w14:paraId="5A4DF22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c>
                <w:tcPr>
                  <w:tcW w:w="1634" w:type="pct"/>
                  <w:shd w:val="clear" w:color="auto" w:fill="FFFFFF"/>
                  <w:vAlign w:val="center"/>
                </w:tcPr>
                <w:p w14:paraId="0A6169AF">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大气压强</w:t>
                  </w:r>
                </w:p>
              </w:tc>
              <w:tc>
                <w:tcPr>
                  <w:tcW w:w="1253" w:type="pct"/>
                  <w:shd w:val="clear" w:color="auto" w:fill="FFFFFF"/>
                  <w:vAlign w:val="center"/>
                </w:tcPr>
                <w:p w14:paraId="1ED27A07">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atm</w:t>
                  </w:r>
                </w:p>
              </w:tc>
              <w:tc>
                <w:tcPr>
                  <w:tcW w:w="2213" w:type="dxa"/>
                  <w:shd w:val="clear" w:color="auto" w:fill="FFFFFF"/>
                  <w:vAlign w:val="center"/>
                </w:tcPr>
                <w:p w14:paraId="617C85EB">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r>
          </w:tbl>
          <w:p w14:paraId="33EE8D5C">
            <w:pPr>
              <w:pStyle w:val="61"/>
              <w:ind w:firstLine="482"/>
              <w:rPr>
                <w:rFonts w:hint="default" w:ascii="Times New Roman" w:hAnsi="Times New Roman" w:eastAsia="宋体" w:cs="Times New Roman"/>
                <w:b/>
                <w:bCs/>
                <w:color w:val="auto"/>
                <w:lang w:val="zh-CN"/>
              </w:rPr>
            </w:pPr>
            <w:r>
              <w:rPr>
                <w:rFonts w:hint="default" w:ascii="Times New Roman" w:hAnsi="Times New Roman" w:eastAsia="宋体" w:cs="Times New Roman"/>
                <w:b/>
                <w:bCs/>
                <w:color w:val="auto"/>
              </w:rPr>
              <w:t>3.噪声环境影响预测</w:t>
            </w:r>
          </w:p>
          <w:p w14:paraId="3845C5A1">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根据项目建设内容及《环境影响评价技术导则—声环境》（HJ2.4-2021）的要求，预测模式采用（HJ2.4-2021）中推荐的噪声预测模式进行预测分析。</w:t>
            </w:r>
          </w:p>
          <w:p w14:paraId="33C57867">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①首先计算出某个室内靠近围护结构处的倍频带声压级：</w:t>
            </w:r>
          </w:p>
          <w:p w14:paraId="2C1969DB">
            <w:pPr>
              <w:adjustRightInd w:val="0"/>
              <w:snapToGrid w:val="0"/>
              <w:ind w:firstLine="480"/>
              <w:jc w:val="center"/>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2019300" cy="476250"/>
                  <wp:effectExtent l="0" t="0" r="0" b="0"/>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30"/>
                          <a:stretch>
                            <a:fillRect/>
                          </a:stretch>
                        </pic:blipFill>
                        <pic:spPr>
                          <a:xfrm>
                            <a:off x="0" y="0"/>
                            <a:ext cx="2019300" cy="476250"/>
                          </a:xfrm>
                          <a:prstGeom prst="rect">
                            <a:avLst/>
                          </a:prstGeom>
                          <a:noFill/>
                          <a:ln>
                            <a:noFill/>
                          </a:ln>
                        </pic:spPr>
                      </pic:pic>
                    </a:graphicData>
                  </a:graphic>
                </wp:inline>
              </w:drawing>
            </w:r>
          </w:p>
          <w:p w14:paraId="041A4F4A">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式中：Loct，1为某个室内声源在靠近围护结构处产生的倍频带声压级，Lwoct为某个声源的倍频带声功率级，r1为室内某个声源与靠近围护结构处的距离，R为房间常数，Q为方向因子。</w:t>
            </w:r>
          </w:p>
          <w:p w14:paraId="31C6F8F1">
            <w:pPr>
              <w:adjustRightInd w:val="0"/>
              <w:snapToGrid w:val="0"/>
              <w:ind w:firstLine="480"/>
              <w:jc w:val="center"/>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1915160" cy="1031875"/>
                  <wp:effectExtent l="0" t="0" r="8890" b="1587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31"/>
                          <a:stretch>
                            <a:fillRect/>
                          </a:stretch>
                        </pic:blipFill>
                        <pic:spPr>
                          <a:xfrm>
                            <a:off x="0" y="0"/>
                            <a:ext cx="1915160" cy="1031875"/>
                          </a:xfrm>
                          <a:prstGeom prst="rect">
                            <a:avLst/>
                          </a:prstGeom>
                          <a:noFill/>
                          <a:ln>
                            <a:noFill/>
                          </a:ln>
                        </pic:spPr>
                      </pic:pic>
                    </a:graphicData>
                  </a:graphic>
                </wp:inline>
              </w:drawing>
            </w:r>
          </w:p>
          <w:p w14:paraId="64DF538D">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②再计算出所有室内声源在靠近围护结构处产生的总倍频带声压级：</w:t>
            </w:r>
          </w:p>
          <w:p w14:paraId="2F001948">
            <w:pPr>
              <w:adjustRightInd w:val="0"/>
              <w:snapToGrid w:val="0"/>
              <w:ind w:firstLine="480"/>
              <w:jc w:val="center"/>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1837690" cy="457200"/>
                  <wp:effectExtent l="0" t="0" r="1016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32"/>
                          <a:stretch>
                            <a:fillRect/>
                          </a:stretch>
                        </pic:blipFill>
                        <pic:spPr>
                          <a:xfrm>
                            <a:off x="0" y="0"/>
                            <a:ext cx="1837690" cy="457200"/>
                          </a:xfrm>
                          <a:prstGeom prst="rect">
                            <a:avLst/>
                          </a:prstGeom>
                          <a:noFill/>
                          <a:ln>
                            <a:noFill/>
                          </a:ln>
                        </pic:spPr>
                      </pic:pic>
                    </a:graphicData>
                  </a:graphic>
                </wp:inline>
              </w:drawing>
            </w:r>
          </w:p>
          <w:p w14:paraId="38038F6E">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③计算出室外靠近围护结构处的声压级：</w:t>
            </w:r>
          </w:p>
          <w:p w14:paraId="0BEAA5B1">
            <w:pPr>
              <w:adjustRightInd w:val="0"/>
              <w:snapToGrid w:val="0"/>
              <w:ind w:firstLine="480"/>
              <w:jc w:val="center"/>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1952625" cy="238125"/>
                  <wp:effectExtent l="0" t="0" r="9525" b="825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33"/>
                          <a:stretch>
                            <a:fillRect/>
                          </a:stretch>
                        </pic:blipFill>
                        <pic:spPr>
                          <a:xfrm>
                            <a:off x="0" y="0"/>
                            <a:ext cx="1952625" cy="238125"/>
                          </a:xfrm>
                          <a:prstGeom prst="rect">
                            <a:avLst/>
                          </a:prstGeom>
                          <a:noFill/>
                          <a:ln>
                            <a:noFill/>
                          </a:ln>
                        </pic:spPr>
                      </pic:pic>
                    </a:graphicData>
                  </a:graphic>
                </wp:inline>
              </w:drawing>
            </w:r>
          </w:p>
          <w:p w14:paraId="7248B96F">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④将室外声级Loct，2（T）和透声面积换算成等效的室外声源，计算出等效声源第i个倍频带的声功率级Lwoct：</w:t>
            </w:r>
          </w:p>
          <w:p w14:paraId="2DFD4059">
            <w:pPr>
              <w:adjustRightInd w:val="0"/>
              <w:snapToGrid w:val="0"/>
              <w:ind w:firstLine="480"/>
              <w:jc w:val="center"/>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1609725" cy="238125"/>
                  <wp:effectExtent l="0" t="0" r="9525" b="825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34"/>
                          <a:stretch>
                            <a:fillRect/>
                          </a:stretch>
                        </pic:blipFill>
                        <pic:spPr>
                          <a:xfrm>
                            <a:off x="0" y="0"/>
                            <a:ext cx="1609725" cy="238125"/>
                          </a:xfrm>
                          <a:prstGeom prst="rect">
                            <a:avLst/>
                          </a:prstGeom>
                          <a:noFill/>
                          <a:ln>
                            <a:noFill/>
                          </a:ln>
                        </pic:spPr>
                      </pic:pic>
                    </a:graphicData>
                  </a:graphic>
                </wp:inline>
              </w:drawing>
            </w:r>
          </w:p>
          <w:p w14:paraId="256C5540">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式中：S为透声面积，m</w:t>
            </w:r>
            <w:r>
              <w:rPr>
                <w:rFonts w:hint="default" w:ascii="Times New Roman" w:hAnsi="Times New Roman" w:eastAsia="宋体" w:cs="Times New Roman"/>
                <w:color w:val="auto"/>
                <w:vertAlign w:val="superscript"/>
              </w:rPr>
              <w:t>2</w:t>
            </w:r>
            <w:r>
              <w:rPr>
                <w:rFonts w:hint="default" w:ascii="Times New Roman" w:hAnsi="Times New Roman" w:eastAsia="宋体" w:cs="Times New Roman"/>
                <w:color w:val="auto"/>
              </w:rPr>
              <w:t>。</w:t>
            </w:r>
          </w:p>
          <w:p w14:paraId="2B5C9918">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⑤等效室外声源的位置为围护结构的位置，其倍频带声功率级为Lwoct，由此按室外声源方法计算等效室外声源在预测点产生的声级。</w:t>
            </w:r>
          </w:p>
          <w:p w14:paraId="5DCC6ABD">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由上述各式可计算出周围声环境因该项目设备新增加的声级值，再按声能量迭加模式预测出某点的总声压级值，预测模式如下：</w:t>
            </w:r>
          </w:p>
          <w:p w14:paraId="4C3BFED9">
            <w:pPr>
              <w:adjustRightInd w:val="0"/>
              <w:snapToGrid w:val="0"/>
              <w:ind w:firstLine="480"/>
              <w:jc w:val="center"/>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2932430" cy="447675"/>
                  <wp:effectExtent l="0" t="0" r="0" b="825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35"/>
                          <a:stretch>
                            <a:fillRect/>
                          </a:stretch>
                        </pic:blipFill>
                        <pic:spPr>
                          <a:xfrm>
                            <a:off x="0" y="0"/>
                            <a:ext cx="2932430" cy="447675"/>
                          </a:xfrm>
                          <a:prstGeom prst="rect">
                            <a:avLst/>
                          </a:prstGeom>
                          <a:noFill/>
                          <a:ln>
                            <a:noFill/>
                          </a:ln>
                        </pic:spPr>
                      </pic:pic>
                    </a:graphicData>
                  </a:graphic>
                </wp:inline>
              </w:drawing>
            </w:r>
          </w:p>
          <w:p w14:paraId="408C469C">
            <w:pPr>
              <w:adjustRightInd w:val="0"/>
              <w:snapToGrid w:val="0"/>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式中：Leq总—某预测点总声压级，dB（A）；</w:t>
            </w:r>
          </w:p>
          <w:p w14:paraId="3C4480E1">
            <w:pPr>
              <w:adjustRightInd w:val="0"/>
              <w:snapToGrid w:val="0"/>
              <w:ind w:firstLine="1200" w:firstLineChars="500"/>
              <w:rPr>
                <w:rFonts w:hint="default" w:ascii="Times New Roman" w:hAnsi="Times New Roman" w:eastAsia="宋体" w:cs="Times New Roman"/>
                <w:color w:val="auto"/>
              </w:rPr>
            </w:pPr>
            <w:r>
              <w:rPr>
                <w:rFonts w:hint="default" w:ascii="Times New Roman" w:hAnsi="Times New Roman" w:eastAsia="宋体" w:cs="Times New Roman"/>
                <w:color w:val="auto"/>
              </w:rPr>
              <w:t>n—为室外声源个数；</w:t>
            </w:r>
          </w:p>
          <w:p w14:paraId="6C151FBA">
            <w:pPr>
              <w:adjustRightInd w:val="0"/>
              <w:snapToGrid w:val="0"/>
              <w:ind w:firstLine="1200" w:firstLineChars="500"/>
              <w:rPr>
                <w:rFonts w:hint="default" w:ascii="Times New Roman" w:hAnsi="Times New Roman" w:eastAsia="宋体" w:cs="Times New Roman"/>
                <w:color w:val="auto"/>
              </w:rPr>
            </w:pPr>
            <w:r>
              <w:rPr>
                <w:rFonts w:hint="default" w:ascii="Times New Roman" w:hAnsi="Times New Roman" w:eastAsia="宋体" w:cs="Times New Roman"/>
                <w:color w:val="auto"/>
              </w:rPr>
              <w:t>m—为等效室外声源个数；</w:t>
            </w:r>
          </w:p>
          <w:p w14:paraId="31CA0A41">
            <w:pPr>
              <w:adjustRightInd w:val="0"/>
              <w:snapToGrid w:val="0"/>
              <w:ind w:firstLine="1200" w:firstLineChars="500"/>
              <w:rPr>
                <w:rFonts w:hint="default" w:ascii="Times New Roman" w:hAnsi="Times New Roman" w:eastAsia="宋体" w:cs="Times New Roman"/>
                <w:color w:val="auto"/>
              </w:rPr>
            </w:pPr>
            <w:r>
              <w:rPr>
                <w:rFonts w:hint="default" w:ascii="Times New Roman" w:hAnsi="Times New Roman" w:eastAsia="宋体" w:cs="Times New Roman"/>
                <w:color w:val="auto"/>
              </w:rPr>
              <w:t>T—为计算等效声级时间。</w:t>
            </w:r>
          </w:p>
          <w:p w14:paraId="70793958">
            <w:pPr>
              <w:ind w:firstLine="480"/>
              <w:outlineLvl w:val="3"/>
              <w:rPr>
                <w:rFonts w:hint="default" w:ascii="Times New Roman" w:hAnsi="Times New Roman" w:eastAsia="宋体" w:cs="Times New Roman"/>
                <w:bCs/>
                <w:color w:val="auto"/>
              </w:rPr>
            </w:pPr>
            <w:r>
              <w:rPr>
                <w:rFonts w:hint="default" w:ascii="Times New Roman" w:hAnsi="Times New Roman" w:eastAsia="宋体" w:cs="Times New Roman"/>
                <w:bCs/>
                <w:color w:val="auto"/>
              </w:rPr>
              <w:t>考虑噪声距离衰减、减振及隔声等措施，预测建设完成后，厂界受到的影响，具体预测结果见表4-</w:t>
            </w:r>
            <w:r>
              <w:rPr>
                <w:rFonts w:hint="default" w:ascii="Times New Roman" w:hAnsi="Times New Roman" w:eastAsia="宋体" w:cs="Times New Roman"/>
                <w:bCs/>
                <w:color w:val="auto"/>
                <w:lang w:val="en-US" w:eastAsia="zh-CN"/>
              </w:rPr>
              <w:t>15</w:t>
            </w:r>
            <w:r>
              <w:rPr>
                <w:rFonts w:hint="default" w:ascii="Times New Roman" w:hAnsi="Times New Roman" w:eastAsia="宋体" w:cs="Times New Roman"/>
                <w:bCs/>
                <w:color w:val="auto"/>
              </w:rPr>
              <w:t>。</w:t>
            </w:r>
          </w:p>
          <w:p w14:paraId="1A6DBAB8">
            <w:pPr>
              <w:pStyle w:val="194"/>
              <w:ind w:firstLine="482"/>
              <w:rPr>
                <w:rFonts w:hint="default" w:ascii="Times New Roman" w:hAnsi="Times New Roman" w:eastAsia="宋体" w:cs="Times New Roman"/>
                <w:color w:val="auto"/>
                <w:sz w:val="21"/>
                <w:szCs w:val="24"/>
              </w:rPr>
            </w:pPr>
            <w:r>
              <w:rPr>
                <w:rFonts w:hint="default" w:ascii="Times New Roman" w:hAnsi="Times New Roman" w:eastAsia="宋体" w:cs="Times New Roman"/>
                <w:color w:val="auto"/>
                <w:sz w:val="21"/>
                <w:szCs w:val="24"/>
              </w:rPr>
              <w:t>表4-</w:t>
            </w:r>
            <w:r>
              <w:rPr>
                <w:rFonts w:hint="default" w:ascii="Times New Roman" w:hAnsi="Times New Roman" w:eastAsia="宋体" w:cs="Times New Roman"/>
                <w:color w:val="auto"/>
                <w:sz w:val="21"/>
                <w:szCs w:val="24"/>
                <w:lang w:val="en-US" w:eastAsia="zh-CN"/>
              </w:rPr>
              <w:t>15</w:t>
            </w:r>
            <w:r>
              <w:rPr>
                <w:rFonts w:hint="default" w:ascii="Times New Roman" w:hAnsi="Times New Roman" w:eastAsia="宋体" w:cs="Times New Roman"/>
                <w:color w:val="auto"/>
                <w:sz w:val="21"/>
                <w:szCs w:val="24"/>
              </w:rPr>
              <w:t xml:space="preserve">  噪声预测结果</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789"/>
              <w:gridCol w:w="789"/>
              <w:gridCol w:w="690"/>
              <w:gridCol w:w="825"/>
              <w:gridCol w:w="1606"/>
              <w:gridCol w:w="1606"/>
              <w:gridCol w:w="1121"/>
            </w:tblGrid>
            <w:tr w14:paraId="67BEF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vMerge w:val="restart"/>
                  <w:vAlign w:val="center"/>
                </w:tcPr>
                <w:p w14:paraId="7A75FB6A">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预测方位</w:t>
                  </w:r>
                </w:p>
              </w:tc>
              <w:tc>
                <w:tcPr>
                  <w:tcW w:w="1342" w:type="pct"/>
                  <w:gridSpan w:val="3"/>
                  <w:vAlign w:val="center"/>
                </w:tcPr>
                <w:p w14:paraId="122A4F1E">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最大值点空间相对位置/m</w:t>
                  </w:r>
                </w:p>
              </w:tc>
              <w:tc>
                <w:tcPr>
                  <w:tcW w:w="488" w:type="pct"/>
                  <w:vMerge w:val="restart"/>
                  <w:vAlign w:val="center"/>
                </w:tcPr>
                <w:p w14:paraId="0DEACBAE">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时段</w:t>
                  </w:r>
                </w:p>
              </w:tc>
              <w:tc>
                <w:tcPr>
                  <w:tcW w:w="950" w:type="pct"/>
                  <w:vMerge w:val="restart"/>
                  <w:vAlign w:val="center"/>
                </w:tcPr>
                <w:p w14:paraId="221FD16F">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贡献值（dB(A)）</w:t>
                  </w:r>
                </w:p>
              </w:tc>
              <w:tc>
                <w:tcPr>
                  <w:tcW w:w="950" w:type="pct"/>
                  <w:vMerge w:val="restart"/>
                  <w:vAlign w:val="center"/>
                </w:tcPr>
                <w:p w14:paraId="5338A872">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昼间限值（dB(A)）</w:t>
                  </w:r>
                </w:p>
              </w:tc>
              <w:tc>
                <w:tcPr>
                  <w:tcW w:w="663" w:type="pct"/>
                  <w:vMerge w:val="restart"/>
                  <w:vAlign w:val="center"/>
                </w:tcPr>
                <w:p w14:paraId="6B95E633">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达标情况</w:t>
                  </w:r>
                </w:p>
              </w:tc>
            </w:tr>
            <w:tr w14:paraId="29D1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vMerge w:val="continue"/>
                  <w:shd w:val="clear" w:color="auto" w:fill="FFFFFF"/>
                  <w:vAlign w:val="center"/>
                </w:tcPr>
                <w:p w14:paraId="4931D56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67" w:type="pct"/>
                  <w:shd w:val="clear" w:color="auto" w:fill="FFFFFF"/>
                  <w:vAlign w:val="center"/>
                </w:tcPr>
                <w:p w14:paraId="6EAE029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X</w:t>
                  </w:r>
                </w:p>
              </w:tc>
              <w:tc>
                <w:tcPr>
                  <w:tcW w:w="467" w:type="pct"/>
                  <w:shd w:val="clear" w:color="auto" w:fill="FFFFFF"/>
                  <w:vAlign w:val="center"/>
                </w:tcPr>
                <w:p w14:paraId="11DFE96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Y</w:t>
                  </w:r>
                </w:p>
              </w:tc>
              <w:tc>
                <w:tcPr>
                  <w:tcW w:w="407" w:type="pct"/>
                  <w:shd w:val="clear" w:color="auto" w:fill="FFFFFF"/>
                  <w:vAlign w:val="center"/>
                </w:tcPr>
                <w:p w14:paraId="6C81BFE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Z</w:t>
                  </w:r>
                </w:p>
              </w:tc>
              <w:tc>
                <w:tcPr>
                  <w:tcW w:w="488" w:type="pct"/>
                  <w:vMerge w:val="continue"/>
                  <w:shd w:val="clear" w:color="auto" w:fill="FFFFFF"/>
                  <w:vAlign w:val="center"/>
                </w:tcPr>
                <w:p w14:paraId="720BAF3D">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950" w:type="pct"/>
                  <w:vMerge w:val="continue"/>
                  <w:shd w:val="clear" w:color="auto" w:fill="FFFFFF"/>
                  <w:vAlign w:val="center"/>
                </w:tcPr>
                <w:p w14:paraId="178C797F">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950" w:type="pct"/>
                  <w:vMerge w:val="continue"/>
                  <w:shd w:val="clear" w:color="auto" w:fill="FFFFFF"/>
                  <w:vAlign w:val="center"/>
                </w:tcPr>
                <w:p w14:paraId="2DFA9DE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663" w:type="pct"/>
                  <w:vMerge w:val="continue"/>
                  <w:shd w:val="clear" w:color="auto" w:fill="FFFFFF"/>
                  <w:vAlign w:val="center"/>
                </w:tcPr>
                <w:p w14:paraId="1F2E01D3">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r>
            <w:tr w14:paraId="302E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604" w:type="pct"/>
                  <w:shd w:val="clear" w:color="auto" w:fill="FFFFFF"/>
                  <w:vAlign w:val="center"/>
                </w:tcPr>
                <w:p w14:paraId="0EB793D6">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东侧</w:t>
                  </w:r>
                </w:p>
              </w:tc>
              <w:tc>
                <w:tcPr>
                  <w:tcW w:w="467" w:type="pct"/>
                  <w:shd w:val="clear" w:color="auto" w:fill="FFFFFF"/>
                  <w:vAlign w:val="center"/>
                </w:tcPr>
                <w:p w14:paraId="43CA9C13">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15.3</w:t>
                  </w:r>
                </w:p>
              </w:tc>
              <w:tc>
                <w:tcPr>
                  <w:tcW w:w="467" w:type="pct"/>
                  <w:shd w:val="clear" w:color="auto" w:fill="FFFFFF"/>
                  <w:vAlign w:val="center"/>
                </w:tcPr>
                <w:p w14:paraId="6917485E">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46</w:t>
                  </w:r>
                </w:p>
              </w:tc>
              <w:tc>
                <w:tcPr>
                  <w:tcW w:w="407" w:type="pct"/>
                  <w:shd w:val="clear" w:color="auto" w:fill="FFFFFF"/>
                  <w:vAlign w:val="center"/>
                </w:tcPr>
                <w:p w14:paraId="4886DED7">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w:t>
                  </w:r>
                </w:p>
              </w:tc>
              <w:tc>
                <w:tcPr>
                  <w:tcW w:w="488" w:type="pct"/>
                  <w:shd w:val="clear" w:color="auto" w:fill="FFFFFF"/>
                  <w:vAlign w:val="center"/>
                </w:tcPr>
                <w:p w14:paraId="49DC2B87">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昼夜</w:t>
                  </w:r>
                </w:p>
              </w:tc>
              <w:tc>
                <w:tcPr>
                  <w:tcW w:w="950" w:type="pct"/>
                  <w:shd w:val="clear" w:color="auto" w:fill="FFFFFF"/>
                  <w:vAlign w:val="center"/>
                </w:tcPr>
                <w:p w14:paraId="123A899F">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45.6</w:t>
                  </w:r>
                </w:p>
              </w:tc>
              <w:tc>
                <w:tcPr>
                  <w:tcW w:w="950" w:type="pct"/>
                  <w:shd w:val="clear" w:color="auto" w:fill="FFFFFF"/>
                  <w:vAlign w:val="center"/>
                </w:tcPr>
                <w:p w14:paraId="764FE18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663" w:type="pct"/>
                  <w:shd w:val="clear" w:color="auto" w:fill="FFFFFF"/>
                  <w:vAlign w:val="center"/>
                </w:tcPr>
                <w:p w14:paraId="1117D20D">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5DA0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604" w:type="pct"/>
                  <w:shd w:val="clear" w:color="auto" w:fill="FFFFFF"/>
                  <w:vAlign w:val="center"/>
                </w:tcPr>
                <w:p w14:paraId="7F53348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南侧</w:t>
                  </w:r>
                </w:p>
              </w:tc>
              <w:tc>
                <w:tcPr>
                  <w:tcW w:w="467" w:type="pct"/>
                  <w:shd w:val="clear" w:color="auto" w:fill="FFFFFF"/>
                  <w:vAlign w:val="center"/>
                </w:tcPr>
                <w:p w14:paraId="208E434D">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52</w:t>
                  </w:r>
                </w:p>
              </w:tc>
              <w:tc>
                <w:tcPr>
                  <w:tcW w:w="467" w:type="pct"/>
                  <w:shd w:val="clear" w:color="auto" w:fill="FFFFFF"/>
                  <w:vAlign w:val="center"/>
                </w:tcPr>
                <w:p w14:paraId="396925D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-48</w:t>
                  </w:r>
                </w:p>
              </w:tc>
              <w:tc>
                <w:tcPr>
                  <w:tcW w:w="407" w:type="pct"/>
                  <w:shd w:val="clear" w:color="auto" w:fill="FFFFFF"/>
                  <w:vAlign w:val="center"/>
                </w:tcPr>
                <w:p w14:paraId="1519AD1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w:t>
                  </w:r>
                </w:p>
              </w:tc>
              <w:tc>
                <w:tcPr>
                  <w:tcW w:w="488" w:type="pct"/>
                  <w:shd w:val="clear" w:color="auto" w:fill="FFFFFF"/>
                  <w:vAlign w:val="center"/>
                </w:tcPr>
                <w:p w14:paraId="628B624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昼夜</w:t>
                  </w:r>
                </w:p>
              </w:tc>
              <w:tc>
                <w:tcPr>
                  <w:tcW w:w="950" w:type="pct"/>
                  <w:shd w:val="clear" w:color="auto" w:fill="FFFFFF"/>
                  <w:vAlign w:val="center"/>
                </w:tcPr>
                <w:p w14:paraId="0658A754">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42.5</w:t>
                  </w:r>
                </w:p>
              </w:tc>
              <w:tc>
                <w:tcPr>
                  <w:tcW w:w="950" w:type="pct"/>
                  <w:shd w:val="clear" w:color="auto" w:fill="FFFFFF"/>
                  <w:vAlign w:val="center"/>
                </w:tcPr>
                <w:p w14:paraId="0F599C0D">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663" w:type="pct"/>
                  <w:shd w:val="clear" w:color="auto" w:fill="FFFFFF"/>
                  <w:vAlign w:val="center"/>
                </w:tcPr>
                <w:p w14:paraId="2A6A8AE7">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018B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jc w:val="center"/>
              </w:trPr>
              <w:tc>
                <w:tcPr>
                  <w:tcW w:w="604" w:type="pct"/>
                  <w:shd w:val="clear" w:color="auto" w:fill="FFFFFF"/>
                  <w:vAlign w:val="center"/>
                </w:tcPr>
                <w:p w14:paraId="30F2BC70">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西侧</w:t>
                  </w:r>
                </w:p>
              </w:tc>
              <w:tc>
                <w:tcPr>
                  <w:tcW w:w="467" w:type="pct"/>
                  <w:shd w:val="clear" w:color="auto" w:fill="FFFFFF"/>
                  <w:vAlign w:val="center"/>
                </w:tcPr>
                <w:p w14:paraId="6D86C24A">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-43</w:t>
                  </w:r>
                </w:p>
              </w:tc>
              <w:tc>
                <w:tcPr>
                  <w:tcW w:w="467" w:type="pct"/>
                  <w:shd w:val="clear" w:color="auto" w:fill="FFFFFF"/>
                  <w:vAlign w:val="center"/>
                </w:tcPr>
                <w:p w14:paraId="020C7A7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-6.2</w:t>
                  </w:r>
                </w:p>
              </w:tc>
              <w:tc>
                <w:tcPr>
                  <w:tcW w:w="407" w:type="pct"/>
                  <w:shd w:val="clear" w:color="auto" w:fill="FFFFFF"/>
                  <w:vAlign w:val="center"/>
                </w:tcPr>
                <w:p w14:paraId="708BF6C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w:t>
                  </w:r>
                </w:p>
              </w:tc>
              <w:tc>
                <w:tcPr>
                  <w:tcW w:w="488" w:type="pct"/>
                  <w:shd w:val="clear" w:color="auto" w:fill="FFFFFF"/>
                  <w:vAlign w:val="center"/>
                </w:tcPr>
                <w:p w14:paraId="66748BA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昼夜</w:t>
                  </w:r>
                </w:p>
              </w:tc>
              <w:tc>
                <w:tcPr>
                  <w:tcW w:w="950" w:type="pct"/>
                  <w:shd w:val="clear" w:color="auto" w:fill="FFFFFF"/>
                  <w:vAlign w:val="center"/>
                </w:tcPr>
                <w:p w14:paraId="7A63E9F6">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53.2</w:t>
                  </w:r>
                </w:p>
              </w:tc>
              <w:tc>
                <w:tcPr>
                  <w:tcW w:w="950" w:type="pct"/>
                  <w:shd w:val="clear" w:color="auto" w:fill="FFFFFF"/>
                  <w:vAlign w:val="center"/>
                </w:tcPr>
                <w:p w14:paraId="01000C76">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663" w:type="pct"/>
                  <w:shd w:val="clear" w:color="auto" w:fill="FFFFFF"/>
                  <w:vAlign w:val="center"/>
                </w:tcPr>
                <w:p w14:paraId="19097ADF">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7F8B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604" w:type="pct"/>
                  <w:shd w:val="clear" w:color="auto" w:fill="FFFFFF"/>
                  <w:vAlign w:val="center"/>
                </w:tcPr>
                <w:p w14:paraId="4C825CD2">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北侧</w:t>
                  </w:r>
                </w:p>
              </w:tc>
              <w:tc>
                <w:tcPr>
                  <w:tcW w:w="467" w:type="pct"/>
                  <w:shd w:val="clear" w:color="auto" w:fill="FFFFFF"/>
                  <w:vAlign w:val="center"/>
                </w:tcPr>
                <w:p w14:paraId="7DADFF4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-25.3</w:t>
                  </w:r>
                </w:p>
              </w:tc>
              <w:tc>
                <w:tcPr>
                  <w:tcW w:w="467" w:type="pct"/>
                  <w:shd w:val="clear" w:color="auto" w:fill="FFFFFF"/>
                  <w:vAlign w:val="center"/>
                </w:tcPr>
                <w:p w14:paraId="26D54330">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63.8</w:t>
                  </w:r>
                </w:p>
              </w:tc>
              <w:tc>
                <w:tcPr>
                  <w:tcW w:w="407" w:type="pct"/>
                  <w:shd w:val="clear" w:color="auto" w:fill="FFFFFF"/>
                  <w:vAlign w:val="center"/>
                </w:tcPr>
                <w:p w14:paraId="75DA521E">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w:t>
                  </w:r>
                </w:p>
              </w:tc>
              <w:tc>
                <w:tcPr>
                  <w:tcW w:w="488" w:type="pct"/>
                  <w:shd w:val="clear" w:color="auto" w:fill="FFFFFF"/>
                  <w:vAlign w:val="center"/>
                </w:tcPr>
                <w:p w14:paraId="1E6C2788">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昼夜</w:t>
                  </w:r>
                </w:p>
              </w:tc>
              <w:tc>
                <w:tcPr>
                  <w:tcW w:w="950" w:type="pct"/>
                  <w:shd w:val="clear" w:color="auto" w:fill="FFFFFF"/>
                  <w:vAlign w:val="center"/>
                </w:tcPr>
                <w:p w14:paraId="7892E337">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54.1</w:t>
                  </w:r>
                </w:p>
              </w:tc>
              <w:tc>
                <w:tcPr>
                  <w:tcW w:w="950" w:type="pct"/>
                  <w:shd w:val="clear" w:color="auto" w:fill="FFFFFF"/>
                  <w:vAlign w:val="center"/>
                </w:tcPr>
                <w:p w14:paraId="220D765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663" w:type="pct"/>
                  <w:shd w:val="clear" w:color="auto" w:fill="FFFFFF"/>
                  <w:vAlign w:val="center"/>
                </w:tcPr>
                <w:p w14:paraId="59C7B05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bl>
          <w:p w14:paraId="02BEC726">
            <w:pPr>
              <w:spacing w:line="240" w:lineRule="auto"/>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18"/>
              </w:rPr>
              <w:t>表中坐标以厂界中心（116.</w:t>
            </w:r>
            <w:r>
              <w:rPr>
                <w:rFonts w:hint="default" w:ascii="Times New Roman" w:hAnsi="Times New Roman" w:eastAsia="宋体" w:cs="Times New Roman"/>
                <w:bCs/>
                <w:color w:val="auto"/>
                <w:sz w:val="21"/>
                <w:szCs w:val="18"/>
                <w:lang w:val="en-US" w:eastAsia="zh-CN"/>
              </w:rPr>
              <w:t>987325</w:t>
            </w:r>
            <w:r>
              <w:rPr>
                <w:rFonts w:hint="default" w:ascii="Times New Roman" w:hAnsi="Times New Roman" w:eastAsia="宋体" w:cs="Times New Roman"/>
                <w:bCs/>
                <w:color w:val="auto"/>
                <w:sz w:val="21"/>
                <w:szCs w:val="18"/>
              </w:rPr>
              <w:t>,30.</w:t>
            </w:r>
            <w:r>
              <w:rPr>
                <w:rFonts w:hint="default" w:ascii="Times New Roman" w:hAnsi="Times New Roman" w:eastAsia="宋体" w:cs="Times New Roman"/>
                <w:bCs/>
                <w:color w:val="auto"/>
                <w:sz w:val="21"/>
                <w:szCs w:val="18"/>
                <w:lang w:val="en-US" w:eastAsia="zh-CN"/>
              </w:rPr>
              <w:t>137955</w:t>
            </w:r>
            <w:r>
              <w:rPr>
                <w:rFonts w:hint="default" w:ascii="Times New Roman" w:hAnsi="Times New Roman" w:eastAsia="宋体" w:cs="Times New Roman"/>
                <w:bCs/>
                <w:color w:val="auto"/>
                <w:sz w:val="21"/>
                <w:szCs w:val="18"/>
              </w:rPr>
              <w:t>）为坐标原点，正东向为X轴正方向，正北向为Y轴正方向。</w:t>
            </w:r>
          </w:p>
          <w:p w14:paraId="153C8CE0">
            <w:pPr>
              <w:pStyle w:val="12"/>
              <w:spacing w:before="0" w:after="0" w:line="360" w:lineRule="auto"/>
              <w:ind w:right="0" w:firstLine="480" w:firstLineChars="200"/>
              <w:jc w:val="left"/>
              <w:rPr>
                <w:rFonts w:hint="default" w:ascii="Times New Roman" w:hAnsi="Times New Roman" w:eastAsia="宋体" w:cs="Times New Roman"/>
                <w:color w:val="auto"/>
                <w:spacing w:val="8"/>
                <w:sz w:val="24"/>
                <w:szCs w:val="24"/>
              </w:rPr>
            </w:pPr>
            <w:r>
              <w:rPr>
                <w:rFonts w:hint="default" w:ascii="Times New Roman" w:hAnsi="Times New Roman" w:eastAsia="宋体" w:cs="Times New Roman"/>
                <w:color w:val="auto"/>
                <w:sz w:val="24"/>
                <w:szCs w:val="24"/>
              </w:rPr>
              <w:t>由预测结果可知，</w:t>
            </w:r>
            <w:r>
              <w:rPr>
                <w:rFonts w:hint="default" w:ascii="Times New Roman" w:hAnsi="Times New Roman" w:eastAsia="宋体" w:cs="Times New Roman"/>
                <w:color w:val="auto"/>
                <w:sz w:val="24"/>
                <w:szCs w:val="24"/>
                <w:lang w:val="zh-CN"/>
              </w:rPr>
              <w:t>厂界的噪声</w:t>
            </w:r>
            <w:r>
              <w:rPr>
                <w:rFonts w:hint="default" w:ascii="Times New Roman" w:hAnsi="Times New Roman" w:eastAsia="宋体" w:cs="Times New Roman"/>
                <w:color w:val="auto"/>
                <w:sz w:val="24"/>
                <w:szCs w:val="24"/>
              </w:rPr>
              <w:t>贡献</w:t>
            </w:r>
            <w:r>
              <w:rPr>
                <w:rFonts w:hint="default" w:ascii="Times New Roman" w:hAnsi="Times New Roman" w:eastAsia="宋体" w:cs="Times New Roman"/>
                <w:color w:val="auto"/>
                <w:sz w:val="24"/>
                <w:szCs w:val="24"/>
                <w:lang w:val="zh-CN"/>
              </w:rPr>
              <w:t>值能够满足《工业企业厂界环境噪声排放标准》(GB12348-2008)</w:t>
            </w:r>
            <w:r>
              <w:rPr>
                <w:rFonts w:hint="default" w:ascii="Times New Roman" w:hAnsi="Times New Roman" w:eastAsia="宋体" w:cs="Times New Roman"/>
                <w:color w:val="auto"/>
                <w:sz w:val="24"/>
                <w:szCs w:val="24"/>
              </w:rPr>
              <w:t>中2类</w:t>
            </w:r>
            <w:r>
              <w:rPr>
                <w:rFonts w:hint="default" w:ascii="Times New Roman" w:hAnsi="Times New Roman" w:eastAsia="宋体" w:cs="Times New Roman"/>
                <w:color w:val="auto"/>
                <w:sz w:val="24"/>
                <w:szCs w:val="24"/>
                <w:lang w:val="zh-CN"/>
              </w:rPr>
              <w:t>标准要求</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zh-CN"/>
              </w:rPr>
              <w:t>项目噪声对环境影响</w:t>
            </w:r>
            <w:r>
              <w:rPr>
                <w:rFonts w:hint="default" w:ascii="Times New Roman" w:hAnsi="Times New Roman" w:eastAsia="宋体" w:cs="Times New Roman"/>
                <w:color w:val="auto"/>
                <w:sz w:val="24"/>
                <w:szCs w:val="24"/>
                <w:lang w:val="en-US" w:eastAsia="zh-CN"/>
              </w:rPr>
              <w:t>较小</w:t>
            </w:r>
            <w:r>
              <w:rPr>
                <w:rFonts w:hint="default" w:ascii="Times New Roman" w:hAnsi="Times New Roman" w:eastAsia="宋体" w:cs="Times New Roman"/>
                <w:color w:val="auto"/>
                <w:spacing w:val="8"/>
                <w:sz w:val="24"/>
                <w:szCs w:val="24"/>
              </w:rPr>
              <w:t>。</w:t>
            </w:r>
          </w:p>
          <w:p w14:paraId="29F8B354">
            <w:pPr>
              <w:pStyle w:val="12"/>
              <w:spacing w:before="0" w:after="0" w:line="360" w:lineRule="auto"/>
              <w:ind w:right="0" w:firstLine="482" w:firstLineChars="200"/>
              <w:jc w:val="left"/>
              <w:rPr>
                <w:rFonts w:hint="default" w:ascii="Times New Roman" w:hAnsi="Times New Roman" w:eastAsia="宋体" w:cs="Times New Roman"/>
                <w:b/>
                <w:bCs/>
                <w:color w:val="auto"/>
                <w:kern w:val="2"/>
                <w:sz w:val="24"/>
                <w:szCs w:val="24"/>
              </w:rPr>
            </w:pPr>
            <w:r>
              <w:rPr>
                <w:rFonts w:hint="default" w:ascii="Times New Roman" w:hAnsi="Times New Roman" w:eastAsia="宋体" w:cs="Times New Roman"/>
                <w:b/>
                <w:bCs/>
                <w:color w:val="auto"/>
                <w:kern w:val="2"/>
                <w:sz w:val="24"/>
                <w:szCs w:val="24"/>
              </w:rPr>
              <w:t>4.噪声治理措施</w:t>
            </w:r>
          </w:p>
          <w:p w14:paraId="4C764E13">
            <w:pPr>
              <w:pStyle w:val="12"/>
              <w:adjustRightInd w:val="0"/>
              <w:spacing w:before="0" w:after="0" w:line="360" w:lineRule="auto"/>
              <w:ind w:right="0" w:firstLine="512"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为了降低该项目噪声对环境的影响，满足</w:t>
            </w:r>
            <w:r>
              <w:rPr>
                <w:rFonts w:hint="default" w:ascii="Times New Roman" w:hAnsi="Times New Roman" w:eastAsia="宋体" w:cs="Times New Roman"/>
                <w:color w:val="auto"/>
                <w:sz w:val="24"/>
                <w:szCs w:val="24"/>
                <w:lang w:val="zh-CN"/>
              </w:rPr>
              <w:t>《工业企业厂界环境噪声排放标准》(GB12348-2008)</w:t>
            </w:r>
            <w:r>
              <w:rPr>
                <w:rFonts w:hint="default" w:ascii="Times New Roman" w:hAnsi="Times New Roman" w:eastAsia="宋体" w:cs="Times New Roman"/>
                <w:color w:val="auto"/>
                <w:sz w:val="24"/>
                <w:szCs w:val="24"/>
              </w:rPr>
              <w:t>中2类</w:t>
            </w:r>
            <w:r>
              <w:rPr>
                <w:rFonts w:hint="default" w:ascii="Times New Roman" w:hAnsi="Times New Roman" w:eastAsia="宋体" w:cs="Times New Roman"/>
                <w:color w:val="auto"/>
                <w:sz w:val="24"/>
                <w:szCs w:val="24"/>
                <w:lang w:val="zh-CN"/>
              </w:rPr>
              <w:t>标准要求</w:t>
            </w:r>
            <w:r>
              <w:rPr>
                <w:rFonts w:hint="default" w:ascii="Times New Roman" w:hAnsi="Times New Roman" w:eastAsia="宋体" w:cs="Times New Roman"/>
                <w:color w:val="auto"/>
                <w:sz w:val="24"/>
                <w:szCs w:val="24"/>
              </w:rPr>
              <w:t>，评价建议采取以下措施来尽量降低噪声：</w:t>
            </w:r>
          </w:p>
          <w:p w14:paraId="6C69CB50">
            <w:pPr>
              <w:pStyle w:val="12"/>
              <w:adjustRightInd w:val="0"/>
              <w:spacing w:before="0" w:after="0" w:line="360" w:lineRule="auto"/>
              <w:ind w:right="0"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（1）选用低噪声设备。</w:t>
            </w:r>
          </w:p>
          <w:p w14:paraId="775FF4D2">
            <w:pPr>
              <w:pStyle w:val="12"/>
              <w:adjustRightInd w:val="0"/>
              <w:spacing w:before="0" w:after="0" w:line="360" w:lineRule="auto"/>
              <w:ind w:right="0"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（2）厂房采取吸声材料进行建设，破碎机等高噪声设备进行基础减震；</w:t>
            </w:r>
          </w:p>
          <w:p w14:paraId="16AB32F0">
            <w:pPr>
              <w:pStyle w:val="12"/>
              <w:adjustRightInd w:val="0"/>
              <w:spacing w:before="0" w:after="0" w:line="360" w:lineRule="auto"/>
              <w:ind w:right="0"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（3）维持设备处于良好的运转状态，减少因零部件磨损产生的噪声；</w:t>
            </w:r>
          </w:p>
          <w:p w14:paraId="5A39FFC6">
            <w:pPr>
              <w:pStyle w:val="12"/>
              <w:adjustRightInd w:val="0"/>
              <w:spacing w:before="0" w:after="0" w:line="360" w:lineRule="auto"/>
              <w:ind w:right="0" w:firstLine="480" w:firstLineChars="20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4</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门窗采用隔声门窗，风机设置隔声罩；</w:t>
            </w:r>
          </w:p>
          <w:p w14:paraId="3189F035">
            <w:pPr>
              <w:pStyle w:val="12"/>
              <w:adjustRightInd w:val="0"/>
              <w:spacing w:before="0" w:after="0" w:line="360" w:lineRule="auto"/>
              <w:ind w:right="0"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）合理布设生产车间，使强噪声设备远离车间边界，这样可通过车间阻挡噪声传播，尽量把车间的噪声影响限制在厂区范围内，降低噪声对外界的影响；</w:t>
            </w:r>
          </w:p>
          <w:p w14:paraId="1A03CA2C">
            <w:pPr>
              <w:pStyle w:val="12"/>
              <w:adjustRightInd w:val="0"/>
              <w:spacing w:before="0" w:after="0" w:line="360" w:lineRule="auto"/>
              <w:ind w:right="0"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）加强作业管理，减少非正常噪声</w:t>
            </w:r>
            <w:r>
              <w:rPr>
                <w:rFonts w:hint="default" w:ascii="Times New Roman" w:hAnsi="Times New Roman" w:eastAsia="宋体" w:cs="Times New Roman"/>
                <w:color w:val="auto"/>
                <w:sz w:val="24"/>
                <w:szCs w:val="24"/>
                <w:lang w:eastAsia="zh-CN"/>
              </w:rPr>
              <w:t>；</w:t>
            </w:r>
          </w:p>
          <w:p w14:paraId="7D79F16D">
            <w:pPr>
              <w:adjustRightInd w:val="0"/>
              <w:snapToGrid w:val="0"/>
              <w:ind w:firstLine="462"/>
              <w:rPr>
                <w:rFonts w:hint="default" w:ascii="Times New Roman" w:hAnsi="Times New Roman" w:eastAsia="宋体" w:cs="Times New Roman"/>
                <w:b/>
                <w:bCs/>
                <w:color w:val="auto"/>
                <w:spacing w:val="-10"/>
              </w:rPr>
            </w:pPr>
            <w:r>
              <w:rPr>
                <w:rFonts w:hint="default" w:ascii="Times New Roman" w:hAnsi="Times New Roman" w:eastAsia="宋体" w:cs="Times New Roman"/>
                <w:b/>
                <w:bCs/>
                <w:color w:val="auto"/>
                <w:spacing w:val="-10"/>
              </w:rPr>
              <w:t>5.监测要求</w:t>
            </w:r>
          </w:p>
          <w:p w14:paraId="56CA8865">
            <w:pPr>
              <w:pStyle w:val="195"/>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根据</w:t>
            </w:r>
            <w:r>
              <w:rPr>
                <w:rFonts w:hint="default" w:ascii="Times New Roman" w:hAnsi="Times New Roman" w:eastAsia="宋体" w:cs="Times New Roman"/>
                <w:color w:val="auto"/>
              </w:rPr>
              <w:t>《排污单位自行监测技术指南 总则》（HJ819-2017）、《排污许可证申请与核发技术规范 石墨及其他非金属矿物制品制造》（HJ1119—2019）、《排污许可证申请与核发技术规范 水泥工业》（HJ847—2017）、《排污许可证申请与核发技术规范 废弃资源加工工业》（HJ1034—2019），</w:t>
            </w:r>
            <w:r>
              <w:rPr>
                <w:rFonts w:hint="default" w:ascii="Times New Roman" w:hAnsi="Times New Roman" w:eastAsia="宋体" w:cs="Times New Roman"/>
                <w:color w:val="auto"/>
                <w:kern w:val="0"/>
              </w:rPr>
              <w:t>确定本项目运营期监测计划，具体见表4-</w:t>
            </w:r>
            <w:r>
              <w:rPr>
                <w:rFonts w:hint="default" w:ascii="Times New Roman" w:hAnsi="Times New Roman" w:eastAsia="宋体" w:cs="Times New Roman"/>
                <w:color w:val="auto"/>
                <w:kern w:val="0"/>
                <w:lang w:val="en-US" w:eastAsia="zh-CN"/>
              </w:rPr>
              <w:t>16</w:t>
            </w:r>
            <w:r>
              <w:rPr>
                <w:rFonts w:hint="default" w:ascii="Times New Roman" w:hAnsi="Times New Roman" w:eastAsia="宋体" w:cs="Times New Roman"/>
                <w:color w:val="auto"/>
                <w:kern w:val="0"/>
              </w:rPr>
              <w:t>。</w:t>
            </w:r>
          </w:p>
          <w:p w14:paraId="45EC4C64">
            <w:pPr>
              <w:spacing w:line="240" w:lineRule="auto"/>
              <w:ind w:firstLine="482"/>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bCs/>
                <w:color w:val="auto"/>
                <w:sz w:val="21"/>
                <w:szCs w:val="21"/>
              </w:rPr>
              <w:t>表4-</w:t>
            </w:r>
            <w:r>
              <w:rPr>
                <w:rFonts w:hint="default" w:ascii="Times New Roman" w:hAnsi="Times New Roman" w:eastAsia="宋体" w:cs="Times New Roman"/>
                <w:b/>
                <w:bCs/>
                <w:color w:val="auto"/>
                <w:sz w:val="21"/>
                <w:szCs w:val="21"/>
                <w:lang w:val="en-US" w:eastAsia="zh-CN"/>
              </w:rPr>
              <w:t>16</w:t>
            </w:r>
            <w:r>
              <w:rPr>
                <w:rFonts w:hint="default" w:ascii="Times New Roman" w:hAnsi="Times New Roman" w:eastAsia="宋体" w:cs="Times New Roman"/>
                <w:b/>
                <w:bCs/>
                <w:color w:val="auto"/>
                <w:sz w:val="21"/>
                <w:szCs w:val="21"/>
              </w:rPr>
              <w:t xml:space="preserve"> 项目噪声监测计划一览表</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69"/>
              <w:gridCol w:w="2567"/>
              <w:gridCol w:w="1680"/>
              <w:gridCol w:w="2329"/>
            </w:tblGrid>
            <w:tr w14:paraId="155074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106" w:type="pct"/>
                  <w:vAlign w:val="center"/>
                </w:tcPr>
                <w:p w14:paraId="569F7516">
                  <w:pPr>
                    <w:pStyle w:val="61"/>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监测类别</w:t>
                  </w:r>
                </w:p>
              </w:tc>
              <w:tc>
                <w:tcPr>
                  <w:tcW w:w="1519" w:type="pct"/>
                  <w:vAlign w:val="center"/>
                </w:tcPr>
                <w:p w14:paraId="6B487DDC">
                  <w:pPr>
                    <w:pStyle w:val="61"/>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监测位置</w:t>
                  </w:r>
                </w:p>
              </w:tc>
              <w:tc>
                <w:tcPr>
                  <w:tcW w:w="994" w:type="pct"/>
                  <w:vAlign w:val="center"/>
                </w:tcPr>
                <w:p w14:paraId="18D91FBC">
                  <w:pPr>
                    <w:pStyle w:val="61"/>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监测项目</w:t>
                  </w:r>
                </w:p>
              </w:tc>
              <w:tc>
                <w:tcPr>
                  <w:tcW w:w="1378" w:type="pct"/>
                  <w:vAlign w:val="center"/>
                </w:tcPr>
                <w:p w14:paraId="0E785050">
                  <w:pPr>
                    <w:pStyle w:val="61"/>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监测频率</w:t>
                  </w:r>
                </w:p>
              </w:tc>
            </w:tr>
            <w:tr w14:paraId="5B0D18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106" w:type="pct"/>
                  <w:vAlign w:val="center"/>
                </w:tcPr>
                <w:p w14:paraId="0C1DF0F0">
                  <w:pPr>
                    <w:pStyle w:val="61"/>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w:t>
                  </w:r>
                </w:p>
              </w:tc>
              <w:tc>
                <w:tcPr>
                  <w:tcW w:w="1519" w:type="pct"/>
                  <w:vAlign w:val="center"/>
                </w:tcPr>
                <w:p w14:paraId="0945E66D">
                  <w:pPr>
                    <w:spacing w:line="240" w:lineRule="auto"/>
                    <w:ind w:firstLine="42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各厂界</w:t>
                  </w:r>
                </w:p>
              </w:tc>
              <w:tc>
                <w:tcPr>
                  <w:tcW w:w="994" w:type="pct"/>
                  <w:vAlign w:val="center"/>
                </w:tcPr>
                <w:p w14:paraId="52CE4755">
                  <w:pPr>
                    <w:spacing w:line="240" w:lineRule="auto"/>
                    <w:ind w:firstLine="42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L</w:t>
                  </w:r>
                  <w:r>
                    <w:rPr>
                      <w:rFonts w:hint="default" w:ascii="Times New Roman" w:hAnsi="Times New Roman" w:eastAsia="宋体" w:cs="Times New Roman"/>
                      <w:color w:val="auto"/>
                      <w:sz w:val="21"/>
                      <w:szCs w:val="21"/>
                      <w:vertAlign w:val="subscript"/>
                    </w:rPr>
                    <w:t>Aeq</w:t>
                  </w:r>
                </w:p>
              </w:tc>
              <w:tc>
                <w:tcPr>
                  <w:tcW w:w="1378" w:type="pct"/>
                  <w:vAlign w:val="center"/>
                </w:tcPr>
                <w:p w14:paraId="67856D40">
                  <w:pPr>
                    <w:pStyle w:val="61"/>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一次/季度（昼夜）</w:t>
                  </w:r>
                </w:p>
              </w:tc>
            </w:tr>
          </w:tbl>
          <w:p w14:paraId="3264B70B">
            <w:pPr>
              <w:adjustRightInd w:val="0"/>
              <w:snapToGrid w:val="0"/>
              <w:ind w:firstLine="462"/>
              <w:rPr>
                <w:rFonts w:hint="default" w:ascii="Times New Roman" w:hAnsi="Times New Roman" w:eastAsia="宋体" w:cs="Times New Roman"/>
                <w:b/>
                <w:bCs/>
                <w:color w:val="auto"/>
                <w:spacing w:val="-10"/>
              </w:rPr>
            </w:pPr>
            <w:r>
              <w:rPr>
                <w:rFonts w:hint="default" w:ascii="Times New Roman" w:hAnsi="Times New Roman" w:eastAsia="宋体" w:cs="Times New Roman"/>
                <w:b/>
                <w:bCs/>
                <w:color w:val="auto"/>
                <w:spacing w:val="-10"/>
              </w:rPr>
              <w:t>（四）固体废物</w:t>
            </w:r>
          </w:p>
          <w:p w14:paraId="7CDB527F">
            <w:pPr>
              <w:tabs>
                <w:tab w:val="left" w:pos="1500"/>
              </w:tabs>
              <w:ind w:firstLine="480"/>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t>1.固体废物产生情况</w:t>
            </w:r>
          </w:p>
          <w:p w14:paraId="0B2CD51C">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（1）生活垃圾</w:t>
            </w:r>
          </w:p>
          <w:p w14:paraId="4599DCF8">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szCs w:val="28"/>
              </w:rPr>
              <w:t>本项目定员</w:t>
            </w:r>
            <w:r>
              <w:rPr>
                <w:rFonts w:hint="default" w:ascii="Times New Roman" w:hAnsi="Times New Roman" w:eastAsia="宋体" w:cs="Times New Roman"/>
                <w:color w:val="auto"/>
                <w:szCs w:val="28"/>
                <w:lang w:val="en-US" w:eastAsia="zh-CN"/>
              </w:rPr>
              <w:t>50</w:t>
            </w:r>
            <w:r>
              <w:rPr>
                <w:rFonts w:hint="default" w:ascii="Times New Roman" w:hAnsi="Times New Roman" w:eastAsia="宋体" w:cs="Times New Roman"/>
                <w:color w:val="auto"/>
                <w:szCs w:val="28"/>
              </w:rPr>
              <w:t>人，职工生活垃圾产生量取0.5kg/d•人。年运行3</w:t>
            </w:r>
            <w:r>
              <w:rPr>
                <w:rFonts w:hint="default" w:ascii="Times New Roman" w:hAnsi="Times New Roman" w:eastAsia="宋体" w:cs="Times New Roman"/>
                <w:color w:val="auto"/>
                <w:szCs w:val="28"/>
                <w:lang w:val="en-US" w:eastAsia="zh-CN"/>
              </w:rPr>
              <w:t>2</w:t>
            </w:r>
            <w:r>
              <w:rPr>
                <w:rFonts w:hint="default" w:ascii="Times New Roman" w:hAnsi="Times New Roman" w:eastAsia="宋体" w:cs="Times New Roman"/>
                <w:color w:val="auto"/>
                <w:szCs w:val="28"/>
              </w:rPr>
              <w:t>0天，则全厂共产生生活垃圾</w:t>
            </w:r>
            <w:r>
              <w:rPr>
                <w:rFonts w:hint="default" w:ascii="Times New Roman" w:hAnsi="Times New Roman" w:eastAsia="宋体" w:cs="Times New Roman"/>
                <w:color w:val="auto"/>
                <w:szCs w:val="28"/>
                <w:lang w:val="en-US" w:eastAsia="zh-CN"/>
              </w:rPr>
              <w:t>8.0</w:t>
            </w:r>
            <w:r>
              <w:rPr>
                <w:rFonts w:hint="default" w:ascii="Times New Roman" w:hAnsi="Times New Roman" w:eastAsia="宋体" w:cs="Times New Roman"/>
                <w:color w:val="auto"/>
                <w:szCs w:val="28"/>
              </w:rPr>
              <w:t>t/a。设垃圾桶集中收集，交由环卫部门统一处理</w:t>
            </w:r>
            <w:r>
              <w:rPr>
                <w:rFonts w:hint="default" w:ascii="Times New Roman" w:hAnsi="Times New Roman" w:eastAsia="宋体" w:cs="Times New Roman"/>
                <w:color w:val="auto"/>
              </w:rPr>
              <w:t>。</w:t>
            </w:r>
          </w:p>
          <w:p w14:paraId="753069FF">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（2）一般固废</w:t>
            </w:r>
          </w:p>
          <w:p w14:paraId="4D6E5C17">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lang w:val="en-US" w:eastAsia="zh-CN"/>
              </w:rPr>
              <w:t>①</w:t>
            </w:r>
            <w:r>
              <w:rPr>
                <w:rFonts w:hint="default" w:ascii="Times New Roman" w:hAnsi="Times New Roman" w:eastAsia="宋体" w:cs="Times New Roman"/>
                <w:color w:val="auto"/>
              </w:rPr>
              <w:t>废金属：磁选1吨建筑垃圾约产生1.5kg的废金属，产生量约为</w:t>
            </w:r>
            <w:r>
              <w:rPr>
                <w:rFonts w:hint="default" w:ascii="Times New Roman" w:hAnsi="Times New Roman" w:eastAsia="宋体" w:cs="Times New Roman"/>
                <w:color w:val="auto"/>
                <w:lang w:val="en-US" w:eastAsia="zh-CN"/>
              </w:rPr>
              <w:t>750</w:t>
            </w:r>
            <w:r>
              <w:rPr>
                <w:rFonts w:hint="default" w:ascii="Times New Roman" w:hAnsi="Times New Roman" w:eastAsia="宋体" w:cs="Times New Roman"/>
                <w:color w:val="auto"/>
              </w:rPr>
              <w:t>吨，对照《固体废物分类与代码目录》，废金属属于其中SW17可再生类废物，废物代码为900-001-S17，废金属收集后暂存一般固废库内再外售物资回收单位处置。</w:t>
            </w:r>
          </w:p>
          <w:p w14:paraId="4CC82EC4">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②</w:t>
            </w:r>
            <w:r>
              <w:rPr>
                <w:rFonts w:hint="default" w:ascii="Times New Roman" w:hAnsi="Times New Roman" w:eastAsia="宋体" w:cs="Times New Roman"/>
                <w:color w:val="auto"/>
              </w:rPr>
              <w:t>废</w:t>
            </w:r>
            <w:r>
              <w:rPr>
                <w:rFonts w:hint="default" w:ascii="Times New Roman" w:hAnsi="Times New Roman" w:eastAsia="宋体" w:cs="Times New Roman"/>
                <w:color w:val="auto"/>
                <w:lang w:val="en-US" w:eastAsia="zh-CN"/>
              </w:rPr>
              <w:t>塑料</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分选</w:t>
            </w:r>
            <w:r>
              <w:rPr>
                <w:rFonts w:hint="default" w:ascii="Times New Roman" w:hAnsi="Times New Roman" w:eastAsia="宋体" w:cs="Times New Roman"/>
                <w:color w:val="auto"/>
              </w:rPr>
              <w:t>1吨建筑垃圾约产生</w:t>
            </w:r>
            <w:r>
              <w:rPr>
                <w:rFonts w:hint="default" w:ascii="Times New Roman" w:hAnsi="Times New Roman" w:eastAsia="宋体" w:cs="Times New Roman"/>
                <w:color w:val="auto"/>
                <w:lang w:val="en-US" w:eastAsia="zh-CN"/>
              </w:rPr>
              <w:t>0.6</w:t>
            </w:r>
            <w:r>
              <w:rPr>
                <w:rFonts w:hint="default" w:ascii="Times New Roman" w:hAnsi="Times New Roman" w:eastAsia="宋体" w:cs="Times New Roman"/>
                <w:color w:val="auto"/>
              </w:rPr>
              <w:t>kg的废</w:t>
            </w:r>
            <w:r>
              <w:rPr>
                <w:rFonts w:hint="default" w:ascii="Times New Roman" w:hAnsi="Times New Roman" w:eastAsia="宋体" w:cs="Times New Roman"/>
                <w:color w:val="auto"/>
                <w:lang w:val="en-US" w:eastAsia="zh-CN"/>
              </w:rPr>
              <w:t>塑料</w:t>
            </w:r>
            <w:r>
              <w:rPr>
                <w:rFonts w:hint="default" w:ascii="Times New Roman" w:hAnsi="Times New Roman" w:eastAsia="宋体" w:cs="Times New Roman"/>
                <w:color w:val="auto"/>
              </w:rPr>
              <w:t>，产生量约为</w:t>
            </w:r>
            <w:r>
              <w:rPr>
                <w:rFonts w:hint="default" w:ascii="Times New Roman" w:hAnsi="Times New Roman" w:eastAsia="宋体" w:cs="Times New Roman"/>
                <w:color w:val="auto"/>
                <w:lang w:val="en-US" w:eastAsia="zh-CN"/>
              </w:rPr>
              <w:t>300</w:t>
            </w:r>
            <w:r>
              <w:rPr>
                <w:rFonts w:hint="default" w:ascii="Times New Roman" w:hAnsi="Times New Roman" w:eastAsia="宋体" w:cs="Times New Roman"/>
                <w:color w:val="auto"/>
              </w:rPr>
              <w:t>吨，对照《固体废物分类与代码目录》，废</w:t>
            </w:r>
            <w:r>
              <w:rPr>
                <w:rFonts w:hint="default" w:ascii="Times New Roman" w:hAnsi="Times New Roman" w:eastAsia="宋体" w:cs="Times New Roman"/>
                <w:color w:val="auto"/>
                <w:lang w:val="en-US" w:eastAsia="zh-CN"/>
              </w:rPr>
              <w:t>塑料</w:t>
            </w:r>
            <w:r>
              <w:rPr>
                <w:rFonts w:hint="default" w:ascii="Times New Roman" w:hAnsi="Times New Roman" w:eastAsia="宋体" w:cs="Times New Roman"/>
                <w:color w:val="auto"/>
              </w:rPr>
              <w:t>属于其中SW</w:t>
            </w:r>
            <w:r>
              <w:rPr>
                <w:rFonts w:hint="default" w:ascii="Times New Roman" w:hAnsi="Times New Roman" w:eastAsia="宋体" w:cs="Times New Roman"/>
                <w:color w:val="auto"/>
                <w:lang w:val="en-US" w:eastAsia="zh-CN"/>
              </w:rPr>
              <w:t>73</w:t>
            </w:r>
            <w:r>
              <w:rPr>
                <w:rFonts w:hint="default" w:ascii="Times New Roman" w:hAnsi="Times New Roman" w:eastAsia="宋体" w:cs="Times New Roman"/>
                <w:color w:val="auto"/>
              </w:rPr>
              <w:t>可再生类废物，废物代码为502-003-S73，废</w:t>
            </w:r>
            <w:r>
              <w:rPr>
                <w:rFonts w:hint="default" w:ascii="Times New Roman" w:hAnsi="Times New Roman" w:eastAsia="宋体" w:cs="Times New Roman"/>
                <w:color w:val="auto"/>
                <w:lang w:val="en-US" w:eastAsia="zh-CN"/>
              </w:rPr>
              <w:t>塑料</w:t>
            </w:r>
            <w:r>
              <w:rPr>
                <w:rFonts w:hint="default" w:ascii="Times New Roman" w:hAnsi="Times New Roman" w:eastAsia="宋体" w:cs="Times New Roman"/>
                <w:color w:val="auto"/>
              </w:rPr>
              <w:t>收集后暂存一般固废库内再外售物资回收单位处置。</w:t>
            </w:r>
          </w:p>
          <w:p w14:paraId="478F4183">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③</w:t>
            </w:r>
            <w:r>
              <w:rPr>
                <w:rFonts w:hint="default" w:ascii="Times New Roman" w:hAnsi="Times New Roman" w:eastAsia="宋体" w:cs="Times New Roman"/>
                <w:color w:val="auto"/>
              </w:rPr>
              <w:t>废</w:t>
            </w:r>
            <w:r>
              <w:rPr>
                <w:rFonts w:hint="default" w:ascii="Times New Roman" w:hAnsi="Times New Roman" w:eastAsia="宋体" w:cs="Times New Roman"/>
                <w:color w:val="auto"/>
                <w:lang w:val="en-US" w:eastAsia="zh-CN"/>
              </w:rPr>
              <w:t>玻璃</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分选</w:t>
            </w:r>
            <w:r>
              <w:rPr>
                <w:rFonts w:hint="default" w:ascii="Times New Roman" w:hAnsi="Times New Roman" w:eastAsia="宋体" w:cs="Times New Roman"/>
                <w:color w:val="auto"/>
              </w:rPr>
              <w:t>1吨建筑垃圾约产生</w:t>
            </w:r>
            <w:r>
              <w:rPr>
                <w:rFonts w:hint="default" w:ascii="Times New Roman" w:hAnsi="Times New Roman" w:eastAsia="宋体" w:cs="Times New Roman"/>
                <w:color w:val="auto"/>
                <w:lang w:val="en-US" w:eastAsia="zh-CN"/>
              </w:rPr>
              <w:t>0.6</w:t>
            </w:r>
            <w:r>
              <w:rPr>
                <w:rFonts w:hint="default" w:ascii="Times New Roman" w:hAnsi="Times New Roman" w:eastAsia="宋体" w:cs="Times New Roman"/>
                <w:color w:val="auto"/>
              </w:rPr>
              <w:t>kg的废</w:t>
            </w:r>
            <w:r>
              <w:rPr>
                <w:rFonts w:hint="default" w:ascii="Times New Roman" w:hAnsi="Times New Roman" w:eastAsia="宋体" w:cs="Times New Roman"/>
                <w:color w:val="auto"/>
                <w:lang w:val="en-US" w:eastAsia="zh-CN"/>
              </w:rPr>
              <w:t>玻璃</w:t>
            </w:r>
            <w:r>
              <w:rPr>
                <w:rFonts w:hint="default" w:ascii="Times New Roman" w:hAnsi="Times New Roman" w:eastAsia="宋体" w:cs="Times New Roman"/>
                <w:color w:val="auto"/>
              </w:rPr>
              <w:t>，产生量约为</w:t>
            </w:r>
            <w:r>
              <w:rPr>
                <w:rFonts w:hint="default" w:ascii="Times New Roman" w:hAnsi="Times New Roman" w:eastAsia="宋体" w:cs="Times New Roman"/>
                <w:color w:val="auto"/>
                <w:lang w:val="en-US" w:eastAsia="zh-CN"/>
              </w:rPr>
              <w:t>300</w:t>
            </w:r>
            <w:r>
              <w:rPr>
                <w:rFonts w:hint="default" w:ascii="Times New Roman" w:hAnsi="Times New Roman" w:eastAsia="宋体" w:cs="Times New Roman"/>
                <w:color w:val="auto"/>
              </w:rPr>
              <w:t>吨，对照《固体废物分类与代码目录》，废</w:t>
            </w:r>
            <w:r>
              <w:rPr>
                <w:rFonts w:hint="default" w:ascii="Times New Roman" w:hAnsi="Times New Roman" w:eastAsia="宋体" w:cs="Times New Roman"/>
                <w:color w:val="auto"/>
                <w:lang w:val="en-US" w:eastAsia="zh-CN"/>
              </w:rPr>
              <w:t>玻璃</w:t>
            </w:r>
            <w:r>
              <w:rPr>
                <w:rFonts w:hint="default" w:ascii="Times New Roman" w:hAnsi="Times New Roman" w:eastAsia="宋体" w:cs="Times New Roman"/>
                <w:color w:val="auto"/>
              </w:rPr>
              <w:t>属于其中SW</w:t>
            </w:r>
            <w:r>
              <w:rPr>
                <w:rFonts w:hint="default" w:ascii="Times New Roman" w:hAnsi="Times New Roman" w:eastAsia="宋体" w:cs="Times New Roman"/>
                <w:color w:val="auto"/>
                <w:lang w:val="en-US" w:eastAsia="zh-CN"/>
              </w:rPr>
              <w:t>73</w:t>
            </w:r>
            <w:r>
              <w:rPr>
                <w:rFonts w:hint="default" w:ascii="Times New Roman" w:hAnsi="Times New Roman" w:eastAsia="宋体" w:cs="Times New Roman"/>
                <w:color w:val="auto"/>
              </w:rPr>
              <w:t>可再生类废物，废物代码为502-003-S73，废</w:t>
            </w:r>
            <w:r>
              <w:rPr>
                <w:rFonts w:hint="default" w:ascii="Times New Roman" w:hAnsi="Times New Roman" w:eastAsia="宋体" w:cs="Times New Roman"/>
                <w:color w:val="auto"/>
                <w:lang w:val="en-US" w:eastAsia="zh-CN"/>
              </w:rPr>
              <w:t>玻璃</w:t>
            </w:r>
            <w:r>
              <w:rPr>
                <w:rFonts w:hint="default" w:ascii="Times New Roman" w:hAnsi="Times New Roman" w:eastAsia="宋体" w:cs="Times New Roman"/>
                <w:color w:val="auto"/>
              </w:rPr>
              <w:t>收集后暂存一般固废库内再外售物资回收单位处置。</w:t>
            </w:r>
          </w:p>
          <w:p w14:paraId="4FE48548">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④</w:t>
            </w:r>
            <w:r>
              <w:rPr>
                <w:rFonts w:hint="default" w:ascii="Times New Roman" w:hAnsi="Times New Roman" w:eastAsia="宋体" w:cs="Times New Roman"/>
                <w:color w:val="auto"/>
              </w:rPr>
              <w:t>废</w:t>
            </w:r>
            <w:r>
              <w:rPr>
                <w:rFonts w:hint="default" w:ascii="Times New Roman" w:hAnsi="Times New Roman" w:eastAsia="宋体" w:cs="Times New Roman"/>
                <w:color w:val="auto"/>
                <w:lang w:val="en-US" w:eastAsia="zh-CN"/>
              </w:rPr>
              <w:t>渣土</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筛分</w:t>
            </w:r>
            <w:r>
              <w:rPr>
                <w:rFonts w:hint="default" w:ascii="Times New Roman" w:hAnsi="Times New Roman" w:eastAsia="宋体" w:cs="Times New Roman"/>
                <w:color w:val="auto"/>
              </w:rPr>
              <w:t>1吨建筑垃圾约产生</w:t>
            </w:r>
            <w:r>
              <w:rPr>
                <w:rFonts w:hint="default" w:ascii="Times New Roman" w:hAnsi="Times New Roman" w:eastAsia="宋体" w:cs="Times New Roman"/>
                <w:color w:val="auto"/>
                <w:lang w:val="en-US" w:eastAsia="zh-CN"/>
              </w:rPr>
              <w:t>100</w:t>
            </w:r>
            <w:r>
              <w:rPr>
                <w:rFonts w:hint="default" w:ascii="Times New Roman" w:hAnsi="Times New Roman" w:eastAsia="宋体" w:cs="Times New Roman"/>
                <w:color w:val="auto"/>
              </w:rPr>
              <w:t>kg的</w:t>
            </w:r>
            <w:r>
              <w:rPr>
                <w:rFonts w:hint="default" w:ascii="Times New Roman" w:hAnsi="Times New Roman" w:eastAsia="宋体" w:cs="Times New Roman"/>
                <w:color w:val="auto"/>
                <w:lang w:val="en-US" w:eastAsia="zh-CN"/>
              </w:rPr>
              <w:t>渣土</w:t>
            </w:r>
            <w:r>
              <w:rPr>
                <w:rFonts w:hint="default" w:ascii="Times New Roman" w:hAnsi="Times New Roman" w:eastAsia="宋体" w:cs="Times New Roman"/>
                <w:color w:val="auto"/>
              </w:rPr>
              <w:t>，产生量约为</w:t>
            </w:r>
            <w:r>
              <w:rPr>
                <w:rFonts w:hint="default" w:ascii="Times New Roman" w:hAnsi="Times New Roman" w:eastAsia="宋体" w:cs="Times New Roman"/>
                <w:color w:val="auto"/>
                <w:lang w:val="en-US" w:eastAsia="zh-CN"/>
              </w:rPr>
              <w:t>50000</w:t>
            </w:r>
            <w:r>
              <w:rPr>
                <w:rFonts w:hint="default" w:ascii="Times New Roman" w:hAnsi="Times New Roman" w:eastAsia="宋体" w:cs="Times New Roman"/>
                <w:color w:val="auto"/>
              </w:rPr>
              <w:t>吨，对照《固体废物分类与代码目录》，废</w:t>
            </w:r>
            <w:r>
              <w:rPr>
                <w:rFonts w:hint="default" w:ascii="Times New Roman" w:hAnsi="Times New Roman" w:eastAsia="宋体" w:cs="Times New Roman"/>
                <w:color w:val="auto"/>
                <w:lang w:val="en-US" w:eastAsia="zh-CN"/>
              </w:rPr>
              <w:t>渣土</w:t>
            </w:r>
            <w:r>
              <w:rPr>
                <w:rFonts w:hint="default" w:ascii="Times New Roman" w:hAnsi="Times New Roman" w:eastAsia="宋体" w:cs="Times New Roman"/>
                <w:color w:val="auto"/>
              </w:rPr>
              <w:t>属于其中SW</w:t>
            </w:r>
            <w:r>
              <w:rPr>
                <w:rFonts w:hint="default" w:ascii="Times New Roman" w:hAnsi="Times New Roman" w:eastAsia="宋体" w:cs="Times New Roman"/>
                <w:color w:val="auto"/>
                <w:lang w:val="en-US" w:eastAsia="zh-CN"/>
              </w:rPr>
              <w:t>59其他工业固体废物</w:t>
            </w:r>
            <w:r>
              <w:rPr>
                <w:rFonts w:hint="default" w:ascii="Times New Roman" w:hAnsi="Times New Roman" w:eastAsia="宋体" w:cs="Times New Roman"/>
                <w:color w:val="auto"/>
              </w:rPr>
              <w:t>，废物代码为900-0</w:t>
            </w:r>
            <w:r>
              <w:rPr>
                <w:rFonts w:hint="default" w:ascii="Times New Roman" w:hAnsi="Times New Roman" w:eastAsia="宋体" w:cs="Times New Roman"/>
                <w:color w:val="auto"/>
                <w:lang w:val="en-US" w:eastAsia="zh-CN"/>
              </w:rPr>
              <w:t>99</w:t>
            </w:r>
            <w:r>
              <w:rPr>
                <w:rFonts w:hint="default" w:ascii="Times New Roman" w:hAnsi="Times New Roman" w:eastAsia="宋体" w:cs="Times New Roman"/>
                <w:color w:val="auto"/>
              </w:rPr>
              <w:t>-S</w:t>
            </w:r>
            <w:r>
              <w:rPr>
                <w:rFonts w:hint="default" w:ascii="Times New Roman" w:hAnsi="Times New Roman" w:eastAsia="宋体" w:cs="Times New Roman"/>
                <w:color w:val="auto"/>
                <w:lang w:val="en-US" w:eastAsia="zh-CN"/>
              </w:rPr>
              <w:t>59</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渣土收集后装车综合利用</w:t>
            </w:r>
            <w:r>
              <w:rPr>
                <w:rFonts w:hint="default" w:ascii="Times New Roman" w:hAnsi="Times New Roman" w:eastAsia="宋体" w:cs="Times New Roman"/>
                <w:color w:val="auto"/>
              </w:rPr>
              <w:t>。</w:t>
            </w:r>
          </w:p>
          <w:p w14:paraId="566D8170">
            <w:pPr>
              <w:tabs>
                <w:tab w:val="left" w:pos="1500"/>
              </w:tabs>
              <w:ind w:firstLine="48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⑤除尘灰：项目设置三套布袋除尘器，会有除尘灰产生，根据前文计算，除尘灰量约648.02t/a，</w:t>
            </w:r>
            <w:r>
              <w:rPr>
                <w:rFonts w:hint="default" w:ascii="Times New Roman" w:hAnsi="Times New Roman" w:eastAsia="宋体" w:cs="Times New Roman"/>
                <w:color w:val="auto"/>
              </w:rPr>
              <w:t>对照《固体废物分类与代码目录》，</w:t>
            </w:r>
            <w:r>
              <w:rPr>
                <w:rFonts w:hint="default" w:ascii="Times New Roman" w:hAnsi="Times New Roman" w:eastAsia="宋体" w:cs="Times New Roman"/>
                <w:color w:val="auto"/>
                <w:lang w:val="en-US" w:eastAsia="zh-CN"/>
              </w:rPr>
              <w:t>除尘灰</w:t>
            </w:r>
            <w:r>
              <w:rPr>
                <w:rFonts w:hint="default" w:ascii="Times New Roman" w:hAnsi="Times New Roman" w:eastAsia="宋体" w:cs="Times New Roman"/>
                <w:color w:val="auto"/>
              </w:rPr>
              <w:t>属于其中SW</w:t>
            </w:r>
            <w:r>
              <w:rPr>
                <w:rFonts w:hint="default" w:ascii="Times New Roman" w:hAnsi="Times New Roman" w:eastAsia="宋体" w:cs="Times New Roman"/>
                <w:color w:val="auto"/>
                <w:lang w:val="en-US" w:eastAsia="zh-CN"/>
              </w:rPr>
              <w:t>59其他工业固体废物</w:t>
            </w:r>
            <w:r>
              <w:rPr>
                <w:rFonts w:hint="default" w:ascii="Times New Roman" w:hAnsi="Times New Roman" w:eastAsia="宋体" w:cs="Times New Roman"/>
                <w:color w:val="auto"/>
              </w:rPr>
              <w:t>，废物代码为900-0</w:t>
            </w:r>
            <w:r>
              <w:rPr>
                <w:rFonts w:hint="default" w:ascii="Times New Roman" w:hAnsi="Times New Roman" w:eastAsia="宋体" w:cs="Times New Roman"/>
                <w:color w:val="auto"/>
                <w:lang w:val="en-US" w:eastAsia="zh-CN"/>
              </w:rPr>
              <w:t>99</w:t>
            </w:r>
            <w:r>
              <w:rPr>
                <w:rFonts w:hint="default" w:ascii="Times New Roman" w:hAnsi="Times New Roman" w:eastAsia="宋体" w:cs="Times New Roman"/>
                <w:color w:val="auto"/>
              </w:rPr>
              <w:t>-S</w:t>
            </w:r>
            <w:r>
              <w:rPr>
                <w:rFonts w:hint="default" w:ascii="Times New Roman" w:hAnsi="Times New Roman" w:eastAsia="宋体" w:cs="Times New Roman"/>
                <w:color w:val="auto"/>
                <w:lang w:val="en-US" w:eastAsia="zh-CN"/>
              </w:rPr>
              <w:t>59</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除尘灰收集后综合利用</w:t>
            </w:r>
            <w:r>
              <w:rPr>
                <w:rFonts w:hint="default" w:ascii="Times New Roman" w:hAnsi="Times New Roman" w:eastAsia="宋体" w:cs="Times New Roman"/>
                <w:color w:val="auto"/>
              </w:rPr>
              <w:t>。</w:t>
            </w:r>
          </w:p>
          <w:p w14:paraId="1595A9B8">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（3）危险废物</w:t>
            </w:r>
          </w:p>
          <w:p w14:paraId="4EF3C396">
            <w:pPr>
              <w:tabs>
                <w:tab w:val="left" w:pos="1500"/>
              </w:tabs>
              <w:adjustRightInd w:val="0"/>
              <w:snapToGrid w:val="0"/>
              <w:ind w:firstLine="482"/>
              <w:rPr>
                <w:rFonts w:hint="default" w:ascii="Times New Roman" w:hAnsi="Times New Roman" w:eastAsia="宋体" w:cs="Times New Roman"/>
                <w:color w:val="auto"/>
              </w:rPr>
            </w:pPr>
            <w:r>
              <w:rPr>
                <w:rFonts w:hint="default" w:ascii="Times New Roman" w:hAnsi="Times New Roman" w:eastAsia="宋体" w:cs="Times New Roman"/>
                <w:b/>
                <w:bCs/>
                <w:color w:val="auto"/>
              </w:rPr>
              <w:t>废机油、废油桶：</w:t>
            </w:r>
            <w:r>
              <w:rPr>
                <w:rFonts w:hint="default" w:ascii="Times New Roman" w:hAnsi="Times New Roman" w:eastAsia="宋体" w:cs="Times New Roman"/>
                <w:color w:val="auto"/>
              </w:rPr>
              <w:t>本项目设备维修过程会有废机油和废油桶产生，废机油、废油桶产生量</w:t>
            </w:r>
            <w:r>
              <w:rPr>
                <w:rFonts w:hint="default" w:ascii="Times New Roman" w:hAnsi="Times New Roman" w:eastAsia="宋体" w:cs="Times New Roman"/>
                <w:color w:val="auto"/>
                <w:lang w:val="en-US" w:eastAsia="zh-CN"/>
              </w:rPr>
              <w:t>0.05</w:t>
            </w:r>
            <w:r>
              <w:rPr>
                <w:rFonts w:hint="default" w:ascii="Times New Roman" w:hAnsi="Times New Roman" w:eastAsia="宋体" w:cs="Times New Roman"/>
                <w:color w:val="auto"/>
              </w:rPr>
              <w:t>t/a。对照《国家危险废物名录》（2025年版），废机油和废油桶为危险废物，废机油、废油桶类别为HW08，代码为900-249-08（其他生产、销售、使用过程中产生的废矿物油及沾染矿物油的废弃包装物），废机油和废油桶收集后暂存危废库内再委托有资质单位处置。</w:t>
            </w:r>
          </w:p>
          <w:p w14:paraId="0A0EB668">
            <w:pPr>
              <w:tabs>
                <w:tab w:val="left" w:pos="1500"/>
              </w:tabs>
              <w:ind w:firstLine="48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rPr>
              <w:t>根据工程分析可知，本项目的固体废物产生与处置情况详见表4-</w:t>
            </w:r>
            <w:r>
              <w:rPr>
                <w:rFonts w:hint="default" w:ascii="Times New Roman" w:hAnsi="Times New Roman" w:eastAsia="宋体" w:cs="Times New Roman"/>
                <w:color w:val="auto"/>
                <w:lang w:val="en-US" w:eastAsia="zh-CN"/>
              </w:rPr>
              <w:t>17</w:t>
            </w:r>
            <w:r>
              <w:rPr>
                <w:rFonts w:hint="default" w:ascii="Times New Roman" w:hAnsi="Times New Roman" w:eastAsia="宋体" w:cs="Times New Roman"/>
                <w:color w:val="auto"/>
              </w:rPr>
              <w:t>和表4-</w:t>
            </w:r>
            <w:r>
              <w:rPr>
                <w:rFonts w:hint="default" w:ascii="Times New Roman" w:hAnsi="Times New Roman" w:eastAsia="宋体" w:cs="Times New Roman"/>
                <w:color w:val="auto"/>
                <w:lang w:val="en-US" w:eastAsia="zh-CN"/>
              </w:rPr>
              <w:t>18</w:t>
            </w:r>
            <w:r>
              <w:rPr>
                <w:rFonts w:hint="default" w:ascii="Times New Roman" w:hAnsi="Times New Roman" w:eastAsia="宋体" w:cs="Times New Roman"/>
                <w:color w:val="auto"/>
              </w:rPr>
              <w:t>。</w:t>
            </w:r>
          </w:p>
          <w:p w14:paraId="2352EA6F">
            <w:pPr>
              <w:snapToGrid w:val="0"/>
              <w:spacing w:line="240" w:lineRule="auto"/>
              <w:ind w:firstLine="482"/>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表4-</w:t>
            </w:r>
            <w:r>
              <w:rPr>
                <w:rFonts w:hint="default" w:ascii="Times New Roman" w:hAnsi="Times New Roman" w:eastAsia="宋体" w:cs="Times New Roman"/>
                <w:b/>
                <w:color w:val="auto"/>
                <w:sz w:val="21"/>
                <w:szCs w:val="21"/>
                <w:lang w:val="en-US" w:eastAsia="zh-CN"/>
              </w:rPr>
              <w:t>17</w:t>
            </w:r>
            <w:r>
              <w:rPr>
                <w:rFonts w:hint="default" w:ascii="Times New Roman" w:hAnsi="Times New Roman" w:eastAsia="宋体" w:cs="Times New Roman"/>
                <w:b/>
                <w:color w:val="auto"/>
                <w:sz w:val="21"/>
                <w:szCs w:val="21"/>
              </w:rPr>
              <w:t xml:space="preserve">  项目危险废物</w:t>
            </w:r>
            <w:r>
              <w:rPr>
                <w:rFonts w:hint="default" w:ascii="Times New Roman" w:hAnsi="Times New Roman" w:eastAsia="宋体" w:cs="Times New Roman"/>
                <w:b/>
                <w:color w:val="auto"/>
                <w:sz w:val="21"/>
                <w:szCs w:val="18"/>
              </w:rPr>
              <w:t>产生、处置情况</w:t>
            </w:r>
          </w:p>
          <w:tbl>
            <w:tblPr>
              <w:tblStyle w:val="3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79"/>
              <w:gridCol w:w="762"/>
              <w:gridCol w:w="760"/>
              <w:gridCol w:w="667"/>
              <w:gridCol w:w="629"/>
              <w:gridCol w:w="654"/>
              <w:gridCol w:w="695"/>
              <w:gridCol w:w="737"/>
              <w:gridCol w:w="831"/>
              <w:gridCol w:w="749"/>
              <w:gridCol w:w="1179"/>
            </w:tblGrid>
            <w:tr w14:paraId="3541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1" w:hRule="atLeast"/>
                <w:jc w:val="center"/>
              </w:trPr>
              <w:tc>
                <w:tcPr>
                  <w:tcW w:w="461" w:type="pct"/>
                  <w:vAlign w:val="center"/>
                </w:tcPr>
                <w:p w14:paraId="5C2D360C">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危险废物名称</w:t>
                  </w:r>
                </w:p>
              </w:tc>
              <w:tc>
                <w:tcPr>
                  <w:tcW w:w="451" w:type="pct"/>
                  <w:vAlign w:val="center"/>
                </w:tcPr>
                <w:p w14:paraId="4D58E92F">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危险废物类别</w:t>
                  </w:r>
                </w:p>
              </w:tc>
              <w:tc>
                <w:tcPr>
                  <w:tcW w:w="450" w:type="pct"/>
                  <w:vAlign w:val="center"/>
                </w:tcPr>
                <w:p w14:paraId="771416E4">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危险废物代码</w:t>
                  </w:r>
                </w:p>
              </w:tc>
              <w:tc>
                <w:tcPr>
                  <w:tcW w:w="395" w:type="pct"/>
                  <w:vAlign w:val="center"/>
                </w:tcPr>
                <w:p w14:paraId="0B5AAFB3">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产生量（t/a）</w:t>
                  </w:r>
                </w:p>
              </w:tc>
              <w:tc>
                <w:tcPr>
                  <w:tcW w:w="372" w:type="pct"/>
                  <w:vAlign w:val="center"/>
                </w:tcPr>
                <w:p w14:paraId="02C52604">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产生工序</w:t>
                  </w:r>
                </w:p>
              </w:tc>
              <w:tc>
                <w:tcPr>
                  <w:tcW w:w="387" w:type="pct"/>
                  <w:vAlign w:val="center"/>
                </w:tcPr>
                <w:p w14:paraId="128DD2C5">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形态</w:t>
                  </w:r>
                </w:p>
              </w:tc>
              <w:tc>
                <w:tcPr>
                  <w:tcW w:w="411" w:type="pct"/>
                  <w:vAlign w:val="center"/>
                </w:tcPr>
                <w:p w14:paraId="20A2DDA5">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主要成分</w:t>
                  </w:r>
                </w:p>
              </w:tc>
              <w:tc>
                <w:tcPr>
                  <w:tcW w:w="436" w:type="pct"/>
                  <w:vAlign w:val="center"/>
                </w:tcPr>
                <w:p w14:paraId="6B72CA48">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有害成分</w:t>
                  </w:r>
                </w:p>
              </w:tc>
              <w:tc>
                <w:tcPr>
                  <w:tcW w:w="492" w:type="pct"/>
                  <w:vAlign w:val="center"/>
                </w:tcPr>
                <w:p w14:paraId="16AA702F">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产废周期</w:t>
                  </w:r>
                </w:p>
              </w:tc>
              <w:tc>
                <w:tcPr>
                  <w:tcW w:w="443" w:type="pct"/>
                  <w:vAlign w:val="center"/>
                </w:tcPr>
                <w:p w14:paraId="4E46C4B7">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危险</w:t>
                  </w:r>
                </w:p>
                <w:p w14:paraId="41BE4FF0">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特性</w:t>
                  </w:r>
                </w:p>
              </w:tc>
              <w:tc>
                <w:tcPr>
                  <w:tcW w:w="698" w:type="pct"/>
                  <w:vAlign w:val="center"/>
                </w:tcPr>
                <w:p w14:paraId="27BC6D43">
                  <w:pPr>
                    <w:pStyle w:val="62"/>
                    <w:tabs>
                      <w:tab w:val="left" w:pos="1485"/>
                      <w:tab w:val="center" w:pos="4113"/>
                    </w:tabs>
                    <w:wordWrap w:val="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污染防治措施</w:t>
                  </w:r>
                </w:p>
              </w:tc>
            </w:tr>
            <w:tr w14:paraId="3DD8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5" w:hRule="atLeast"/>
                <w:jc w:val="center"/>
              </w:trPr>
              <w:tc>
                <w:tcPr>
                  <w:tcW w:w="461" w:type="pct"/>
                  <w:vAlign w:val="center"/>
                </w:tcPr>
                <w:p w14:paraId="7158DB32">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废机油、废油桶</w:t>
                  </w:r>
                </w:p>
              </w:tc>
              <w:tc>
                <w:tcPr>
                  <w:tcW w:w="451" w:type="pct"/>
                  <w:vAlign w:val="center"/>
                </w:tcPr>
                <w:p w14:paraId="68593B8B">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HW08</w:t>
                  </w:r>
                </w:p>
              </w:tc>
              <w:tc>
                <w:tcPr>
                  <w:tcW w:w="450" w:type="pct"/>
                  <w:vAlign w:val="center"/>
                </w:tcPr>
                <w:p w14:paraId="6BABF154">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900-249-08</w:t>
                  </w:r>
                </w:p>
              </w:tc>
              <w:tc>
                <w:tcPr>
                  <w:tcW w:w="395" w:type="pct"/>
                  <w:vAlign w:val="center"/>
                </w:tcPr>
                <w:p w14:paraId="192B4797">
                  <w:pPr>
                    <w:pStyle w:val="62"/>
                    <w:tabs>
                      <w:tab w:val="left" w:pos="1485"/>
                      <w:tab w:val="center" w:pos="4113"/>
                    </w:tabs>
                    <w:wordWrap w:val="0"/>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color w:val="auto"/>
                      <w:szCs w:val="21"/>
                      <w:lang w:val="en-US" w:eastAsia="zh-CN"/>
                    </w:rPr>
                    <w:t>0.05</w:t>
                  </w:r>
                </w:p>
              </w:tc>
              <w:tc>
                <w:tcPr>
                  <w:tcW w:w="372" w:type="pct"/>
                  <w:vAlign w:val="center"/>
                </w:tcPr>
                <w:p w14:paraId="6B054807">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设备维修</w:t>
                  </w:r>
                </w:p>
              </w:tc>
              <w:tc>
                <w:tcPr>
                  <w:tcW w:w="387" w:type="pct"/>
                  <w:vAlign w:val="center"/>
                </w:tcPr>
                <w:p w14:paraId="537EC238">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液态</w:t>
                  </w:r>
                </w:p>
              </w:tc>
              <w:tc>
                <w:tcPr>
                  <w:tcW w:w="411" w:type="pct"/>
                  <w:vAlign w:val="center"/>
                </w:tcPr>
                <w:p w14:paraId="13B8E3A2">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矿物油</w:t>
                  </w:r>
                </w:p>
              </w:tc>
              <w:tc>
                <w:tcPr>
                  <w:tcW w:w="436" w:type="pct"/>
                  <w:vAlign w:val="center"/>
                </w:tcPr>
                <w:p w14:paraId="67B8A9E7">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矿物油</w:t>
                  </w:r>
                </w:p>
              </w:tc>
              <w:tc>
                <w:tcPr>
                  <w:tcW w:w="492" w:type="pct"/>
                  <w:vAlign w:val="center"/>
                </w:tcPr>
                <w:p w14:paraId="18DE2A7B">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lang w:val="en-US" w:eastAsia="zh-CN"/>
                    </w:rPr>
                    <w:t>3</w:t>
                  </w:r>
                  <w:r>
                    <w:rPr>
                      <w:rFonts w:hint="default" w:ascii="Times New Roman" w:hAnsi="Times New Roman" w:eastAsia="宋体" w:cs="Times New Roman"/>
                      <w:b w:val="0"/>
                      <w:bCs/>
                      <w:color w:val="auto"/>
                      <w:szCs w:val="21"/>
                    </w:rPr>
                    <w:t>个月</w:t>
                  </w:r>
                </w:p>
              </w:tc>
              <w:tc>
                <w:tcPr>
                  <w:tcW w:w="443" w:type="pct"/>
                  <w:vAlign w:val="center"/>
                </w:tcPr>
                <w:p w14:paraId="60F36166">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T，I</w:t>
                  </w:r>
                </w:p>
              </w:tc>
              <w:tc>
                <w:tcPr>
                  <w:tcW w:w="698" w:type="pct"/>
                  <w:vAlign w:val="center"/>
                </w:tcPr>
                <w:p w14:paraId="573E51EE">
                  <w:pPr>
                    <w:pStyle w:val="62"/>
                    <w:tabs>
                      <w:tab w:val="left" w:pos="1485"/>
                      <w:tab w:val="center" w:pos="4113"/>
                    </w:tabs>
                    <w:wordWrap w:val="0"/>
                    <w:rPr>
                      <w:rFonts w:hint="default" w:ascii="Times New Roman" w:hAnsi="Times New Roman" w:eastAsia="宋体" w:cs="Times New Roman"/>
                      <w:b w:val="0"/>
                      <w:bCs/>
                      <w:color w:val="auto"/>
                      <w:szCs w:val="21"/>
                    </w:rPr>
                  </w:pPr>
                  <w:r>
                    <w:rPr>
                      <w:rFonts w:hint="default" w:ascii="Times New Roman" w:hAnsi="Times New Roman" w:eastAsia="宋体" w:cs="Times New Roman"/>
                      <w:b w:val="0"/>
                      <w:bCs/>
                      <w:color w:val="auto"/>
                      <w:szCs w:val="21"/>
                    </w:rPr>
                    <w:t>委托有资质单位处置</w:t>
                  </w:r>
                </w:p>
              </w:tc>
            </w:tr>
          </w:tbl>
          <w:p w14:paraId="13C41F8A">
            <w:pPr>
              <w:spacing w:line="240" w:lineRule="auto"/>
              <w:ind w:firstLine="482"/>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表4-</w:t>
            </w:r>
            <w:r>
              <w:rPr>
                <w:rFonts w:hint="default" w:ascii="Times New Roman" w:hAnsi="Times New Roman" w:eastAsia="宋体" w:cs="Times New Roman"/>
                <w:b/>
                <w:bCs/>
                <w:color w:val="auto"/>
                <w:sz w:val="21"/>
                <w:szCs w:val="21"/>
                <w:lang w:val="en-US" w:eastAsia="zh-CN"/>
              </w:rPr>
              <w:t>18</w:t>
            </w:r>
            <w:r>
              <w:rPr>
                <w:rFonts w:hint="default" w:ascii="Times New Roman" w:hAnsi="Times New Roman" w:eastAsia="宋体" w:cs="Times New Roman"/>
                <w:b/>
                <w:bCs/>
                <w:color w:val="auto"/>
                <w:sz w:val="21"/>
                <w:szCs w:val="21"/>
              </w:rPr>
              <w:t xml:space="preserve"> 固体废物产生及处理情况汇总表</w:t>
            </w:r>
          </w:p>
          <w:tbl>
            <w:tblPr>
              <w:tblStyle w:val="34"/>
              <w:tblW w:w="4994" w:type="pct"/>
              <w:tblInd w:w="-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67"/>
              <w:gridCol w:w="636"/>
              <w:gridCol w:w="631"/>
              <w:gridCol w:w="630"/>
              <w:gridCol w:w="834"/>
              <w:gridCol w:w="544"/>
              <w:gridCol w:w="632"/>
              <w:gridCol w:w="702"/>
              <w:gridCol w:w="818"/>
              <w:gridCol w:w="708"/>
              <w:gridCol w:w="947"/>
              <w:gridCol w:w="891"/>
            </w:tblGrid>
            <w:tr w14:paraId="300831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0" w:hRule="atLeast"/>
              </w:trPr>
              <w:tc>
                <w:tcPr>
                  <w:tcW w:w="277" w:type="pct"/>
                  <w:vAlign w:val="center"/>
                </w:tcPr>
                <w:p w14:paraId="75DD6199">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374" w:type="pct"/>
                  <w:vAlign w:val="center"/>
                </w:tcPr>
                <w:p w14:paraId="1F37A428">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固废名称</w:t>
                  </w:r>
                </w:p>
              </w:tc>
              <w:tc>
                <w:tcPr>
                  <w:tcW w:w="374" w:type="pct"/>
                  <w:vAlign w:val="center"/>
                </w:tcPr>
                <w:p w14:paraId="695577D9">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产生环节</w:t>
                  </w:r>
                </w:p>
              </w:tc>
              <w:tc>
                <w:tcPr>
                  <w:tcW w:w="373" w:type="pct"/>
                  <w:vAlign w:val="center"/>
                </w:tcPr>
                <w:p w14:paraId="11DCAD71">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属性</w:t>
                  </w:r>
                </w:p>
              </w:tc>
              <w:tc>
                <w:tcPr>
                  <w:tcW w:w="494" w:type="pct"/>
                  <w:vAlign w:val="center"/>
                </w:tcPr>
                <w:p w14:paraId="05A84B55">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固废代码</w:t>
                  </w:r>
                </w:p>
              </w:tc>
              <w:tc>
                <w:tcPr>
                  <w:tcW w:w="322" w:type="pct"/>
                  <w:vAlign w:val="center"/>
                </w:tcPr>
                <w:p w14:paraId="416A44F3">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有害成分</w:t>
                  </w:r>
                </w:p>
              </w:tc>
              <w:tc>
                <w:tcPr>
                  <w:tcW w:w="374" w:type="pct"/>
                  <w:vAlign w:val="center"/>
                </w:tcPr>
                <w:p w14:paraId="772C583C">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物理形状</w:t>
                  </w:r>
                </w:p>
              </w:tc>
              <w:tc>
                <w:tcPr>
                  <w:tcW w:w="415" w:type="pct"/>
                  <w:vAlign w:val="center"/>
                </w:tcPr>
                <w:p w14:paraId="5ABC9CC7">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危险特性</w:t>
                  </w:r>
                </w:p>
              </w:tc>
              <w:tc>
                <w:tcPr>
                  <w:tcW w:w="484" w:type="pct"/>
                  <w:vAlign w:val="center"/>
                </w:tcPr>
                <w:p w14:paraId="62D1413B">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产生量（t/a）</w:t>
                  </w:r>
                </w:p>
              </w:tc>
              <w:tc>
                <w:tcPr>
                  <w:tcW w:w="419" w:type="pct"/>
                  <w:vAlign w:val="center"/>
                </w:tcPr>
                <w:p w14:paraId="127965C4">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贮存场所</w:t>
                  </w:r>
                </w:p>
              </w:tc>
              <w:tc>
                <w:tcPr>
                  <w:tcW w:w="560" w:type="pct"/>
                  <w:vAlign w:val="center"/>
                </w:tcPr>
                <w:p w14:paraId="4152926A">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处置方式和去向</w:t>
                  </w:r>
                </w:p>
              </w:tc>
              <w:tc>
                <w:tcPr>
                  <w:tcW w:w="527" w:type="pct"/>
                  <w:vAlign w:val="center"/>
                </w:tcPr>
                <w:p w14:paraId="6913B2C5">
                  <w:pPr>
                    <w:pStyle w:val="196"/>
                    <w:wordWrap w:val="0"/>
                    <w:adjustRightInd w:val="0"/>
                    <w:snapToGrid w:val="0"/>
                    <w:spacing w:line="240" w:lineRule="auto"/>
                    <w:ind w:firstLine="0" w:firstLineChar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处置量（t/a）</w:t>
                  </w:r>
                </w:p>
              </w:tc>
            </w:tr>
            <w:tr w14:paraId="5AE770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trPr>
              <w:tc>
                <w:tcPr>
                  <w:tcW w:w="277" w:type="pct"/>
                  <w:vAlign w:val="center"/>
                </w:tcPr>
                <w:p w14:paraId="3CFED56F">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374" w:type="pct"/>
                  <w:vAlign w:val="center"/>
                </w:tcPr>
                <w:p w14:paraId="7C38B2D4">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生活垃圾</w:t>
                  </w:r>
                </w:p>
              </w:tc>
              <w:tc>
                <w:tcPr>
                  <w:tcW w:w="374" w:type="pct"/>
                  <w:vAlign w:val="center"/>
                </w:tcPr>
                <w:p w14:paraId="1A8D7CA2">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员工生活</w:t>
                  </w:r>
                </w:p>
              </w:tc>
              <w:tc>
                <w:tcPr>
                  <w:tcW w:w="373" w:type="pct"/>
                  <w:vAlign w:val="center"/>
                </w:tcPr>
                <w:p w14:paraId="0D27F389">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生活垃圾</w:t>
                  </w:r>
                </w:p>
              </w:tc>
              <w:tc>
                <w:tcPr>
                  <w:tcW w:w="494" w:type="pct"/>
                  <w:vAlign w:val="center"/>
                </w:tcPr>
                <w:p w14:paraId="4F6B2A28">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322" w:type="pct"/>
                  <w:vAlign w:val="center"/>
                </w:tcPr>
                <w:p w14:paraId="4B9350C7">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374" w:type="pct"/>
                  <w:vAlign w:val="center"/>
                </w:tcPr>
                <w:p w14:paraId="06272F09">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w:t>
                  </w:r>
                </w:p>
              </w:tc>
              <w:tc>
                <w:tcPr>
                  <w:tcW w:w="415" w:type="pct"/>
                  <w:vAlign w:val="center"/>
                </w:tcPr>
                <w:p w14:paraId="308FBBCC">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484" w:type="pct"/>
                  <w:vAlign w:val="center"/>
                </w:tcPr>
                <w:p w14:paraId="29D4D028">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w:t>
                  </w:r>
                </w:p>
              </w:tc>
              <w:tc>
                <w:tcPr>
                  <w:tcW w:w="419" w:type="pct"/>
                  <w:vAlign w:val="center"/>
                </w:tcPr>
                <w:p w14:paraId="3D1264C1">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垃圾桶</w:t>
                  </w:r>
                </w:p>
              </w:tc>
              <w:tc>
                <w:tcPr>
                  <w:tcW w:w="560" w:type="pct"/>
                  <w:vAlign w:val="center"/>
                </w:tcPr>
                <w:p w14:paraId="22AB4385">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环卫部门处置</w:t>
                  </w:r>
                </w:p>
              </w:tc>
              <w:tc>
                <w:tcPr>
                  <w:tcW w:w="527" w:type="pct"/>
                  <w:vAlign w:val="center"/>
                </w:tcPr>
                <w:p w14:paraId="73C0D09C">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w:t>
                  </w:r>
                </w:p>
              </w:tc>
            </w:tr>
            <w:tr w14:paraId="7BE824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trPr>
              <w:tc>
                <w:tcPr>
                  <w:tcW w:w="277" w:type="pct"/>
                  <w:vAlign w:val="center"/>
                </w:tcPr>
                <w:p w14:paraId="1F81C618">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374" w:type="pct"/>
                  <w:vAlign w:val="center"/>
                </w:tcPr>
                <w:p w14:paraId="7A3C10FA">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废金属</w:t>
                  </w:r>
                </w:p>
              </w:tc>
              <w:tc>
                <w:tcPr>
                  <w:tcW w:w="374" w:type="pct"/>
                  <w:vAlign w:val="center"/>
                </w:tcPr>
                <w:p w14:paraId="4D188B71">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磁选</w:t>
                  </w:r>
                </w:p>
              </w:tc>
              <w:tc>
                <w:tcPr>
                  <w:tcW w:w="373" w:type="pct"/>
                  <w:vAlign w:val="center"/>
                </w:tcPr>
                <w:p w14:paraId="37C806AC">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一般固废</w:t>
                  </w:r>
                </w:p>
              </w:tc>
              <w:tc>
                <w:tcPr>
                  <w:tcW w:w="494" w:type="pct"/>
                  <w:vAlign w:val="center"/>
                </w:tcPr>
                <w:p w14:paraId="5B2A385D">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900-001-S17</w:t>
                  </w:r>
                </w:p>
              </w:tc>
              <w:tc>
                <w:tcPr>
                  <w:tcW w:w="322" w:type="pct"/>
                  <w:vAlign w:val="center"/>
                </w:tcPr>
                <w:p w14:paraId="3B2B16F8">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374" w:type="pct"/>
                  <w:vAlign w:val="center"/>
                </w:tcPr>
                <w:p w14:paraId="64EE9A42">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w:t>
                  </w:r>
                </w:p>
              </w:tc>
              <w:tc>
                <w:tcPr>
                  <w:tcW w:w="415" w:type="pct"/>
                  <w:vAlign w:val="center"/>
                </w:tcPr>
                <w:p w14:paraId="7EEFAE44">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484" w:type="pct"/>
                  <w:vAlign w:val="center"/>
                </w:tcPr>
                <w:p w14:paraId="7C3452AE">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750</w:t>
                  </w:r>
                </w:p>
              </w:tc>
              <w:tc>
                <w:tcPr>
                  <w:tcW w:w="419" w:type="pct"/>
                  <w:vMerge w:val="restart"/>
                  <w:vAlign w:val="center"/>
                </w:tcPr>
                <w:p w14:paraId="6746D7F4">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一般固废库</w:t>
                  </w:r>
                </w:p>
                <w:p w14:paraId="653719D5">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p>
              </w:tc>
              <w:tc>
                <w:tcPr>
                  <w:tcW w:w="560" w:type="pct"/>
                  <w:vAlign w:val="center"/>
                </w:tcPr>
                <w:p w14:paraId="52B488C4">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外售</w:t>
                  </w:r>
                </w:p>
              </w:tc>
              <w:tc>
                <w:tcPr>
                  <w:tcW w:w="527" w:type="pct"/>
                  <w:vAlign w:val="center"/>
                </w:tcPr>
                <w:p w14:paraId="15E1B74E">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750</w:t>
                  </w:r>
                </w:p>
              </w:tc>
            </w:tr>
            <w:tr w14:paraId="42FF3D2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trPr>
              <w:tc>
                <w:tcPr>
                  <w:tcW w:w="277" w:type="pct"/>
                  <w:vAlign w:val="center"/>
                </w:tcPr>
                <w:p w14:paraId="02E3295A">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374" w:type="pct"/>
                  <w:shd w:val="clear" w:color="auto" w:fill="auto"/>
                  <w:vAlign w:val="center"/>
                </w:tcPr>
                <w:p w14:paraId="5AC69CE0">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废塑料</w:t>
                  </w:r>
                </w:p>
              </w:tc>
              <w:tc>
                <w:tcPr>
                  <w:tcW w:w="374" w:type="pct"/>
                  <w:shd w:val="clear" w:color="auto" w:fill="auto"/>
                  <w:vAlign w:val="center"/>
                </w:tcPr>
                <w:p w14:paraId="43BE9D56">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分选</w:t>
                  </w:r>
                </w:p>
              </w:tc>
              <w:tc>
                <w:tcPr>
                  <w:tcW w:w="373" w:type="pct"/>
                  <w:shd w:val="clear" w:color="auto" w:fill="auto"/>
                  <w:vAlign w:val="center"/>
                </w:tcPr>
                <w:p w14:paraId="7587CF16">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一般固废</w:t>
                  </w:r>
                </w:p>
              </w:tc>
              <w:tc>
                <w:tcPr>
                  <w:tcW w:w="494" w:type="pct"/>
                  <w:shd w:val="clear" w:color="auto" w:fill="auto"/>
                  <w:vAlign w:val="center"/>
                </w:tcPr>
                <w:p w14:paraId="65AA9DCE">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502-003-S73</w:t>
                  </w:r>
                </w:p>
              </w:tc>
              <w:tc>
                <w:tcPr>
                  <w:tcW w:w="322" w:type="pct"/>
                  <w:shd w:val="clear" w:color="auto" w:fill="auto"/>
                  <w:vAlign w:val="center"/>
                </w:tcPr>
                <w:p w14:paraId="7F6A96BC">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374" w:type="pct"/>
                  <w:shd w:val="clear" w:color="auto" w:fill="auto"/>
                  <w:vAlign w:val="center"/>
                </w:tcPr>
                <w:p w14:paraId="06A7B593">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固</w:t>
                  </w:r>
                </w:p>
              </w:tc>
              <w:tc>
                <w:tcPr>
                  <w:tcW w:w="415" w:type="pct"/>
                  <w:shd w:val="clear" w:color="auto" w:fill="auto"/>
                  <w:vAlign w:val="center"/>
                </w:tcPr>
                <w:p w14:paraId="22FD13F0">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484" w:type="pct"/>
                  <w:shd w:val="clear" w:color="auto" w:fill="auto"/>
                  <w:vAlign w:val="center"/>
                </w:tcPr>
                <w:p w14:paraId="440A8E6C">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300</w:t>
                  </w:r>
                </w:p>
              </w:tc>
              <w:tc>
                <w:tcPr>
                  <w:tcW w:w="419" w:type="pct"/>
                  <w:vMerge w:val="continue"/>
                  <w:shd w:val="clear" w:color="auto" w:fill="auto"/>
                  <w:vAlign w:val="center"/>
                </w:tcPr>
                <w:p w14:paraId="6389236C">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p>
              </w:tc>
              <w:tc>
                <w:tcPr>
                  <w:tcW w:w="560" w:type="pct"/>
                  <w:shd w:val="clear" w:color="auto" w:fill="auto"/>
                  <w:vAlign w:val="center"/>
                </w:tcPr>
                <w:p w14:paraId="4B432082">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外售</w:t>
                  </w:r>
                </w:p>
              </w:tc>
              <w:tc>
                <w:tcPr>
                  <w:tcW w:w="527" w:type="pct"/>
                  <w:shd w:val="clear" w:color="auto" w:fill="auto"/>
                  <w:vAlign w:val="center"/>
                </w:tcPr>
                <w:p w14:paraId="68BBBF15">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300</w:t>
                  </w:r>
                </w:p>
              </w:tc>
            </w:tr>
            <w:tr w14:paraId="7E5690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trPr>
              <w:tc>
                <w:tcPr>
                  <w:tcW w:w="277" w:type="pct"/>
                  <w:vAlign w:val="center"/>
                </w:tcPr>
                <w:p w14:paraId="14E73BB3">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374" w:type="pct"/>
                  <w:shd w:val="clear" w:color="auto" w:fill="auto"/>
                  <w:vAlign w:val="center"/>
                </w:tcPr>
                <w:p w14:paraId="0A3B2F78">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废玻璃</w:t>
                  </w:r>
                </w:p>
              </w:tc>
              <w:tc>
                <w:tcPr>
                  <w:tcW w:w="374" w:type="pct"/>
                  <w:shd w:val="clear" w:color="auto" w:fill="auto"/>
                  <w:vAlign w:val="center"/>
                </w:tcPr>
                <w:p w14:paraId="5FF3315E">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分选</w:t>
                  </w:r>
                </w:p>
              </w:tc>
              <w:tc>
                <w:tcPr>
                  <w:tcW w:w="373" w:type="pct"/>
                  <w:shd w:val="clear" w:color="auto" w:fill="auto"/>
                  <w:vAlign w:val="center"/>
                </w:tcPr>
                <w:p w14:paraId="1DC7A228">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一般固废</w:t>
                  </w:r>
                </w:p>
              </w:tc>
              <w:tc>
                <w:tcPr>
                  <w:tcW w:w="494" w:type="pct"/>
                  <w:shd w:val="clear" w:color="auto" w:fill="auto"/>
                  <w:vAlign w:val="center"/>
                </w:tcPr>
                <w:p w14:paraId="172BE163">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502-003-S73</w:t>
                  </w:r>
                </w:p>
              </w:tc>
              <w:tc>
                <w:tcPr>
                  <w:tcW w:w="322" w:type="pct"/>
                  <w:shd w:val="clear" w:color="auto" w:fill="auto"/>
                  <w:vAlign w:val="center"/>
                </w:tcPr>
                <w:p w14:paraId="57A3E25B">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374" w:type="pct"/>
                  <w:shd w:val="clear" w:color="auto" w:fill="auto"/>
                  <w:vAlign w:val="center"/>
                </w:tcPr>
                <w:p w14:paraId="5050C4A9">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固</w:t>
                  </w:r>
                </w:p>
              </w:tc>
              <w:tc>
                <w:tcPr>
                  <w:tcW w:w="415" w:type="pct"/>
                  <w:shd w:val="clear" w:color="auto" w:fill="auto"/>
                  <w:vAlign w:val="center"/>
                </w:tcPr>
                <w:p w14:paraId="4C51F2BE">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484" w:type="pct"/>
                  <w:shd w:val="clear" w:color="auto" w:fill="auto"/>
                  <w:vAlign w:val="center"/>
                </w:tcPr>
                <w:p w14:paraId="0ED947FD">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300</w:t>
                  </w:r>
                </w:p>
              </w:tc>
              <w:tc>
                <w:tcPr>
                  <w:tcW w:w="419" w:type="pct"/>
                  <w:vMerge w:val="continue"/>
                  <w:vAlign w:val="center"/>
                </w:tcPr>
                <w:p w14:paraId="62F52A71">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p>
              </w:tc>
              <w:tc>
                <w:tcPr>
                  <w:tcW w:w="560" w:type="pct"/>
                  <w:shd w:val="clear" w:color="auto" w:fill="auto"/>
                  <w:vAlign w:val="center"/>
                </w:tcPr>
                <w:p w14:paraId="19F5D125">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外售</w:t>
                  </w:r>
                </w:p>
              </w:tc>
              <w:tc>
                <w:tcPr>
                  <w:tcW w:w="527" w:type="pct"/>
                  <w:shd w:val="clear" w:color="auto" w:fill="auto"/>
                  <w:vAlign w:val="center"/>
                </w:tcPr>
                <w:p w14:paraId="093F9714">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300</w:t>
                  </w:r>
                </w:p>
              </w:tc>
            </w:tr>
            <w:tr w14:paraId="02A5B9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trPr>
              <w:tc>
                <w:tcPr>
                  <w:tcW w:w="277" w:type="pct"/>
                  <w:vAlign w:val="center"/>
                </w:tcPr>
                <w:p w14:paraId="6C7F0F4C">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c>
                <w:tcPr>
                  <w:tcW w:w="374" w:type="pct"/>
                  <w:shd w:val="clear" w:color="auto" w:fill="auto"/>
                  <w:vAlign w:val="center"/>
                </w:tcPr>
                <w:p w14:paraId="73D35DD5">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渣土</w:t>
                  </w:r>
                </w:p>
              </w:tc>
              <w:tc>
                <w:tcPr>
                  <w:tcW w:w="374" w:type="pct"/>
                  <w:shd w:val="clear" w:color="auto" w:fill="auto"/>
                  <w:vAlign w:val="center"/>
                </w:tcPr>
                <w:p w14:paraId="49AEEDB0">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筛分</w:t>
                  </w:r>
                </w:p>
              </w:tc>
              <w:tc>
                <w:tcPr>
                  <w:tcW w:w="373" w:type="pct"/>
                  <w:shd w:val="clear" w:color="auto" w:fill="auto"/>
                  <w:vAlign w:val="center"/>
                </w:tcPr>
                <w:p w14:paraId="60CA7D0C">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一般固废</w:t>
                  </w:r>
                </w:p>
              </w:tc>
              <w:tc>
                <w:tcPr>
                  <w:tcW w:w="494" w:type="pct"/>
                  <w:shd w:val="clear" w:color="auto" w:fill="auto"/>
                  <w:vAlign w:val="center"/>
                </w:tcPr>
                <w:p w14:paraId="66DC83E3">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900-099-S59</w:t>
                  </w:r>
                </w:p>
              </w:tc>
              <w:tc>
                <w:tcPr>
                  <w:tcW w:w="322" w:type="pct"/>
                  <w:shd w:val="clear" w:color="auto" w:fill="auto"/>
                  <w:vAlign w:val="center"/>
                </w:tcPr>
                <w:p w14:paraId="462F2D2D">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374" w:type="pct"/>
                  <w:shd w:val="clear" w:color="auto" w:fill="auto"/>
                  <w:vAlign w:val="center"/>
                </w:tcPr>
                <w:p w14:paraId="2777DFF0">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固</w:t>
                  </w:r>
                </w:p>
              </w:tc>
              <w:tc>
                <w:tcPr>
                  <w:tcW w:w="415" w:type="pct"/>
                  <w:shd w:val="clear" w:color="auto" w:fill="auto"/>
                  <w:vAlign w:val="center"/>
                </w:tcPr>
                <w:p w14:paraId="50AE6B5A">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484" w:type="pct"/>
                  <w:shd w:val="clear" w:color="auto" w:fill="auto"/>
                  <w:vAlign w:val="center"/>
                </w:tcPr>
                <w:p w14:paraId="591D2761">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50000</w:t>
                  </w:r>
                </w:p>
              </w:tc>
              <w:tc>
                <w:tcPr>
                  <w:tcW w:w="419" w:type="pct"/>
                  <w:vMerge w:val="continue"/>
                  <w:vAlign w:val="center"/>
                </w:tcPr>
                <w:p w14:paraId="1E2607E2">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rPr>
                  </w:pPr>
                </w:p>
              </w:tc>
              <w:tc>
                <w:tcPr>
                  <w:tcW w:w="560" w:type="pct"/>
                  <w:shd w:val="clear" w:color="auto" w:fill="auto"/>
                  <w:vAlign w:val="center"/>
                </w:tcPr>
                <w:p w14:paraId="3495EF53">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综合利用</w:t>
                  </w:r>
                </w:p>
              </w:tc>
              <w:tc>
                <w:tcPr>
                  <w:tcW w:w="527" w:type="pct"/>
                  <w:shd w:val="clear" w:color="auto" w:fill="auto"/>
                  <w:vAlign w:val="center"/>
                </w:tcPr>
                <w:p w14:paraId="6F732BD4">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50000</w:t>
                  </w:r>
                </w:p>
              </w:tc>
            </w:tr>
            <w:tr w14:paraId="2B6194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trPr>
              <w:tc>
                <w:tcPr>
                  <w:tcW w:w="277" w:type="pct"/>
                  <w:vAlign w:val="center"/>
                </w:tcPr>
                <w:p w14:paraId="7E3A83A1">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374" w:type="pct"/>
                  <w:shd w:val="clear" w:color="auto" w:fill="auto"/>
                  <w:vAlign w:val="center"/>
                </w:tcPr>
                <w:p w14:paraId="6CE9A9A2">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除尘灰</w:t>
                  </w:r>
                </w:p>
              </w:tc>
              <w:tc>
                <w:tcPr>
                  <w:tcW w:w="374" w:type="pct"/>
                  <w:shd w:val="clear" w:color="auto" w:fill="auto"/>
                  <w:vAlign w:val="center"/>
                </w:tcPr>
                <w:p w14:paraId="0B333511">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除尘</w:t>
                  </w:r>
                </w:p>
              </w:tc>
              <w:tc>
                <w:tcPr>
                  <w:tcW w:w="373" w:type="pct"/>
                  <w:shd w:val="clear" w:color="auto" w:fill="auto"/>
                  <w:vAlign w:val="center"/>
                </w:tcPr>
                <w:p w14:paraId="6D7F72FC">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一般固废</w:t>
                  </w:r>
                </w:p>
              </w:tc>
              <w:tc>
                <w:tcPr>
                  <w:tcW w:w="494" w:type="pct"/>
                  <w:shd w:val="clear" w:color="auto" w:fill="auto"/>
                  <w:vAlign w:val="center"/>
                </w:tcPr>
                <w:p w14:paraId="027CB0D0">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900-099-S59</w:t>
                  </w:r>
                </w:p>
              </w:tc>
              <w:tc>
                <w:tcPr>
                  <w:tcW w:w="322" w:type="pct"/>
                  <w:shd w:val="clear" w:color="auto" w:fill="auto"/>
                  <w:vAlign w:val="center"/>
                </w:tcPr>
                <w:p w14:paraId="64F7F078">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374" w:type="pct"/>
                  <w:shd w:val="clear" w:color="auto" w:fill="auto"/>
                  <w:vAlign w:val="center"/>
                </w:tcPr>
                <w:p w14:paraId="6FE3F929">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固</w:t>
                  </w:r>
                </w:p>
              </w:tc>
              <w:tc>
                <w:tcPr>
                  <w:tcW w:w="415" w:type="pct"/>
                  <w:shd w:val="clear" w:color="auto" w:fill="auto"/>
                  <w:vAlign w:val="center"/>
                </w:tcPr>
                <w:p w14:paraId="361F6B15">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484" w:type="pct"/>
                  <w:shd w:val="clear" w:color="auto" w:fill="auto"/>
                  <w:vAlign w:val="center"/>
                </w:tcPr>
                <w:p w14:paraId="55916085">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648.02</w:t>
                  </w:r>
                </w:p>
              </w:tc>
              <w:tc>
                <w:tcPr>
                  <w:tcW w:w="419" w:type="pct"/>
                  <w:vMerge w:val="continue"/>
                  <w:shd w:val="clear" w:color="auto" w:fill="auto"/>
                  <w:vAlign w:val="center"/>
                </w:tcPr>
                <w:p w14:paraId="674ABFE7">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p>
              </w:tc>
              <w:tc>
                <w:tcPr>
                  <w:tcW w:w="560" w:type="pct"/>
                  <w:shd w:val="clear" w:color="auto" w:fill="auto"/>
                  <w:vAlign w:val="center"/>
                </w:tcPr>
                <w:p w14:paraId="24633D54">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回用于生产</w:t>
                  </w:r>
                </w:p>
              </w:tc>
              <w:tc>
                <w:tcPr>
                  <w:tcW w:w="527" w:type="pct"/>
                  <w:shd w:val="clear" w:color="auto" w:fill="auto"/>
                  <w:vAlign w:val="center"/>
                </w:tcPr>
                <w:p w14:paraId="137A8F1D">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648.02</w:t>
                  </w:r>
                </w:p>
              </w:tc>
            </w:tr>
            <w:tr w14:paraId="218B97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trPr>
              <w:tc>
                <w:tcPr>
                  <w:tcW w:w="277" w:type="pct"/>
                  <w:vAlign w:val="center"/>
                </w:tcPr>
                <w:p w14:paraId="0955ACA6">
                  <w:pPr>
                    <w:pStyle w:val="196"/>
                    <w:wordWrap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w:t>
                  </w:r>
                </w:p>
              </w:tc>
              <w:tc>
                <w:tcPr>
                  <w:tcW w:w="374" w:type="pct"/>
                  <w:shd w:val="clear" w:color="auto" w:fill="auto"/>
                  <w:vAlign w:val="center"/>
                </w:tcPr>
                <w:p w14:paraId="446F719C">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废机油、废油桶</w:t>
                  </w:r>
                </w:p>
              </w:tc>
              <w:tc>
                <w:tcPr>
                  <w:tcW w:w="374" w:type="pct"/>
                  <w:shd w:val="clear" w:color="auto" w:fill="auto"/>
                  <w:vAlign w:val="center"/>
                </w:tcPr>
                <w:p w14:paraId="7BD02309">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设备维修</w:t>
                  </w:r>
                </w:p>
              </w:tc>
              <w:tc>
                <w:tcPr>
                  <w:tcW w:w="373" w:type="pct"/>
                  <w:shd w:val="clear" w:color="auto" w:fill="auto"/>
                  <w:vAlign w:val="center"/>
                </w:tcPr>
                <w:p w14:paraId="5FDA7F96">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危险废物</w:t>
                  </w:r>
                </w:p>
              </w:tc>
              <w:tc>
                <w:tcPr>
                  <w:tcW w:w="494" w:type="pct"/>
                  <w:shd w:val="clear" w:color="auto" w:fill="auto"/>
                  <w:vAlign w:val="center"/>
                </w:tcPr>
                <w:p w14:paraId="3F0C14AE">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900-249-08</w:t>
                  </w:r>
                </w:p>
              </w:tc>
              <w:tc>
                <w:tcPr>
                  <w:tcW w:w="322" w:type="pct"/>
                  <w:shd w:val="clear" w:color="auto" w:fill="auto"/>
                  <w:vAlign w:val="center"/>
                </w:tcPr>
                <w:p w14:paraId="588A435B">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矿物油</w:t>
                  </w:r>
                </w:p>
              </w:tc>
              <w:tc>
                <w:tcPr>
                  <w:tcW w:w="374" w:type="pct"/>
                  <w:shd w:val="clear" w:color="auto" w:fill="auto"/>
                  <w:vAlign w:val="center"/>
                </w:tcPr>
                <w:p w14:paraId="20AB8B8A">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液</w:t>
                  </w:r>
                </w:p>
              </w:tc>
              <w:tc>
                <w:tcPr>
                  <w:tcW w:w="415" w:type="pct"/>
                  <w:shd w:val="clear" w:color="auto" w:fill="auto"/>
                  <w:vAlign w:val="center"/>
                </w:tcPr>
                <w:p w14:paraId="74D79E81">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T/I</w:t>
                  </w:r>
                </w:p>
              </w:tc>
              <w:tc>
                <w:tcPr>
                  <w:tcW w:w="484" w:type="pct"/>
                  <w:shd w:val="clear" w:color="auto" w:fill="auto"/>
                  <w:vAlign w:val="center"/>
                </w:tcPr>
                <w:p w14:paraId="24B1F754">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w:t>
                  </w:r>
                </w:p>
              </w:tc>
              <w:tc>
                <w:tcPr>
                  <w:tcW w:w="419" w:type="pct"/>
                  <w:shd w:val="clear" w:color="auto" w:fill="auto"/>
                  <w:vAlign w:val="center"/>
                </w:tcPr>
                <w:p w14:paraId="6D5F1C26">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危废库</w:t>
                  </w:r>
                </w:p>
              </w:tc>
              <w:tc>
                <w:tcPr>
                  <w:tcW w:w="560" w:type="pct"/>
                  <w:shd w:val="clear" w:color="auto" w:fill="auto"/>
                  <w:vAlign w:val="center"/>
                </w:tcPr>
                <w:p w14:paraId="2BBA49EA">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color w:val="auto"/>
                      <w:sz w:val="21"/>
                      <w:szCs w:val="21"/>
                    </w:rPr>
                    <w:t>委托有资质单位处置</w:t>
                  </w:r>
                </w:p>
              </w:tc>
              <w:tc>
                <w:tcPr>
                  <w:tcW w:w="527" w:type="pct"/>
                  <w:shd w:val="clear" w:color="auto" w:fill="auto"/>
                  <w:vAlign w:val="center"/>
                </w:tcPr>
                <w:p w14:paraId="6679E96F">
                  <w:pPr>
                    <w:pStyle w:val="196"/>
                    <w:wordWrap w:val="0"/>
                    <w:adjustRightInd w:val="0"/>
                    <w:snapToGrid w:val="0"/>
                    <w:spacing w:line="240" w:lineRule="auto"/>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w:t>
                  </w:r>
                </w:p>
              </w:tc>
            </w:tr>
          </w:tbl>
          <w:p w14:paraId="7A20D5BB">
            <w:pPr>
              <w:ind w:firstLine="482"/>
              <w:rPr>
                <w:rFonts w:hint="default" w:ascii="Times New Roman" w:hAnsi="Times New Roman" w:eastAsia="宋体" w:cs="Times New Roman"/>
                <w:b/>
                <w:bCs/>
                <w:color w:val="auto"/>
                <w:kern w:val="24"/>
              </w:rPr>
            </w:pPr>
            <w:r>
              <w:rPr>
                <w:rFonts w:hint="default" w:ascii="Times New Roman" w:hAnsi="Times New Roman" w:eastAsia="宋体" w:cs="Times New Roman"/>
                <w:b/>
                <w:bCs/>
                <w:color w:val="auto"/>
                <w:kern w:val="24"/>
              </w:rPr>
              <w:t>2.固废环境管理要求</w:t>
            </w:r>
          </w:p>
          <w:p w14:paraId="1284B701">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本项目生产过程中产生的废金属、废塑料、废玻璃等收集后外售；职工生活垃圾定期由环卫部门清运处置。</w:t>
            </w:r>
            <w:r>
              <w:rPr>
                <w:rFonts w:hint="default" w:ascii="Times New Roman" w:hAnsi="Times New Roman" w:eastAsia="宋体" w:cs="Times New Roman"/>
                <w:color w:val="auto"/>
                <w:lang w:val="en-US" w:eastAsia="zh-CN"/>
              </w:rPr>
              <w:t>废渣土综合利用，</w:t>
            </w:r>
            <w:r>
              <w:rPr>
                <w:rFonts w:hint="default" w:ascii="Times New Roman" w:hAnsi="Times New Roman" w:eastAsia="宋体" w:cs="Times New Roman"/>
                <w:color w:val="auto"/>
              </w:rPr>
              <w:t>建设单位拟建设一般固废库一座，占地面积100m</w:t>
            </w:r>
            <w:r>
              <w:rPr>
                <w:rFonts w:hint="default" w:ascii="Times New Roman" w:hAnsi="Times New Roman" w:eastAsia="宋体" w:cs="Times New Roman"/>
                <w:color w:val="auto"/>
                <w:vertAlign w:val="superscript"/>
              </w:rPr>
              <w:t>2</w:t>
            </w:r>
            <w:r>
              <w:rPr>
                <w:rFonts w:hint="default" w:ascii="Times New Roman" w:hAnsi="Times New Roman" w:eastAsia="宋体" w:cs="Times New Roman"/>
                <w:color w:val="auto"/>
              </w:rPr>
              <w:t>，一般固废库按照《一般工业固体废物贮存和填埋污染控制标准》（GB18599-2020）建设。</w:t>
            </w:r>
          </w:p>
          <w:p w14:paraId="2A127722">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在项目生产过程中产生的废机油、废油桶，根据《国家危险废物名录》（2025年版），属于危险废物，均委托有资质单位处置。</w:t>
            </w:r>
          </w:p>
          <w:p w14:paraId="31CBFC43">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危废库应按照《危险废物贮存污染控制标准》（GB18597-2023）的要求进行建设，暂存处具有防渗、防淋等措施。</w:t>
            </w:r>
          </w:p>
          <w:p w14:paraId="068BDF46">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为防止雨水径流进入危废库和渗滤液的流失，应构筑堤、坝、挡土墙等设施。地面必须要高于厂房的基准地面，确保雨水无法进入，渗漏液也无法外溢进入环境，地面与裙脚有坚固、防渗的材料建造，防渗层为2mm厚高密度聚乙烯，渗透系数≤10</w:t>
            </w:r>
            <w:r>
              <w:rPr>
                <w:rFonts w:hint="default" w:ascii="Times New Roman" w:hAnsi="Times New Roman" w:eastAsia="宋体" w:cs="Times New Roman"/>
                <w:color w:val="auto"/>
                <w:vertAlign w:val="superscript"/>
              </w:rPr>
              <w:t>-10</w:t>
            </w:r>
            <w:r>
              <w:rPr>
                <w:rFonts w:hint="default" w:ascii="Times New Roman" w:hAnsi="Times New Roman" w:eastAsia="宋体" w:cs="Times New Roman"/>
                <w:color w:val="auto"/>
              </w:rPr>
              <w:t>cm/s，堆放危险废物的高度应根据地面承载能力确定；地面四周设置有废水导排渠道和收集设施为加强监督管理，贮存、处置场应按《危险废物识别标志设置技术规范》设置环境保护图形标志。</w:t>
            </w:r>
          </w:p>
          <w:p w14:paraId="0BED2C6D">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在常温常压下不水解、不挥发的固体危险废物可在贮存设施内分别堆放，除此之外其他危险废物必须装在容器内。禁止将不相容（相互反应）的危险废物在同一容器内混装。无法装入常用容器的危险废物可用防漏胶袋等盛装。装载液体、半固体危险废物的容器内须留足够空间，容器顶部与液体表面之间保留100毫米以上的空间。</w:t>
            </w:r>
          </w:p>
          <w:p w14:paraId="252DD5AD">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危险废物贮存容器应当使用符合标准的容器盛装危险废物，装载危险废物的容器及材质要满足相应的强度要求，装载危险废物的容器必须完好无损。盛装危险废物的容器材质和衬里要与危险废物相容（不相互反应）液体危险废物可注入开孔直径不超过70毫米并有放气孔的桶中。</w:t>
            </w:r>
          </w:p>
          <w:p w14:paraId="5F1D07D6">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本项目设置的危废暂存区域位于室内，符合防风、防雨、防晒、防渗漏的要求，危废库面积</w:t>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rPr>
              <w:t>0</w:t>
            </w:r>
            <w:r>
              <w:rPr>
                <w:rFonts w:hint="default" w:ascii="Times New Roman" w:hAnsi="Times New Roman" w:eastAsia="宋体" w:cs="Times New Roman"/>
                <w:color w:val="auto"/>
                <w:lang w:val="en-US" w:eastAsia="zh-CN"/>
              </w:rPr>
              <w:t>m</w:t>
            </w:r>
            <w:r>
              <w:rPr>
                <w:rFonts w:hint="default" w:ascii="Times New Roman" w:hAnsi="Times New Roman" w:eastAsia="宋体" w:cs="Times New Roman"/>
                <w:color w:val="auto"/>
                <w:vertAlign w:val="superscript"/>
                <w:lang w:val="en-US" w:eastAsia="zh-CN"/>
              </w:rPr>
              <w:t>2</w:t>
            </w:r>
            <w:r>
              <w:rPr>
                <w:rFonts w:hint="default" w:ascii="Times New Roman" w:hAnsi="Times New Roman" w:eastAsia="宋体" w:cs="Times New Roman"/>
                <w:color w:val="auto"/>
              </w:rPr>
              <w:t>，本项目危废仅有少量废机油、废油桶，危废库容积可满足项目贮存。</w:t>
            </w:r>
          </w:p>
          <w:p w14:paraId="7528F641">
            <w:pPr>
              <w:tabs>
                <w:tab w:val="left" w:pos="1500"/>
              </w:tabs>
              <w:ind w:firstLine="480"/>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危险废物的运输、处置均委托有资质单位进行。危险废物的收集、贮存、运输全过程应严格执行《危险废物收集贮存运输技术规范》(HJ2025-2012)的有关规定。危险废物从产生单元转运至危险废物暂存间后，应对转运沿线进行检查和清理，确保无危险废物遗失在转运路线上，项目产生的危险废物在厂区内的贮存时间不得超过一年</w:t>
            </w:r>
            <w:r>
              <w:rPr>
                <w:rFonts w:hint="default" w:ascii="Times New Roman" w:hAnsi="Times New Roman" w:eastAsia="宋体" w:cs="Times New Roman"/>
                <w:color w:val="auto"/>
                <w:lang w:eastAsia="zh-CN"/>
              </w:rPr>
              <w:t>。</w:t>
            </w:r>
          </w:p>
          <w:p w14:paraId="0A298F30">
            <w:pPr>
              <w:adjustRightInd w:val="0"/>
              <w:snapToGrid w:val="0"/>
              <w:ind w:firstLine="48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因此，项目产生的固废可以实现妥善处置，方法可行。在严格执行上述处置措施和管理措施的前提下，固体废物不会对环境产生二次污染。</w:t>
            </w:r>
          </w:p>
          <w:p w14:paraId="7E60315A">
            <w:pPr>
              <w:ind w:firstLine="482"/>
              <w:rPr>
                <w:rFonts w:hint="default" w:ascii="Times New Roman" w:hAnsi="Times New Roman" w:eastAsia="宋体" w:cs="Times New Roman"/>
                <w:b/>
                <w:color w:val="auto"/>
              </w:rPr>
            </w:pPr>
            <w:r>
              <w:rPr>
                <w:rFonts w:hint="default" w:ascii="Times New Roman" w:hAnsi="Times New Roman" w:eastAsia="宋体" w:cs="Times New Roman"/>
                <w:b/>
                <w:color w:val="auto"/>
                <w:kern w:val="24"/>
              </w:rPr>
              <w:t>（五）</w:t>
            </w:r>
            <w:r>
              <w:rPr>
                <w:rFonts w:hint="default" w:ascii="Times New Roman" w:hAnsi="Times New Roman" w:eastAsia="宋体" w:cs="Times New Roman"/>
                <w:b/>
                <w:color w:val="auto"/>
              </w:rPr>
              <w:t>地下水、土壤环境影响分析</w:t>
            </w:r>
          </w:p>
          <w:p w14:paraId="0D9A6EAD">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为确保项目生产运行不会对周围土壤、地下水产生污染，本项目营运期土壤、地下水污染防治措施应按照“源头控制、分区防治、污染监控、应急响应”相结合的原则，从污染物的产生、入渗、扩散、应急响应全方位进行防控。评价建议建设单位应采取分区防渗措施，根据项目厂区各功能单元对地下水造成污染控制难易程度，结合天然包气带防污特征，将厂区所在区域划分为重点防渗区、一般防渗区和简单防渗区。</w:t>
            </w:r>
          </w:p>
          <w:p w14:paraId="206A1511">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针对可能发生的地下水污染，一般以水平防渗为主。</w:t>
            </w:r>
          </w:p>
          <w:p w14:paraId="39970764">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重点防渗区是可能会对地下水造成污染，风险程度较高或污染物浓度较高，需要重点防治或者需要重点保护的区域，包括危废暂存间</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lang w:val="en-US" w:eastAsia="zh-CN"/>
              </w:rPr>
              <w:t>污泥贮存间</w:t>
            </w:r>
            <w:r>
              <w:rPr>
                <w:rFonts w:hint="default" w:ascii="Times New Roman" w:hAnsi="Times New Roman" w:eastAsia="宋体" w:cs="Times New Roman"/>
                <w:color w:val="auto"/>
              </w:rPr>
              <w:t>。</w:t>
            </w:r>
          </w:p>
          <w:p w14:paraId="1DCDFB58">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一般防渗区是可能会对地下水造成污染，但危害性或风险程度相对较低的区域，包括一般固废库、</w:t>
            </w:r>
            <w:r>
              <w:rPr>
                <w:rFonts w:hint="default" w:ascii="Times New Roman" w:hAnsi="Times New Roman" w:eastAsia="宋体" w:cs="Times New Roman"/>
                <w:color w:val="auto"/>
                <w:lang w:val="en-US" w:eastAsia="zh-CN"/>
              </w:rPr>
              <w:t>原料库、骨料库</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生产车间、沉淀池</w:t>
            </w:r>
            <w:r>
              <w:rPr>
                <w:rFonts w:hint="default" w:ascii="Times New Roman" w:hAnsi="Times New Roman" w:eastAsia="宋体" w:cs="Times New Roman"/>
                <w:color w:val="auto"/>
              </w:rPr>
              <w:t>等区域。</w:t>
            </w:r>
          </w:p>
          <w:p w14:paraId="6A07B2B2">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简单防渗区进行一般地面硬化。</w:t>
            </w:r>
          </w:p>
          <w:p w14:paraId="0E4492CE">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项目分区防渗要求见表4-</w:t>
            </w:r>
            <w:r>
              <w:rPr>
                <w:rFonts w:hint="default" w:ascii="Times New Roman" w:hAnsi="Times New Roman" w:eastAsia="宋体" w:cs="Times New Roman"/>
                <w:color w:val="auto"/>
                <w:lang w:val="en-US" w:eastAsia="zh-CN"/>
              </w:rPr>
              <w:t>1</w:t>
            </w:r>
            <w:r>
              <w:rPr>
                <w:rFonts w:hint="eastAsia" w:ascii="Times New Roman" w:hAnsi="Times New Roman" w:eastAsia="宋体" w:cs="Times New Roman"/>
                <w:color w:val="auto"/>
                <w:lang w:val="en-US" w:eastAsia="zh-CN"/>
              </w:rPr>
              <w:t>9</w:t>
            </w:r>
            <w:r>
              <w:rPr>
                <w:rFonts w:hint="default" w:ascii="Times New Roman" w:hAnsi="Times New Roman" w:eastAsia="宋体" w:cs="Times New Roman"/>
                <w:color w:val="auto"/>
              </w:rPr>
              <w:t>。</w:t>
            </w:r>
          </w:p>
          <w:p w14:paraId="5A16618A">
            <w:pPr>
              <w:tabs>
                <w:tab w:val="left" w:pos="1500"/>
              </w:tabs>
              <w:spacing w:line="240" w:lineRule="auto"/>
              <w:ind w:firstLine="482"/>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表4-</w:t>
            </w:r>
            <w:r>
              <w:rPr>
                <w:rFonts w:hint="default"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lang w:val="en-US" w:eastAsia="zh-CN"/>
              </w:rPr>
              <w:t>9</w:t>
            </w:r>
            <w:r>
              <w:rPr>
                <w:rFonts w:hint="default" w:ascii="Times New Roman" w:hAnsi="Times New Roman" w:eastAsia="宋体" w:cs="Times New Roman"/>
                <w:b/>
                <w:bCs/>
                <w:color w:val="auto"/>
                <w:sz w:val="21"/>
                <w:szCs w:val="21"/>
              </w:rPr>
              <w:t xml:space="preserve">  厂区分区防渗要求</w:t>
            </w:r>
          </w:p>
          <w:tbl>
            <w:tblPr>
              <w:tblStyle w:val="34"/>
              <w:tblW w:w="4998"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1072"/>
              <w:gridCol w:w="3096"/>
              <w:gridCol w:w="4279"/>
            </w:tblGrid>
            <w:tr w14:paraId="589D912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635" w:type="pct"/>
                  <w:tcBorders>
                    <w:tl2br w:val="nil"/>
                    <w:tr2bl w:val="nil"/>
                  </w:tcBorders>
                  <w:vAlign w:val="center"/>
                </w:tcPr>
                <w:p w14:paraId="0E4CCF76">
                  <w:pPr>
                    <w:tabs>
                      <w:tab w:val="left" w:pos="1500"/>
                    </w:tabs>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防渗级别</w:t>
                  </w:r>
                </w:p>
              </w:tc>
              <w:tc>
                <w:tcPr>
                  <w:tcW w:w="1832" w:type="pct"/>
                  <w:tcBorders>
                    <w:tl2br w:val="nil"/>
                    <w:tr2bl w:val="nil"/>
                  </w:tcBorders>
                  <w:vAlign w:val="center"/>
                </w:tcPr>
                <w:p w14:paraId="1F24813A">
                  <w:pPr>
                    <w:tabs>
                      <w:tab w:val="left" w:pos="1500"/>
                    </w:tabs>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防渗区域</w:t>
                  </w:r>
                </w:p>
              </w:tc>
              <w:tc>
                <w:tcPr>
                  <w:tcW w:w="2532" w:type="pct"/>
                  <w:tcBorders>
                    <w:tl2br w:val="nil"/>
                    <w:tr2bl w:val="nil"/>
                  </w:tcBorders>
                  <w:vAlign w:val="center"/>
                </w:tcPr>
                <w:p w14:paraId="0793F2BA">
                  <w:pPr>
                    <w:tabs>
                      <w:tab w:val="left" w:pos="1500"/>
                    </w:tabs>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防渗要求</w:t>
                  </w:r>
                </w:p>
              </w:tc>
            </w:tr>
            <w:tr w14:paraId="76F5E8D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26" w:hRule="atLeast"/>
                <w:jc w:val="center"/>
              </w:trPr>
              <w:tc>
                <w:tcPr>
                  <w:tcW w:w="635" w:type="pct"/>
                  <w:tcBorders>
                    <w:tl2br w:val="nil"/>
                    <w:tr2bl w:val="nil"/>
                  </w:tcBorders>
                  <w:vAlign w:val="center"/>
                </w:tcPr>
                <w:p w14:paraId="6E7B397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重点防渗区</w:t>
                  </w:r>
                </w:p>
              </w:tc>
              <w:tc>
                <w:tcPr>
                  <w:tcW w:w="1832" w:type="pct"/>
                  <w:tcBorders>
                    <w:tl2br w:val="nil"/>
                    <w:tr2bl w:val="nil"/>
                  </w:tcBorders>
                  <w:vAlign w:val="center"/>
                </w:tcPr>
                <w:p w14:paraId="0AC88B7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危废暂存间</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污泥贮存间</w:t>
                  </w:r>
                </w:p>
              </w:tc>
              <w:tc>
                <w:tcPr>
                  <w:tcW w:w="2532" w:type="pct"/>
                  <w:tcBorders>
                    <w:tl2br w:val="nil"/>
                    <w:tr2bl w:val="nil"/>
                  </w:tcBorders>
                  <w:vAlign w:val="center"/>
                </w:tcPr>
                <w:p w14:paraId="017566C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满足《危险废物贮存污染控制标准》（GB18597-2023）</w:t>
                  </w:r>
                </w:p>
              </w:tc>
            </w:tr>
            <w:tr w14:paraId="68FEA7B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635" w:type="pct"/>
                  <w:tcBorders>
                    <w:tl2br w:val="nil"/>
                    <w:tr2bl w:val="nil"/>
                  </w:tcBorders>
                  <w:vAlign w:val="center"/>
                </w:tcPr>
                <w:p w14:paraId="0BB66A4F">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一般防渗</w:t>
                  </w:r>
                </w:p>
              </w:tc>
              <w:tc>
                <w:tcPr>
                  <w:tcW w:w="1832" w:type="pct"/>
                  <w:tcBorders>
                    <w:tl2br w:val="nil"/>
                    <w:tr2bl w:val="nil"/>
                  </w:tcBorders>
                  <w:vAlign w:val="center"/>
                </w:tcPr>
                <w:p w14:paraId="7BF1F6B1">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一般固废库、原料库、骨料库、生产车间</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沉淀池</w:t>
                  </w:r>
                </w:p>
              </w:tc>
              <w:tc>
                <w:tcPr>
                  <w:tcW w:w="2532" w:type="pct"/>
                  <w:tcBorders>
                    <w:tl2br w:val="nil"/>
                    <w:tr2bl w:val="nil"/>
                  </w:tcBorders>
                  <w:vAlign w:val="center"/>
                </w:tcPr>
                <w:p w14:paraId="533E62FC">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等效粘土防渗层Mb≥1.5m，K≤10</w:t>
                  </w:r>
                  <w:r>
                    <w:rPr>
                      <w:rFonts w:hint="default" w:ascii="Times New Roman" w:hAnsi="Times New Roman" w:eastAsia="宋体" w:cs="Times New Roman"/>
                      <w:color w:val="auto"/>
                      <w:sz w:val="21"/>
                      <w:szCs w:val="21"/>
                      <w:vertAlign w:val="superscript"/>
                    </w:rPr>
                    <w:t>-7</w:t>
                  </w:r>
                  <w:r>
                    <w:rPr>
                      <w:rFonts w:hint="default" w:ascii="Times New Roman" w:hAnsi="Times New Roman" w:eastAsia="宋体" w:cs="Times New Roman"/>
                      <w:color w:val="auto"/>
                      <w:sz w:val="21"/>
                      <w:szCs w:val="21"/>
                    </w:rPr>
                    <w:t>cm/s；或参照GB18598执行</w:t>
                  </w:r>
                </w:p>
              </w:tc>
            </w:tr>
            <w:tr w14:paraId="1BEA990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jc w:val="center"/>
              </w:trPr>
              <w:tc>
                <w:tcPr>
                  <w:tcW w:w="635" w:type="pct"/>
                  <w:tcBorders>
                    <w:tl2br w:val="nil"/>
                    <w:tr2bl w:val="nil"/>
                  </w:tcBorders>
                  <w:vAlign w:val="center"/>
                </w:tcPr>
                <w:p w14:paraId="552ECB69">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简单防渗</w:t>
                  </w:r>
                </w:p>
              </w:tc>
              <w:tc>
                <w:tcPr>
                  <w:tcW w:w="1832" w:type="pct"/>
                  <w:tcBorders>
                    <w:tl2br w:val="nil"/>
                    <w:tr2bl w:val="nil"/>
                  </w:tcBorders>
                  <w:vAlign w:val="center"/>
                </w:tcPr>
                <w:p w14:paraId="3FDFFDB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其他区域</w:t>
                  </w:r>
                </w:p>
              </w:tc>
              <w:tc>
                <w:tcPr>
                  <w:tcW w:w="2532" w:type="pct"/>
                  <w:tcBorders>
                    <w:tl2br w:val="nil"/>
                    <w:tr2bl w:val="nil"/>
                  </w:tcBorders>
                  <w:vAlign w:val="center"/>
                </w:tcPr>
                <w:p w14:paraId="2691F7B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一般地面硬化</w:t>
                  </w:r>
                </w:p>
              </w:tc>
            </w:tr>
          </w:tbl>
          <w:p w14:paraId="3C451A1E">
            <w:pPr>
              <w:tabs>
                <w:tab w:val="left" w:pos="1500"/>
              </w:tabs>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本项目实施后拟采取以上的防渗措施，可有效防止污染物下渗。对周边土壤和地下水影响不大。</w:t>
            </w:r>
          </w:p>
          <w:p w14:paraId="53CB2D8F">
            <w:pPr>
              <w:pStyle w:val="197"/>
              <w:widowControl/>
              <w:wordWrap w:val="0"/>
              <w:topLinePunct/>
              <w:adjustRightInd w:val="0"/>
              <w:snapToGrid w:val="0"/>
              <w:spacing w:after="0"/>
              <w:ind w:firstLine="482"/>
              <w:jc w:val="left"/>
              <w:outlineLvl w:val="9"/>
              <w:rPr>
                <w:rFonts w:hint="default" w:ascii="Times New Roman" w:hAnsi="Times New Roman" w:eastAsia="宋体" w:cs="Times New Roman"/>
                <w:b/>
                <w:bCs/>
                <w:color w:val="auto"/>
                <w:kern w:val="0"/>
                <w:sz w:val="24"/>
                <w:szCs w:val="24"/>
                <w:lang w:val="en-US" w:eastAsia="zh-CN"/>
              </w:rPr>
            </w:pPr>
            <w:r>
              <w:rPr>
                <w:rFonts w:hint="default" w:ascii="Times New Roman" w:hAnsi="Times New Roman" w:eastAsia="宋体" w:cs="Times New Roman"/>
                <w:b/>
                <w:bCs/>
                <w:color w:val="auto"/>
                <w:kern w:val="0"/>
                <w:sz w:val="24"/>
                <w:szCs w:val="24"/>
                <w:lang w:val="en-US" w:eastAsia="zh-CN"/>
              </w:rPr>
              <w:t>（六）运营期环境风险影响分析</w:t>
            </w:r>
          </w:p>
          <w:p w14:paraId="730FAE73">
            <w:pPr>
              <w:pStyle w:val="197"/>
              <w:widowControl/>
              <w:topLinePunct/>
              <w:adjustRightInd w:val="0"/>
              <w:snapToGrid w:val="0"/>
              <w:spacing w:after="0"/>
              <w:ind w:firstLine="482"/>
              <w:jc w:val="both"/>
              <w:outlineLvl w:val="9"/>
              <w:rPr>
                <w:rFonts w:hint="default" w:ascii="Times New Roman" w:hAnsi="Times New Roman" w:eastAsia="宋体" w:cs="Times New Roman"/>
                <w:b/>
                <w:bCs/>
                <w:color w:val="auto"/>
                <w:kern w:val="0"/>
                <w:sz w:val="24"/>
                <w:szCs w:val="24"/>
                <w:lang w:val="en-US" w:eastAsia="zh-CN"/>
              </w:rPr>
            </w:pPr>
            <w:r>
              <w:rPr>
                <w:rFonts w:hint="default" w:ascii="Times New Roman" w:hAnsi="Times New Roman" w:eastAsia="宋体" w:cs="Times New Roman"/>
                <w:b/>
                <w:bCs/>
                <w:color w:val="auto"/>
                <w:kern w:val="0"/>
                <w:sz w:val="24"/>
                <w:szCs w:val="24"/>
                <w:lang w:val="en-US" w:eastAsia="zh-CN"/>
              </w:rPr>
              <w:t>1.环境风险评价等级</w:t>
            </w:r>
          </w:p>
          <w:p w14:paraId="38951987">
            <w:pPr>
              <w:pStyle w:val="197"/>
              <w:widowControl/>
              <w:topLinePunct/>
              <w:adjustRightInd w:val="0"/>
              <w:snapToGrid w:val="0"/>
              <w:spacing w:after="0"/>
              <w:ind w:firstLine="480"/>
              <w:jc w:val="both"/>
              <w:outlineLvl w:val="9"/>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对照《建设项目环境风险评价技术导则》（HJ169－2018）附录B.1中的突发环境事件风险物质及临界量情况（最大存在总量包含储存量、装置和管道最大在线量之和）以及附录B.2其他危险物质临界量，筛选出本项目危险物质为机油、废机油等。</w:t>
            </w:r>
          </w:p>
          <w:p w14:paraId="7C1F02AB">
            <w:pPr>
              <w:pStyle w:val="197"/>
              <w:widowControl/>
              <w:topLinePunct/>
              <w:adjustRightInd w:val="0"/>
              <w:snapToGrid w:val="0"/>
              <w:spacing w:after="0"/>
              <w:ind w:firstLine="480"/>
              <w:jc w:val="both"/>
              <w:outlineLvl w:val="9"/>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当企业只涉及一种风险物质时，该物质的数量与临界量的比值，即为Q。</w:t>
            </w:r>
          </w:p>
          <w:p w14:paraId="7BBA647C">
            <w:pPr>
              <w:pStyle w:val="197"/>
              <w:widowControl/>
              <w:topLinePunct/>
              <w:adjustRightInd w:val="0"/>
              <w:snapToGrid w:val="0"/>
              <w:spacing w:after="0"/>
              <w:ind w:firstLine="480"/>
              <w:jc w:val="both"/>
              <w:outlineLvl w:val="9"/>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当企业存在多种风险物质时，则按下式计算：</w:t>
            </w:r>
          </w:p>
          <w:p w14:paraId="208F62AA">
            <w:pPr>
              <w:pStyle w:val="197"/>
              <w:widowControl/>
              <w:topLinePunct/>
              <w:adjustRightInd w:val="0"/>
              <w:snapToGrid w:val="0"/>
              <w:ind w:firstLine="480"/>
              <w:outlineLvl w:val="9"/>
              <w:rPr>
                <w:rFonts w:hint="default" w:ascii="Times New Roman" w:hAnsi="Times New Roman" w:eastAsia="宋体" w:cs="Times New Roman"/>
                <w:color w:val="auto"/>
                <w:kern w:val="0"/>
                <w:sz w:val="24"/>
                <w:lang w:val="en-US"/>
              </w:rPr>
            </w:pPr>
            <w:r>
              <w:rPr>
                <w:rFonts w:hint="default" w:ascii="Times New Roman" w:hAnsi="Times New Roman" w:eastAsia="宋体" w:cs="Times New Roman"/>
                <w:color w:val="auto"/>
                <w:kern w:val="0"/>
                <w:sz w:val="24"/>
                <w:lang w:val="en-US"/>
              </w:rPr>
              <w:fldChar w:fldCharType="begin"/>
            </w:r>
            <w:r>
              <w:rPr>
                <w:rFonts w:hint="default" w:ascii="Times New Roman" w:hAnsi="Times New Roman" w:eastAsia="宋体" w:cs="Times New Roman"/>
                <w:color w:val="auto"/>
                <w:kern w:val="0"/>
                <w:sz w:val="24"/>
                <w:lang w:val="en-US"/>
              </w:rPr>
              <w:instrText xml:space="preserve"> INCLUDEPICTURE "C:\\Users\\ThinkPad\\AppData\\Local\\Temp\\ksohtml15032\\wps3.jpg" \* MERGEFORMATINET </w:instrText>
            </w:r>
            <w:r>
              <w:rPr>
                <w:rFonts w:hint="default" w:ascii="Times New Roman" w:hAnsi="Times New Roman" w:eastAsia="宋体" w:cs="Times New Roman"/>
                <w:color w:val="auto"/>
                <w:kern w:val="0"/>
                <w:sz w:val="24"/>
                <w:lang w:val="en-US"/>
              </w:rPr>
              <w:fldChar w:fldCharType="separate"/>
            </w:r>
            <w:r>
              <w:rPr>
                <w:rFonts w:hint="default" w:ascii="Times New Roman" w:hAnsi="Times New Roman" w:eastAsia="宋体" w:cs="Times New Roman"/>
                <w:color w:val="auto"/>
                <w:kern w:val="0"/>
                <w:sz w:val="24"/>
                <w:lang w:val="en-US"/>
              </w:rPr>
              <w:drawing>
                <wp:inline distT="0" distB="0" distL="114300" distR="114300">
                  <wp:extent cx="1837690" cy="438785"/>
                  <wp:effectExtent l="0" t="0" r="10160" b="18415"/>
                  <wp:docPr id="25" name="图片 9" descr="wp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descr="wps3"/>
                          <pic:cNvPicPr>
                            <a:picLocks noChangeAspect="1"/>
                          </pic:cNvPicPr>
                        </pic:nvPicPr>
                        <pic:blipFill>
                          <a:blip r:embed="rId36"/>
                          <a:stretch>
                            <a:fillRect/>
                          </a:stretch>
                        </pic:blipFill>
                        <pic:spPr>
                          <a:xfrm>
                            <a:off x="0" y="0"/>
                            <a:ext cx="1837690" cy="438785"/>
                          </a:xfrm>
                          <a:prstGeom prst="rect">
                            <a:avLst/>
                          </a:prstGeom>
                          <a:noFill/>
                          <a:ln>
                            <a:noFill/>
                          </a:ln>
                        </pic:spPr>
                      </pic:pic>
                    </a:graphicData>
                  </a:graphic>
                </wp:inline>
              </w:drawing>
            </w:r>
            <w:r>
              <w:rPr>
                <w:rFonts w:hint="default" w:ascii="Times New Roman" w:hAnsi="Times New Roman" w:eastAsia="宋体" w:cs="Times New Roman"/>
                <w:color w:val="auto"/>
                <w:kern w:val="0"/>
                <w:sz w:val="24"/>
              </w:rPr>
              <w:fldChar w:fldCharType="end"/>
            </w:r>
          </w:p>
          <w:p w14:paraId="2F56469E">
            <w:pPr>
              <w:pStyle w:val="197"/>
              <w:widowControl/>
              <w:topLinePunct/>
              <w:adjustRightInd w:val="0"/>
              <w:snapToGrid w:val="0"/>
              <w:spacing w:after="0"/>
              <w:ind w:firstLine="480"/>
              <w:jc w:val="both"/>
              <w:outlineLvl w:val="9"/>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式中：q1，q2,…,qn---每种风险物质的存在量，t；</w:t>
            </w:r>
          </w:p>
          <w:p w14:paraId="7BA40A98">
            <w:pPr>
              <w:pStyle w:val="197"/>
              <w:widowControl/>
              <w:topLinePunct/>
              <w:adjustRightInd w:val="0"/>
              <w:snapToGrid w:val="0"/>
              <w:spacing w:after="0"/>
              <w:ind w:firstLine="480"/>
              <w:jc w:val="both"/>
              <w:outlineLvl w:val="9"/>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Q1，Q2,…,Qn---每种风险物质的临界量，t。</w:t>
            </w:r>
          </w:p>
          <w:p w14:paraId="4EE23BC0">
            <w:pPr>
              <w:pStyle w:val="197"/>
              <w:widowControl/>
              <w:topLinePunct/>
              <w:adjustRightInd w:val="0"/>
              <w:snapToGrid w:val="0"/>
              <w:spacing w:after="0"/>
              <w:ind w:firstLine="480"/>
              <w:jc w:val="both"/>
              <w:outlineLvl w:val="9"/>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当Q＜1，该项目环境风险潜势为Ⅰ。</w:t>
            </w:r>
          </w:p>
          <w:p w14:paraId="6F0C5FA7">
            <w:pPr>
              <w:pStyle w:val="188"/>
              <w:adjustRightInd w:val="0"/>
              <w:snapToGrid w:val="0"/>
              <w:jc w:val="both"/>
              <w:rPr>
                <w:rFonts w:hint="default" w:ascii="Times New Roman" w:hAnsi="Times New Roman" w:eastAsia="宋体" w:cs="Times New Roman"/>
                <w:color w:val="auto"/>
              </w:rPr>
            </w:pPr>
            <w:r>
              <w:rPr>
                <w:rFonts w:hint="default" w:ascii="Times New Roman" w:hAnsi="Times New Roman" w:eastAsia="宋体" w:cs="Times New Roman"/>
                <w:color w:val="auto"/>
              </w:rPr>
              <w:t>当Q≥1时，将Q值划分为：（1）1≤Q＜10，（2）10≤Q＜100，（3）Q≥100。</w:t>
            </w:r>
          </w:p>
          <w:p w14:paraId="66C4BE79">
            <w:pPr>
              <w:pStyle w:val="188"/>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表4-</w:t>
            </w:r>
            <w:r>
              <w:rPr>
                <w:rFonts w:hint="eastAsia" w:ascii="Times New Roman" w:hAnsi="Times New Roman" w:eastAsia="宋体" w:cs="Times New Roman"/>
                <w:b/>
                <w:bCs/>
                <w:color w:val="auto"/>
                <w:sz w:val="21"/>
                <w:szCs w:val="21"/>
                <w:lang w:val="en-US" w:eastAsia="zh-CN"/>
              </w:rPr>
              <w:t>20</w:t>
            </w:r>
            <w:r>
              <w:rPr>
                <w:rFonts w:hint="default" w:ascii="Times New Roman" w:hAnsi="Times New Roman" w:eastAsia="宋体" w:cs="Times New Roman"/>
                <w:b/>
                <w:bCs/>
                <w:color w:val="auto"/>
                <w:sz w:val="21"/>
                <w:szCs w:val="21"/>
              </w:rPr>
              <w:t xml:space="preserve">  本项目Q值一览表</w:t>
            </w:r>
          </w:p>
          <w:tbl>
            <w:tblPr>
              <w:tblStyle w:val="34"/>
              <w:tblW w:w="4994"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0" w:type="dxa"/>
                <w:bottom w:w="0" w:type="dxa"/>
                <w:right w:w="0" w:type="dxa"/>
              </w:tblCellMar>
            </w:tblPr>
            <w:tblGrid>
              <w:gridCol w:w="947"/>
              <w:gridCol w:w="1901"/>
              <w:gridCol w:w="2561"/>
              <w:gridCol w:w="1764"/>
              <w:gridCol w:w="1267"/>
            </w:tblGrid>
            <w:tr w14:paraId="347F72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40" w:hRule="atLeast"/>
                <w:jc w:val="center"/>
              </w:trPr>
              <w:tc>
                <w:tcPr>
                  <w:tcW w:w="561" w:type="pct"/>
                  <w:tcBorders>
                    <w:bottom w:val="single" w:color="auto" w:sz="6" w:space="0"/>
                    <w:right w:val="single" w:color="auto" w:sz="6" w:space="0"/>
                  </w:tcBorders>
                  <w:vAlign w:val="center"/>
                </w:tcPr>
                <w:p w14:paraId="3B5CD95A">
                  <w:pPr>
                    <w:pStyle w:val="30"/>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序号</w:t>
                  </w:r>
                </w:p>
              </w:tc>
              <w:tc>
                <w:tcPr>
                  <w:tcW w:w="1126" w:type="pct"/>
                  <w:tcBorders>
                    <w:left w:val="single" w:color="auto" w:sz="6" w:space="0"/>
                    <w:bottom w:val="single" w:color="auto" w:sz="6" w:space="0"/>
                    <w:right w:val="single" w:color="auto" w:sz="6" w:space="0"/>
                  </w:tcBorders>
                  <w:vAlign w:val="center"/>
                </w:tcPr>
                <w:p w14:paraId="52685438">
                  <w:pPr>
                    <w:pStyle w:val="30"/>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物质名称</w:t>
                  </w:r>
                </w:p>
              </w:tc>
              <w:tc>
                <w:tcPr>
                  <w:tcW w:w="1517" w:type="pct"/>
                  <w:tcBorders>
                    <w:left w:val="single" w:color="auto" w:sz="6" w:space="0"/>
                    <w:bottom w:val="single" w:color="auto" w:sz="6" w:space="0"/>
                    <w:right w:val="single" w:color="auto" w:sz="6" w:space="0"/>
                  </w:tcBorders>
                  <w:vAlign w:val="center"/>
                </w:tcPr>
                <w:p w14:paraId="327FDBF5">
                  <w:pPr>
                    <w:pStyle w:val="30"/>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最大存在总量q（t）</w:t>
                  </w:r>
                </w:p>
              </w:tc>
              <w:tc>
                <w:tcPr>
                  <w:tcW w:w="1045" w:type="pct"/>
                  <w:tcBorders>
                    <w:left w:val="single" w:color="auto" w:sz="6" w:space="0"/>
                    <w:bottom w:val="single" w:color="auto" w:sz="6" w:space="0"/>
                    <w:right w:val="single" w:color="auto" w:sz="6" w:space="0"/>
                  </w:tcBorders>
                  <w:vAlign w:val="center"/>
                </w:tcPr>
                <w:p w14:paraId="79759D4F">
                  <w:pPr>
                    <w:pStyle w:val="30"/>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临界量Q</w:t>
                  </w:r>
                </w:p>
              </w:tc>
              <w:tc>
                <w:tcPr>
                  <w:tcW w:w="750" w:type="pct"/>
                  <w:tcBorders>
                    <w:left w:val="single" w:color="auto" w:sz="6" w:space="0"/>
                    <w:bottom w:val="single" w:color="auto" w:sz="6" w:space="0"/>
                  </w:tcBorders>
                  <w:vAlign w:val="center"/>
                </w:tcPr>
                <w:p w14:paraId="26A95CE7">
                  <w:pPr>
                    <w:pStyle w:val="30"/>
                    <w:adjustRightInd w:val="0"/>
                    <w:snapToGrid w:val="0"/>
                    <w:spacing w:before="0" w:beforeAutospacing="0" w:after="0" w:afterAutospacing="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q/Q</w:t>
                  </w:r>
                </w:p>
              </w:tc>
            </w:tr>
            <w:tr w14:paraId="0DD258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40" w:hRule="atLeast"/>
                <w:jc w:val="center"/>
              </w:trPr>
              <w:tc>
                <w:tcPr>
                  <w:tcW w:w="561" w:type="pct"/>
                  <w:tcBorders>
                    <w:top w:val="single" w:color="auto" w:sz="6" w:space="0"/>
                    <w:bottom w:val="single" w:color="auto" w:sz="6" w:space="0"/>
                    <w:right w:val="single" w:color="auto" w:sz="6" w:space="0"/>
                  </w:tcBorders>
                  <w:vAlign w:val="center"/>
                </w:tcPr>
                <w:p w14:paraId="3B65C58B">
                  <w:pPr>
                    <w:pStyle w:val="30"/>
                    <w:adjustRightInd w:val="0"/>
                    <w:snapToGrid w:val="0"/>
                    <w:spacing w:before="0" w:beforeAutospacing="0" w:after="0" w:afterAutospacing="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126" w:type="pct"/>
                  <w:tcBorders>
                    <w:top w:val="single" w:color="auto" w:sz="6" w:space="0"/>
                    <w:left w:val="single" w:color="auto" w:sz="6" w:space="0"/>
                    <w:bottom w:val="single" w:color="auto" w:sz="6" w:space="0"/>
                    <w:right w:val="single" w:color="auto" w:sz="6" w:space="0"/>
                  </w:tcBorders>
                  <w:vAlign w:val="center"/>
                </w:tcPr>
                <w:p w14:paraId="35A92E1F">
                  <w:pPr>
                    <w:adjustRightInd w:val="0"/>
                    <w:snapToGrid w:val="0"/>
                    <w:spacing w:line="240" w:lineRule="auto"/>
                    <w:ind w:firstLine="0" w:firstLineChars="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 w:val="21"/>
                      <w:szCs w:val="18"/>
                    </w:rPr>
                    <w:t>机油</w:t>
                  </w:r>
                </w:p>
              </w:tc>
              <w:tc>
                <w:tcPr>
                  <w:tcW w:w="1517" w:type="pct"/>
                  <w:tcBorders>
                    <w:top w:val="single" w:color="auto" w:sz="6" w:space="0"/>
                    <w:left w:val="single" w:color="auto" w:sz="6" w:space="0"/>
                    <w:bottom w:val="single" w:color="auto" w:sz="6" w:space="0"/>
                    <w:right w:val="single" w:color="auto" w:sz="6" w:space="0"/>
                  </w:tcBorders>
                  <w:vAlign w:val="center"/>
                </w:tcPr>
                <w:p w14:paraId="4665B98F">
                  <w:pPr>
                    <w:pStyle w:val="30"/>
                    <w:adjustRightInd w:val="0"/>
                    <w:snapToGrid w:val="0"/>
                    <w:spacing w:before="0" w:beforeAutospacing="0" w:after="0" w:afterAutospacing="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c>
                <w:tcPr>
                  <w:tcW w:w="1045" w:type="pct"/>
                  <w:tcBorders>
                    <w:top w:val="single" w:color="auto" w:sz="6" w:space="0"/>
                    <w:left w:val="single" w:color="auto" w:sz="6" w:space="0"/>
                    <w:bottom w:val="single" w:color="auto" w:sz="6" w:space="0"/>
                    <w:right w:val="single" w:color="auto" w:sz="6" w:space="0"/>
                  </w:tcBorders>
                  <w:vAlign w:val="center"/>
                </w:tcPr>
                <w:p w14:paraId="377E66BE">
                  <w:pPr>
                    <w:pStyle w:val="30"/>
                    <w:adjustRightInd w:val="0"/>
                    <w:snapToGrid w:val="0"/>
                    <w:spacing w:before="0" w:beforeAutospacing="0" w:after="0" w:afterAutospacing="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2500</w:t>
                  </w:r>
                </w:p>
              </w:tc>
              <w:tc>
                <w:tcPr>
                  <w:tcW w:w="750" w:type="pct"/>
                  <w:tcBorders>
                    <w:top w:val="single" w:color="auto" w:sz="6" w:space="0"/>
                    <w:left w:val="single" w:color="auto" w:sz="6" w:space="0"/>
                    <w:bottom w:val="single" w:color="auto" w:sz="6" w:space="0"/>
                  </w:tcBorders>
                  <w:vAlign w:val="center"/>
                </w:tcPr>
                <w:p w14:paraId="62AE57F4">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kern w:val="0"/>
                      <w:sz w:val="22"/>
                      <w:szCs w:val="22"/>
                      <w:lang w:bidi="ar"/>
                    </w:rPr>
                    <w:t>0.00</w:t>
                  </w:r>
                  <w:r>
                    <w:rPr>
                      <w:rFonts w:hint="default" w:ascii="Times New Roman" w:hAnsi="Times New Roman" w:eastAsia="宋体" w:cs="Times New Roman"/>
                      <w:color w:val="auto"/>
                      <w:kern w:val="0"/>
                      <w:sz w:val="22"/>
                      <w:szCs w:val="22"/>
                      <w:lang w:val="en-US" w:eastAsia="zh-CN" w:bidi="ar"/>
                    </w:rPr>
                    <w:t>002</w:t>
                  </w:r>
                </w:p>
              </w:tc>
            </w:tr>
            <w:tr w14:paraId="2AD02C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40" w:hRule="atLeast"/>
                <w:jc w:val="center"/>
              </w:trPr>
              <w:tc>
                <w:tcPr>
                  <w:tcW w:w="561" w:type="pct"/>
                  <w:tcBorders>
                    <w:top w:val="single" w:color="auto" w:sz="6" w:space="0"/>
                    <w:bottom w:val="single" w:color="auto" w:sz="6" w:space="0"/>
                    <w:right w:val="single" w:color="auto" w:sz="6" w:space="0"/>
                  </w:tcBorders>
                  <w:vAlign w:val="center"/>
                </w:tcPr>
                <w:p w14:paraId="3C6CD4C4">
                  <w:pPr>
                    <w:pStyle w:val="30"/>
                    <w:adjustRightInd w:val="0"/>
                    <w:snapToGrid w:val="0"/>
                    <w:spacing w:before="0" w:beforeAutospacing="0" w:after="0" w:afterAutospacing="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956" w:type="dxa"/>
                  <w:tcBorders>
                    <w:top w:val="single" w:color="auto" w:sz="6" w:space="0"/>
                    <w:left w:val="single" w:color="auto" w:sz="6" w:space="0"/>
                    <w:bottom w:val="single" w:color="auto" w:sz="6" w:space="0"/>
                    <w:right w:val="single" w:color="auto" w:sz="6" w:space="0"/>
                  </w:tcBorders>
                  <w:vAlign w:val="center"/>
                </w:tcPr>
                <w:p w14:paraId="7D1B223B">
                  <w:pPr>
                    <w:adjustRightInd w:val="0"/>
                    <w:snapToGrid w:val="0"/>
                    <w:spacing w:line="240" w:lineRule="auto"/>
                    <w:ind w:firstLine="0" w:firstLineChars="0"/>
                    <w:jc w:val="center"/>
                    <w:rPr>
                      <w:rFonts w:hint="default" w:ascii="Times New Roman" w:hAnsi="Times New Roman" w:eastAsia="宋体" w:cs="Times New Roman"/>
                      <w:color w:val="auto"/>
                      <w:sz w:val="21"/>
                      <w:szCs w:val="18"/>
                    </w:rPr>
                  </w:pPr>
                  <w:r>
                    <w:rPr>
                      <w:rFonts w:hint="default" w:ascii="Times New Roman" w:hAnsi="Times New Roman" w:eastAsia="宋体" w:cs="Times New Roman"/>
                      <w:color w:val="auto"/>
                      <w:sz w:val="21"/>
                      <w:szCs w:val="18"/>
                    </w:rPr>
                    <w:t>废机油</w:t>
                  </w:r>
                </w:p>
              </w:tc>
              <w:tc>
                <w:tcPr>
                  <w:tcW w:w="2635" w:type="dxa"/>
                  <w:tcBorders>
                    <w:top w:val="single" w:color="auto" w:sz="6" w:space="0"/>
                    <w:left w:val="single" w:color="auto" w:sz="6" w:space="0"/>
                    <w:bottom w:val="single" w:color="auto" w:sz="6" w:space="0"/>
                    <w:right w:val="single" w:color="auto" w:sz="6" w:space="0"/>
                  </w:tcBorders>
                  <w:vAlign w:val="center"/>
                </w:tcPr>
                <w:p w14:paraId="02A13DD4">
                  <w:pPr>
                    <w:pStyle w:val="30"/>
                    <w:adjustRightInd w:val="0"/>
                    <w:snapToGrid w:val="0"/>
                    <w:spacing w:before="0" w:beforeAutospacing="0" w:after="0" w:afterAutospacing="0"/>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0.05</w:t>
                  </w:r>
                </w:p>
              </w:tc>
              <w:tc>
                <w:tcPr>
                  <w:tcW w:w="1815" w:type="dxa"/>
                  <w:tcBorders>
                    <w:top w:val="single" w:color="auto" w:sz="6" w:space="0"/>
                    <w:left w:val="single" w:color="auto" w:sz="6" w:space="0"/>
                    <w:bottom w:val="single" w:color="auto" w:sz="6" w:space="0"/>
                    <w:right w:val="single" w:color="auto" w:sz="6" w:space="0"/>
                  </w:tcBorders>
                  <w:vAlign w:val="center"/>
                </w:tcPr>
                <w:p w14:paraId="05949698">
                  <w:pPr>
                    <w:pStyle w:val="30"/>
                    <w:adjustRightInd w:val="0"/>
                    <w:snapToGrid w:val="0"/>
                    <w:spacing w:before="0" w:beforeAutospacing="0" w:after="0" w:afterAutospacing="0"/>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303" w:type="dxa"/>
                  <w:tcBorders>
                    <w:top w:val="single" w:color="auto" w:sz="6" w:space="0"/>
                    <w:left w:val="single" w:color="auto" w:sz="6" w:space="0"/>
                    <w:bottom w:val="single" w:color="auto" w:sz="6" w:space="0"/>
                  </w:tcBorders>
                  <w:vAlign w:val="center"/>
                </w:tcPr>
                <w:p w14:paraId="28B00B74">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kern w:val="0"/>
                      <w:sz w:val="22"/>
                      <w:szCs w:val="22"/>
                      <w:lang w:val="en-US" w:eastAsia="zh-CN" w:bidi="ar"/>
                    </w:rPr>
                  </w:pPr>
                  <w:r>
                    <w:rPr>
                      <w:rFonts w:hint="default" w:ascii="Times New Roman" w:hAnsi="Times New Roman" w:eastAsia="宋体" w:cs="Times New Roman"/>
                      <w:color w:val="auto"/>
                      <w:kern w:val="0"/>
                      <w:sz w:val="22"/>
                      <w:szCs w:val="22"/>
                      <w:lang w:bidi="ar"/>
                    </w:rPr>
                    <w:t>0.00</w:t>
                  </w:r>
                  <w:r>
                    <w:rPr>
                      <w:rFonts w:hint="default" w:ascii="Times New Roman" w:hAnsi="Times New Roman" w:eastAsia="宋体" w:cs="Times New Roman"/>
                      <w:color w:val="auto"/>
                      <w:kern w:val="0"/>
                      <w:sz w:val="22"/>
                      <w:szCs w:val="22"/>
                      <w:lang w:val="en-US" w:eastAsia="zh-CN" w:bidi="ar"/>
                    </w:rPr>
                    <w:t>1</w:t>
                  </w:r>
                </w:p>
              </w:tc>
            </w:tr>
            <w:tr w14:paraId="1201F7C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40" w:hRule="atLeast"/>
                <w:jc w:val="center"/>
              </w:trPr>
              <w:tc>
                <w:tcPr>
                  <w:tcW w:w="4249" w:type="pct"/>
                  <w:gridSpan w:val="4"/>
                  <w:tcBorders>
                    <w:top w:val="single" w:color="auto" w:sz="6" w:space="0"/>
                    <w:right w:val="single" w:color="auto" w:sz="6" w:space="0"/>
                  </w:tcBorders>
                  <w:vAlign w:val="center"/>
                </w:tcPr>
                <w:p w14:paraId="6B050334">
                  <w:pPr>
                    <w:pStyle w:val="30"/>
                    <w:adjustRightInd w:val="0"/>
                    <w:snapToGrid w:val="0"/>
                    <w:spacing w:before="0" w:beforeAutospacing="0" w:after="0" w:afterAutospacing="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合计（Σq/Q）</w:t>
                  </w:r>
                </w:p>
              </w:tc>
              <w:tc>
                <w:tcPr>
                  <w:tcW w:w="750" w:type="pct"/>
                  <w:tcBorders>
                    <w:top w:val="single" w:color="auto" w:sz="6" w:space="0"/>
                    <w:left w:val="single" w:color="auto" w:sz="6" w:space="0"/>
                  </w:tcBorders>
                  <w:vAlign w:val="center"/>
                </w:tcPr>
                <w:p w14:paraId="36AE808C">
                  <w:pPr>
                    <w:widowControl/>
                    <w:adjustRightInd w:val="0"/>
                    <w:snapToGrid w:val="0"/>
                    <w:spacing w:line="240" w:lineRule="auto"/>
                    <w:ind w:firstLine="0" w:firstLineChars="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kern w:val="0"/>
                      <w:sz w:val="22"/>
                      <w:szCs w:val="22"/>
                      <w:lang w:bidi="ar"/>
                    </w:rPr>
                    <w:t>0.</w:t>
                  </w:r>
                  <w:r>
                    <w:rPr>
                      <w:rFonts w:hint="default" w:ascii="Times New Roman" w:hAnsi="Times New Roman" w:eastAsia="宋体" w:cs="Times New Roman"/>
                      <w:color w:val="auto"/>
                      <w:kern w:val="0"/>
                      <w:sz w:val="22"/>
                      <w:szCs w:val="22"/>
                      <w:lang w:val="en-US" w:eastAsia="zh-CN" w:bidi="ar"/>
                    </w:rPr>
                    <w:t>00102</w:t>
                  </w:r>
                </w:p>
              </w:tc>
            </w:tr>
          </w:tbl>
          <w:p w14:paraId="747CEADF">
            <w:pPr>
              <w:pStyle w:val="188"/>
              <w:adjustRightInd w:val="0"/>
              <w:snapToGrid w:val="0"/>
              <w:rPr>
                <w:rFonts w:hint="default" w:ascii="Times New Roman" w:hAnsi="Times New Roman" w:eastAsia="宋体" w:cs="Times New Roman"/>
                <w:color w:val="auto"/>
              </w:rPr>
            </w:pPr>
            <w:r>
              <w:rPr>
                <w:rFonts w:hint="default" w:ascii="Times New Roman" w:hAnsi="Times New Roman" w:eastAsia="宋体" w:cs="Times New Roman"/>
                <w:color w:val="auto"/>
              </w:rPr>
              <w:t>综上可知，本项目Q=0.</w:t>
            </w:r>
            <w:r>
              <w:rPr>
                <w:rFonts w:hint="default" w:ascii="Times New Roman" w:hAnsi="Times New Roman" w:eastAsia="宋体" w:cs="Times New Roman"/>
                <w:color w:val="auto"/>
                <w:lang w:val="en-US" w:eastAsia="zh-CN"/>
              </w:rPr>
              <w:t>00102</w:t>
            </w:r>
            <w:r>
              <w:rPr>
                <w:rFonts w:hint="default" w:ascii="Times New Roman" w:hAnsi="Times New Roman" w:eastAsia="宋体" w:cs="Times New Roman"/>
                <w:color w:val="auto"/>
              </w:rPr>
              <w:t>＜1，因此项目的环境风险潜势为I，根据《建设项目环境风险评价技术导则》（HJ169-2018），可开展简单分析。</w:t>
            </w:r>
          </w:p>
          <w:p w14:paraId="1C366E76">
            <w:pPr>
              <w:pStyle w:val="197"/>
              <w:widowControl/>
              <w:wordWrap w:val="0"/>
              <w:topLinePunct/>
              <w:adjustRightInd w:val="0"/>
              <w:snapToGrid w:val="0"/>
              <w:spacing w:after="0"/>
              <w:ind w:firstLine="482"/>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bCs/>
                <w:color w:val="auto"/>
                <w:kern w:val="0"/>
                <w:sz w:val="24"/>
                <w:szCs w:val="24"/>
                <w:highlight w:val="none"/>
                <w:lang w:val="en-US" w:eastAsia="zh-CN"/>
              </w:rPr>
              <w:t>2.</w:t>
            </w:r>
            <w:r>
              <w:rPr>
                <w:rFonts w:hint="default" w:ascii="Times New Roman" w:hAnsi="Times New Roman" w:eastAsia="宋体" w:cs="Times New Roman"/>
                <w:b/>
                <w:bCs/>
                <w:color w:val="auto"/>
                <w:kern w:val="0"/>
                <w:sz w:val="24"/>
                <w:szCs w:val="24"/>
                <w:highlight w:val="none"/>
              </w:rPr>
              <w:t>环境风险识别</w:t>
            </w:r>
          </w:p>
          <w:p w14:paraId="2F7FE642">
            <w:pPr>
              <w:adjustRightInd w:val="0"/>
              <w:snapToGrid w:val="0"/>
              <w:ind w:firstLine="480"/>
              <w:rPr>
                <w:rFonts w:hint="default" w:ascii="Times New Roman" w:hAnsi="Times New Roman" w:eastAsia="宋体" w:cs="Times New Roman"/>
                <w:bCs/>
                <w:color w:val="auto"/>
                <w:kern w:val="0"/>
                <w:highlight w:val="none"/>
              </w:rPr>
            </w:pPr>
            <w:r>
              <w:rPr>
                <w:rFonts w:hint="default" w:ascii="Times New Roman" w:hAnsi="Times New Roman" w:eastAsia="宋体" w:cs="Times New Roman"/>
                <w:color w:val="auto"/>
                <w:kern w:val="0"/>
                <w:highlight w:val="none"/>
              </w:rPr>
              <w:t>本项目环境风险源识别分布及环境影响途径见下表所示。</w:t>
            </w:r>
          </w:p>
          <w:p w14:paraId="193D282E">
            <w:pPr>
              <w:pStyle w:val="198"/>
              <w:widowControl/>
              <w:wordWrap w:val="0"/>
              <w:topLinePunct/>
              <w:adjustRightInd w:val="0"/>
              <w:snapToGrid w:val="0"/>
              <w:spacing w:line="240" w:lineRule="auto"/>
              <w:ind w:firstLine="482"/>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表</w:t>
            </w:r>
            <w:r>
              <w:rPr>
                <w:rFonts w:hint="default" w:ascii="Times New Roman" w:hAnsi="Times New Roman" w:eastAsia="宋体" w:cs="Times New Roman"/>
                <w:b/>
                <w:bCs/>
                <w:color w:val="auto"/>
                <w:kern w:val="0"/>
                <w:sz w:val="21"/>
                <w:szCs w:val="21"/>
                <w:highlight w:val="none"/>
                <w:lang w:val="en-US" w:eastAsia="zh-CN"/>
              </w:rPr>
              <w:t>4-2</w:t>
            </w:r>
            <w:r>
              <w:rPr>
                <w:rFonts w:hint="eastAsia" w:ascii="Times New Roman" w:hAnsi="Times New Roman" w:eastAsia="宋体" w:cs="Times New Roman"/>
                <w:b/>
                <w:bCs/>
                <w:color w:val="auto"/>
                <w:kern w:val="0"/>
                <w:sz w:val="21"/>
                <w:szCs w:val="21"/>
                <w:highlight w:val="none"/>
                <w:lang w:val="en-US" w:eastAsia="zh-CN"/>
              </w:rPr>
              <w:t>1</w:t>
            </w:r>
            <w:r>
              <w:rPr>
                <w:rFonts w:hint="default" w:ascii="Times New Roman" w:hAnsi="Times New Roman" w:eastAsia="宋体" w:cs="Times New Roman"/>
                <w:b/>
                <w:bCs/>
                <w:color w:val="auto"/>
                <w:kern w:val="0"/>
                <w:sz w:val="21"/>
                <w:szCs w:val="21"/>
                <w:highlight w:val="none"/>
                <w:lang w:val="en-US" w:eastAsia="zh-CN"/>
              </w:rPr>
              <w:t xml:space="preserve">  </w:t>
            </w:r>
            <w:r>
              <w:rPr>
                <w:rFonts w:hint="default" w:ascii="Times New Roman" w:hAnsi="Times New Roman" w:eastAsia="宋体" w:cs="Times New Roman"/>
                <w:b/>
                <w:bCs/>
                <w:color w:val="auto"/>
                <w:kern w:val="0"/>
                <w:sz w:val="21"/>
                <w:szCs w:val="21"/>
                <w:highlight w:val="none"/>
              </w:rPr>
              <w:t>本项目环境风险源分布及影响途径一览表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 w:type="dxa"/>
                <w:bottom w:w="0" w:type="dxa"/>
                <w:right w:w="10" w:type="dxa"/>
              </w:tblCellMar>
            </w:tblPr>
            <w:tblGrid>
              <w:gridCol w:w="725"/>
              <w:gridCol w:w="601"/>
              <w:gridCol w:w="1544"/>
              <w:gridCol w:w="2353"/>
              <w:gridCol w:w="1304"/>
              <w:gridCol w:w="1923"/>
            </w:tblGrid>
            <w:tr w14:paraId="697456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 w:type="dxa"/>
                  <w:bottom w:w="0" w:type="dxa"/>
                  <w:right w:w="10" w:type="dxa"/>
                </w:tblCellMar>
              </w:tblPrEx>
              <w:trPr>
                <w:jc w:val="center"/>
              </w:trPr>
              <w:tc>
                <w:tcPr>
                  <w:tcW w:w="744" w:type="dxa"/>
                  <w:vAlign w:val="center"/>
                </w:tcPr>
                <w:p w14:paraId="46CF0FD8">
                  <w:pPr>
                    <w:pStyle w:val="199"/>
                    <w:widowControl/>
                    <w:wordWrap w:val="0"/>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危险单元</w:t>
                  </w:r>
                </w:p>
              </w:tc>
              <w:tc>
                <w:tcPr>
                  <w:tcW w:w="615" w:type="dxa"/>
                  <w:vAlign w:val="center"/>
                </w:tcPr>
                <w:p w14:paraId="05167201">
                  <w:pPr>
                    <w:pStyle w:val="199"/>
                    <w:widowControl/>
                    <w:wordWrap w:val="0"/>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风险源</w:t>
                  </w:r>
                </w:p>
              </w:tc>
              <w:tc>
                <w:tcPr>
                  <w:tcW w:w="1594" w:type="dxa"/>
                  <w:vAlign w:val="center"/>
                </w:tcPr>
                <w:p w14:paraId="587AF930">
                  <w:pPr>
                    <w:pStyle w:val="199"/>
                    <w:widowControl/>
                    <w:wordWrap w:val="0"/>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主要风险物质</w:t>
                  </w:r>
                </w:p>
              </w:tc>
              <w:tc>
                <w:tcPr>
                  <w:tcW w:w="2426" w:type="dxa"/>
                  <w:vAlign w:val="center"/>
                </w:tcPr>
                <w:p w14:paraId="7B160EB3">
                  <w:pPr>
                    <w:pStyle w:val="199"/>
                    <w:widowControl/>
                    <w:wordWrap w:val="0"/>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环境风险类型</w:t>
                  </w:r>
                </w:p>
              </w:tc>
              <w:tc>
                <w:tcPr>
                  <w:tcW w:w="1337" w:type="dxa"/>
                  <w:vAlign w:val="center"/>
                </w:tcPr>
                <w:p w14:paraId="635A0F22">
                  <w:pPr>
                    <w:pStyle w:val="199"/>
                    <w:widowControl/>
                    <w:wordWrap w:val="0"/>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环境影响途径</w:t>
                  </w:r>
                </w:p>
              </w:tc>
              <w:tc>
                <w:tcPr>
                  <w:tcW w:w="1978" w:type="dxa"/>
                  <w:vAlign w:val="center"/>
                </w:tcPr>
                <w:p w14:paraId="67C60D8B">
                  <w:pPr>
                    <w:pStyle w:val="199"/>
                    <w:widowControl/>
                    <w:wordWrap w:val="0"/>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可能受影响环境敏感目标</w:t>
                  </w:r>
                </w:p>
              </w:tc>
            </w:tr>
            <w:tr w14:paraId="19B5AB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 w:type="dxa"/>
                  <w:bottom w:w="0" w:type="dxa"/>
                  <w:right w:w="10" w:type="dxa"/>
                </w:tblCellMar>
              </w:tblPrEx>
              <w:trPr>
                <w:trHeight w:val="450" w:hRule="atLeast"/>
                <w:jc w:val="center"/>
              </w:trPr>
              <w:tc>
                <w:tcPr>
                  <w:tcW w:w="744" w:type="dxa"/>
                  <w:vAlign w:val="center"/>
                </w:tcPr>
                <w:p w14:paraId="60DE6D9E">
                  <w:pPr>
                    <w:wordWrap w:val="0"/>
                    <w:topLinePunct/>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危废库</w:t>
                  </w:r>
                  <w:r>
                    <w:rPr>
                      <w:rFonts w:hint="default" w:ascii="Times New Roman" w:hAnsi="Times New Roman" w:eastAsia="宋体" w:cs="Times New Roman"/>
                      <w:color w:val="auto"/>
                      <w:kern w:val="0"/>
                      <w:sz w:val="21"/>
                      <w:szCs w:val="21"/>
                      <w:highlight w:val="none"/>
                      <w:lang w:val="en-US" w:eastAsia="zh-CN"/>
                    </w:rPr>
                    <w:t>/仓库</w:t>
                  </w:r>
                </w:p>
              </w:tc>
              <w:tc>
                <w:tcPr>
                  <w:tcW w:w="615" w:type="dxa"/>
                  <w:vAlign w:val="center"/>
                </w:tcPr>
                <w:p w14:paraId="683898D2">
                  <w:pPr>
                    <w:pStyle w:val="199"/>
                    <w:widowControl/>
                    <w:wordWrap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危废/辅料</w:t>
                  </w:r>
                </w:p>
              </w:tc>
              <w:tc>
                <w:tcPr>
                  <w:tcW w:w="1594" w:type="dxa"/>
                  <w:vAlign w:val="center"/>
                </w:tcPr>
                <w:p w14:paraId="2DB0B3BF">
                  <w:pPr>
                    <w:pStyle w:val="199"/>
                    <w:widowControl/>
                    <w:wordWrap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机油/废机油</w:t>
                  </w:r>
                </w:p>
              </w:tc>
              <w:tc>
                <w:tcPr>
                  <w:tcW w:w="2426" w:type="dxa"/>
                  <w:vAlign w:val="center"/>
                </w:tcPr>
                <w:p w14:paraId="47B43C50">
                  <w:pPr>
                    <w:pStyle w:val="199"/>
                    <w:widowControl/>
                    <w:wordWrap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bookmarkStart w:id="79" w:name="OLE_LINK348"/>
                  <w:r>
                    <w:rPr>
                      <w:rFonts w:hint="default" w:ascii="Times New Roman" w:hAnsi="Times New Roman" w:eastAsia="宋体" w:cs="Times New Roman"/>
                      <w:color w:val="auto"/>
                      <w:kern w:val="0"/>
                      <w:sz w:val="21"/>
                      <w:szCs w:val="21"/>
                      <w:highlight w:val="none"/>
                      <w:lang w:val="en-US" w:eastAsia="zh-CN"/>
                    </w:rPr>
                    <w:t>泄漏</w:t>
                  </w:r>
                  <w:bookmarkEnd w:id="79"/>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sz w:val="21"/>
                      <w:szCs w:val="21"/>
                      <w:highlight w:val="none"/>
                    </w:rPr>
                    <w:t>火灾引起的伴生/</w:t>
                  </w:r>
                  <w:r>
                    <w:rPr>
                      <w:rFonts w:hint="default" w:ascii="Times New Roman" w:hAnsi="Times New Roman" w:eastAsia="宋体" w:cs="Times New Roman"/>
                      <w:color w:val="auto"/>
                      <w:sz w:val="21"/>
                      <w:szCs w:val="21"/>
                      <w:highlight w:val="none"/>
                      <w:lang w:val="en-US" w:eastAsia="zh-CN"/>
                    </w:rPr>
                    <w:t>次生</w:t>
                  </w:r>
                  <w:r>
                    <w:rPr>
                      <w:rFonts w:hint="default" w:ascii="Times New Roman" w:hAnsi="Times New Roman" w:eastAsia="宋体" w:cs="Times New Roman"/>
                      <w:color w:val="auto"/>
                      <w:sz w:val="21"/>
                      <w:szCs w:val="21"/>
                      <w:highlight w:val="none"/>
                    </w:rPr>
                    <w:t>污染物排放</w:t>
                  </w:r>
                </w:p>
              </w:tc>
              <w:tc>
                <w:tcPr>
                  <w:tcW w:w="1337" w:type="dxa"/>
                  <w:vAlign w:val="center"/>
                </w:tcPr>
                <w:p w14:paraId="62D8F43E">
                  <w:pPr>
                    <w:pStyle w:val="199"/>
                    <w:widowControl/>
                    <w:wordWrap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垂直入渗、大气扩散</w:t>
                  </w:r>
                </w:p>
              </w:tc>
              <w:tc>
                <w:tcPr>
                  <w:tcW w:w="1978" w:type="dxa"/>
                  <w:vAlign w:val="center"/>
                </w:tcPr>
                <w:p w14:paraId="27DB4BED">
                  <w:pPr>
                    <w:pStyle w:val="199"/>
                    <w:widowControl/>
                    <w:wordWrap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rPr>
                    <w:t>周边土壤、地下水、大气</w:t>
                  </w:r>
                </w:p>
              </w:tc>
            </w:tr>
          </w:tbl>
          <w:p w14:paraId="240E7937">
            <w:pPr>
              <w:pStyle w:val="184"/>
              <w:adjustRightInd w:val="0"/>
              <w:snapToGrid w:val="0"/>
              <w:ind w:firstLine="482"/>
              <w:rPr>
                <w:rFonts w:hint="default" w:ascii="Times New Roman" w:hAnsi="Times New Roman" w:eastAsia="宋体" w:cs="Times New Roman"/>
                <w:b/>
                <w:color w:val="auto"/>
                <w:szCs w:val="24"/>
                <w:highlight w:val="none"/>
              </w:rPr>
            </w:pPr>
            <w:r>
              <w:rPr>
                <w:rFonts w:hint="default" w:ascii="Times New Roman" w:hAnsi="Times New Roman" w:eastAsia="宋体" w:cs="Times New Roman"/>
                <w:b/>
                <w:color w:val="auto"/>
                <w:szCs w:val="24"/>
                <w:highlight w:val="none"/>
                <w:lang w:val="en-US" w:eastAsia="zh-CN"/>
              </w:rPr>
              <w:t>3</w:t>
            </w:r>
            <w:r>
              <w:rPr>
                <w:rFonts w:hint="default" w:ascii="Times New Roman" w:hAnsi="Times New Roman" w:eastAsia="宋体" w:cs="Times New Roman"/>
                <w:b/>
                <w:color w:val="auto"/>
                <w:szCs w:val="24"/>
                <w:highlight w:val="none"/>
              </w:rPr>
              <w:t>.环境风险分析</w:t>
            </w:r>
          </w:p>
          <w:p w14:paraId="583D7B87">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拟建项目的风险事故主要为：机油、废机油储存过程中，如桶等破损，引发物料泄漏，污染周边土壤、地表水和大气环境；机油和废机油等</w:t>
            </w:r>
            <w:r>
              <w:rPr>
                <w:rFonts w:hint="default" w:ascii="Times New Roman" w:hAnsi="Times New Roman" w:eastAsia="宋体" w:cs="Times New Roman"/>
                <w:color w:val="auto"/>
                <w:szCs w:val="22"/>
                <w:lang w:eastAsia="zh-CN"/>
              </w:rPr>
              <w:t>泄漏</w:t>
            </w:r>
            <w:r>
              <w:rPr>
                <w:rFonts w:hint="default" w:ascii="Times New Roman" w:hAnsi="Times New Roman" w:eastAsia="宋体" w:cs="Times New Roman"/>
                <w:color w:val="auto"/>
                <w:szCs w:val="22"/>
              </w:rPr>
              <w:t>遇明火引起火灾，可能造成风险事故。</w:t>
            </w:r>
          </w:p>
          <w:p w14:paraId="5415D821">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（1）大气环境风险分析</w:t>
            </w:r>
          </w:p>
          <w:p w14:paraId="7454A264">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项目主要危险有害因素为火灾因素，机油</w:t>
            </w:r>
            <w:r>
              <w:rPr>
                <w:rFonts w:hint="default" w:ascii="Times New Roman" w:hAnsi="Times New Roman" w:eastAsia="宋体" w:cs="Times New Roman"/>
                <w:color w:val="auto"/>
                <w:szCs w:val="22"/>
                <w:lang w:val="en-US" w:eastAsia="zh-CN"/>
              </w:rPr>
              <w:t>/废机油</w:t>
            </w:r>
            <w:r>
              <w:rPr>
                <w:rFonts w:hint="default" w:ascii="Times New Roman" w:hAnsi="Times New Roman" w:eastAsia="宋体" w:cs="Times New Roman"/>
                <w:color w:val="auto"/>
                <w:szCs w:val="22"/>
              </w:rPr>
              <w:t>等物质遇明火燃烧，发生火灾时产生的烟尘、CO等</w:t>
            </w:r>
            <w:r>
              <w:rPr>
                <w:rFonts w:hint="default" w:ascii="Times New Roman" w:hAnsi="Times New Roman" w:eastAsia="宋体" w:cs="Times New Roman"/>
                <w:color w:val="auto"/>
                <w:szCs w:val="22"/>
                <w:lang w:val="en-US" w:eastAsia="zh-CN"/>
              </w:rPr>
              <w:t>次生</w:t>
            </w:r>
            <w:r>
              <w:rPr>
                <w:rFonts w:hint="default" w:ascii="Times New Roman" w:hAnsi="Times New Roman" w:eastAsia="宋体" w:cs="Times New Roman"/>
                <w:color w:val="auto"/>
                <w:szCs w:val="22"/>
              </w:rPr>
              <w:t>污染物对大气环境的污染影响。</w:t>
            </w:r>
          </w:p>
          <w:p w14:paraId="22242438">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（2）泄漏环境风险分析</w:t>
            </w:r>
          </w:p>
          <w:p w14:paraId="1A5A71A3">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机油、废机油的物料</w:t>
            </w:r>
            <w:r>
              <w:rPr>
                <w:rFonts w:hint="default" w:ascii="Times New Roman" w:hAnsi="Times New Roman" w:eastAsia="宋体" w:cs="Times New Roman"/>
                <w:color w:val="auto"/>
                <w:szCs w:val="22"/>
                <w:lang w:eastAsia="zh-CN"/>
              </w:rPr>
              <w:t>泄漏</w:t>
            </w:r>
            <w:r>
              <w:rPr>
                <w:rFonts w:hint="default" w:ascii="Times New Roman" w:hAnsi="Times New Roman" w:eastAsia="宋体" w:cs="Times New Roman"/>
                <w:color w:val="auto"/>
                <w:szCs w:val="22"/>
              </w:rPr>
              <w:t>外溢到厂外，污染周边土壤和地下水环境或者通过雨水管道排入周边水体污染地表水环境。</w:t>
            </w:r>
          </w:p>
          <w:p w14:paraId="5B3E2787">
            <w:pPr>
              <w:pStyle w:val="198"/>
              <w:widowControl/>
              <w:wordWrap w:val="0"/>
              <w:topLinePunct/>
              <w:adjustRightInd w:val="0"/>
              <w:snapToGrid w:val="0"/>
              <w:spacing w:line="360" w:lineRule="auto"/>
              <w:ind w:firstLine="482"/>
              <w:rPr>
                <w:rFonts w:hint="default" w:ascii="Times New Roman" w:hAnsi="Times New Roman" w:eastAsia="宋体" w:cs="Times New Roman"/>
                <w:b/>
                <w:bCs/>
                <w:color w:val="auto"/>
                <w:kern w:val="0"/>
                <w:lang w:val="en-US" w:eastAsia="zh-CN"/>
              </w:rPr>
            </w:pPr>
            <w:r>
              <w:rPr>
                <w:rFonts w:hint="default" w:ascii="Times New Roman" w:hAnsi="Times New Roman" w:eastAsia="宋体" w:cs="Times New Roman"/>
                <w:b/>
                <w:bCs/>
                <w:color w:val="auto"/>
                <w:kern w:val="0"/>
                <w:lang w:val="en-US" w:eastAsia="zh-CN"/>
              </w:rPr>
              <w:t>4.环境风险防范措施</w:t>
            </w:r>
          </w:p>
          <w:p w14:paraId="69A72335">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（1）机构设置</w:t>
            </w:r>
          </w:p>
          <w:p w14:paraId="48A401BB">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建设单位应组建厂区的安全环保管理相关人员，通过技能培训，承担本项目建设运行后的环保安全工作。根据公司管理要求，结合当前的环境管理要求和应城市当地的具体情况，制定公司的各项安全生产管理制度、严格的生产操作规程和完善的事故应急计划及相应的应急处理手段和设施，同时加强安全教育，以增强职工的安全意识和安全防范能力。</w:t>
            </w:r>
          </w:p>
          <w:p w14:paraId="15FDA493">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（2）大气环境风险防范</w:t>
            </w:r>
          </w:p>
          <w:p w14:paraId="2BB135D5">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1）原辅料的储存、使用安全防范措施</w:t>
            </w:r>
          </w:p>
          <w:p w14:paraId="32762CFA">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机油储存于阴凉、通风处，库温不应超过35℃；储存区存放处设置明显的标志；严格控制储存量；对各类火种、火源和有散发火花危险的机械设备、作业活动以及可燃物品严格控制和管理；实行安全检查制度，各类安全设施、消防器材，进行各种日常的、定期的、专业的防火安全检查，并将发现的问题定人、限期落实整改；制定各种操作规范，加强监督管理，严格看管检查制度，避免事故的发生。</w:t>
            </w:r>
          </w:p>
          <w:p w14:paraId="11973C97">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rPr>
              <w:t>项目原料工业固体废物原料仓库（</w:t>
            </w:r>
            <w:r>
              <w:rPr>
                <w:rFonts w:hint="default" w:ascii="Times New Roman" w:hAnsi="Times New Roman" w:eastAsia="宋体" w:cs="Times New Roman"/>
                <w:color w:val="auto"/>
                <w:lang w:val="en-US" w:eastAsia="zh-CN"/>
              </w:rPr>
              <w:t>原料</w:t>
            </w:r>
            <w:r>
              <w:rPr>
                <w:rFonts w:hint="default" w:ascii="Times New Roman" w:hAnsi="Times New Roman" w:eastAsia="宋体" w:cs="Times New Roman"/>
                <w:color w:val="auto"/>
              </w:rPr>
              <w:t>库、骨料库</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lang w:val="en-US" w:eastAsia="zh-CN"/>
              </w:rPr>
              <w:t>一般固废库</w:t>
            </w:r>
            <w:r>
              <w:rPr>
                <w:rFonts w:hint="default" w:ascii="Times New Roman" w:hAnsi="Times New Roman" w:eastAsia="宋体" w:cs="Times New Roman"/>
                <w:color w:val="auto"/>
              </w:rPr>
              <w:t>）贮存场设置防渗系统。贮存场的设置应符合《一般工业固体废物贮存和填埋污染控制标准》（GB18599-2020）。同时要求运输过程采用密闭运输，减少物料的遗撒。</w:t>
            </w:r>
          </w:p>
          <w:p w14:paraId="67C49C00">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2）安全消防防范措施</w:t>
            </w:r>
          </w:p>
          <w:p w14:paraId="19B53D00">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完善厂区及各车间消防设施，在各建筑物内、各生产车间配置适量手提式灭火器，用于扑灭初期火灾及小型火灾；加强废气处理设施的维护，及时发现处理设备的隐患；确保废气处理系统正常运行；开、停、检修要有预案，有严密周全的计划，尽量避免事故排放，或使影响最小；项目应综合考虑生产、使用、运输、储存等系统事故隐患，确定风险源，制定安全制度，培训人员，持证上岗，配备应急设施器材。</w:t>
            </w:r>
          </w:p>
          <w:p w14:paraId="1D7BA7FE">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3）火灾事故应急措施</w:t>
            </w:r>
          </w:p>
          <w:p w14:paraId="459ED555">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szCs w:val="22"/>
              </w:rPr>
              <w:t>本项目原料不涉及易燃液体和气体，均为不燃物，但项目使用的机油属于可燃物，在遇到明火时还是会有发生火灾的可能性，厂区无其他可燃物，发生火灾时不会快速蔓延，属于小型火灾。工作人员发现后立刻采用灭火器进行扑灭，把损失控制在最低限度。</w:t>
            </w:r>
          </w:p>
          <w:p w14:paraId="67302E34">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当火灾发生后，先控制，后消灭。针对火灾的火势发展趋势和燃烧面积，积极采取统一指挥、以快制快；堵截火势、防止蔓延；重点突破、排除险情；分割包围、速战速决的灭火战术。扑救人员占领上风或侧风阵地。进行火情侦察、火灾扑救、火场疏散人员有针对性地采取自我防护措施。如佩戴防护面具，穿戴专用防护服等。迅速查明燃烧范围、燃烧物品及其周围物品的品名和主要危险特性、火势蔓延的主要途径，燃烧物及燃烧产物是否有毒，正确选择最合适的灭火剂和灭火方法。火势较大时，先堵截火势蔓延，控制燃烧范围，然后逐步扑灭火势。</w:t>
            </w:r>
          </w:p>
          <w:p w14:paraId="3797D744">
            <w:pPr>
              <w:numPr>
                <w:ilvl w:val="0"/>
                <w:numId w:val="0"/>
              </w:numPr>
              <w:adjustRightInd w:val="0"/>
              <w:snapToGrid w:val="0"/>
              <w:ind w:leftChars="200"/>
              <w:rPr>
                <w:rFonts w:hint="default" w:ascii="Times New Roman" w:hAnsi="Times New Roman" w:eastAsia="宋体" w:cs="Times New Roman"/>
                <w:b w:val="0"/>
                <w:bCs w:val="0"/>
                <w:color w:val="auto"/>
                <w:kern w:val="0"/>
              </w:rPr>
            </w:pPr>
            <w:r>
              <w:rPr>
                <w:rFonts w:hint="default" w:ascii="Times New Roman" w:hAnsi="Times New Roman" w:eastAsia="宋体" w:cs="Times New Roman"/>
                <w:b w:val="0"/>
                <w:bCs w:val="0"/>
                <w:color w:val="auto"/>
                <w:kern w:val="0"/>
                <w:lang w:eastAsia="zh-CN"/>
              </w:rPr>
              <w:t>（</w:t>
            </w:r>
            <w:r>
              <w:rPr>
                <w:rFonts w:hint="default" w:ascii="Times New Roman" w:hAnsi="Times New Roman" w:eastAsia="宋体" w:cs="Times New Roman"/>
                <w:b w:val="0"/>
                <w:bCs w:val="0"/>
                <w:color w:val="auto"/>
                <w:kern w:val="0"/>
                <w:lang w:val="en-US" w:eastAsia="zh-CN"/>
              </w:rPr>
              <w:t>3</w:t>
            </w:r>
            <w:r>
              <w:rPr>
                <w:rFonts w:hint="default" w:ascii="Times New Roman" w:hAnsi="Times New Roman" w:eastAsia="宋体" w:cs="Times New Roman"/>
                <w:b w:val="0"/>
                <w:bCs w:val="0"/>
                <w:color w:val="auto"/>
                <w:kern w:val="0"/>
                <w:lang w:eastAsia="zh-CN"/>
              </w:rPr>
              <w:t>）</w:t>
            </w:r>
            <w:r>
              <w:rPr>
                <w:rFonts w:hint="default" w:ascii="Times New Roman" w:hAnsi="Times New Roman" w:eastAsia="宋体" w:cs="Times New Roman"/>
                <w:b w:val="0"/>
                <w:bCs w:val="0"/>
                <w:color w:val="auto"/>
                <w:kern w:val="0"/>
              </w:rPr>
              <w:t>地下水、土壤环境风险防范</w:t>
            </w:r>
          </w:p>
          <w:p w14:paraId="4E3B9257">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按照</w:t>
            </w:r>
            <w:r>
              <w:rPr>
                <w:rFonts w:hint="default" w:ascii="Times New Roman" w:hAnsi="Times New Roman" w:eastAsia="宋体" w:cs="Times New Roman"/>
                <w:color w:val="auto"/>
                <w:szCs w:val="22"/>
              </w:rPr>
              <w:t>《危险废物贮存污染控制标准》（GB18597-2023）</w:t>
            </w:r>
            <w:r>
              <w:rPr>
                <w:rFonts w:hint="default" w:ascii="Times New Roman" w:hAnsi="Times New Roman" w:eastAsia="宋体" w:cs="Times New Roman"/>
                <w:color w:val="auto"/>
                <w:kern w:val="0"/>
              </w:rPr>
              <w:t>和《环境影响评价技术导则地下水环境》（HJ610-2016）的要求做好分区防控，一般情况下应以水平防渗为主，对难以采取水平防渗的场地，可采用垂直防渗为主，局部水平防渗为辅的防控措施。</w:t>
            </w:r>
          </w:p>
          <w:p w14:paraId="041325D5">
            <w:pPr>
              <w:adjustRightInd w:val="0"/>
              <w:snapToGrid w:val="0"/>
              <w:ind w:firstLine="480"/>
              <w:rPr>
                <w:rFonts w:hint="default" w:ascii="Times New Roman" w:hAnsi="Times New Roman" w:eastAsia="宋体" w:cs="Times New Roman"/>
                <w:b/>
                <w:bCs/>
                <w:color w:val="auto"/>
                <w:kern w:val="0"/>
              </w:rPr>
            </w:pPr>
            <w:r>
              <w:rPr>
                <w:rFonts w:hint="default" w:ascii="Times New Roman" w:hAnsi="Times New Roman" w:eastAsia="宋体" w:cs="Times New Roman"/>
                <w:color w:val="auto"/>
                <w:kern w:val="0"/>
              </w:rPr>
              <w:t>加强环境管理。加强厂区巡检，对跑冒滴漏做到及时发现、及时控制；做好厂区危废库区地面防渗等的管理，防渗层破裂后及时补救、更换。</w:t>
            </w:r>
          </w:p>
          <w:p w14:paraId="5D6C323A">
            <w:pPr>
              <w:adjustRightInd w:val="0"/>
              <w:snapToGrid w:val="0"/>
              <w:ind w:firstLine="482"/>
              <w:rPr>
                <w:rFonts w:hint="default" w:ascii="Times New Roman" w:hAnsi="Times New Roman" w:eastAsia="宋体" w:cs="Times New Roman"/>
                <w:b w:val="0"/>
                <w:bCs w:val="0"/>
                <w:color w:val="auto"/>
                <w:kern w:val="0"/>
              </w:rPr>
            </w:pPr>
            <w:r>
              <w:rPr>
                <w:rFonts w:hint="default" w:ascii="Times New Roman" w:hAnsi="Times New Roman" w:eastAsia="宋体" w:cs="Times New Roman"/>
                <w:b w:val="0"/>
                <w:bCs w:val="0"/>
                <w:color w:val="auto"/>
                <w:kern w:val="0"/>
              </w:rPr>
              <w:t>（</w:t>
            </w:r>
            <w:r>
              <w:rPr>
                <w:rFonts w:hint="default" w:ascii="Times New Roman" w:hAnsi="Times New Roman" w:eastAsia="宋体" w:cs="Times New Roman"/>
                <w:b w:val="0"/>
                <w:bCs w:val="0"/>
                <w:color w:val="auto"/>
                <w:kern w:val="0"/>
                <w:lang w:val="en-US" w:eastAsia="zh-CN"/>
              </w:rPr>
              <w:t>4</w:t>
            </w:r>
            <w:r>
              <w:rPr>
                <w:rFonts w:hint="default" w:ascii="Times New Roman" w:hAnsi="Times New Roman" w:eastAsia="宋体" w:cs="Times New Roman"/>
                <w:b w:val="0"/>
                <w:bCs w:val="0"/>
                <w:color w:val="auto"/>
                <w:kern w:val="0"/>
              </w:rPr>
              <w:t>）地表水环境风险防范措施</w:t>
            </w:r>
          </w:p>
          <w:p w14:paraId="2DC7813C">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当危废库发生物料和危废泄漏时，可采取吸附棉、吸油毡等材料进行吸附，以防泄</w:t>
            </w:r>
            <w:r>
              <w:rPr>
                <w:rFonts w:hint="default" w:ascii="Times New Roman" w:hAnsi="Times New Roman" w:eastAsia="宋体" w:cs="Times New Roman"/>
                <w:color w:val="auto"/>
                <w:szCs w:val="22"/>
                <w:lang w:val="en-US" w:eastAsia="zh-CN"/>
              </w:rPr>
              <w:t>漏</w:t>
            </w:r>
            <w:r>
              <w:rPr>
                <w:rFonts w:hint="default" w:ascii="Times New Roman" w:hAnsi="Times New Roman" w:eastAsia="宋体" w:cs="Times New Roman"/>
                <w:color w:val="auto"/>
                <w:szCs w:val="22"/>
              </w:rPr>
              <w:t>至厂区外。</w:t>
            </w:r>
          </w:p>
          <w:p w14:paraId="2B07F92D">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厂区发生火灾事故时，因厂区可燃物只有机油废机油，工作人员采取灭火器进行灭火，无消防废水产生，无废水流出厂外污染地表水环境。</w:t>
            </w:r>
          </w:p>
          <w:p w14:paraId="4C8FC863">
            <w:pPr>
              <w:adjustRightInd w:val="0"/>
              <w:snapToGrid w:val="0"/>
              <w:ind w:firstLine="482"/>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lang w:val="en-US" w:eastAsia="zh-CN"/>
              </w:rPr>
              <w:t>5</w:t>
            </w:r>
            <w:r>
              <w:rPr>
                <w:rFonts w:hint="default" w:ascii="Times New Roman" w:hAnsi="Times New Roman" w:eastAsia="宋体" w:cs="Times New Roman"/>
                <w:b/>
                <w:bCs/>
                <w:color w:val="auto"/>
                <w:kern w:val="0"/>
              </w:rPr>
              <w:t>.突发环境事件应急预案</w:t>
            </w:r>
          </w:p>
          <w:p w14:paraId="6A0C62FF">
            <w:pPr>
              <w:adjustRightInd w:val="0"/>
              <w:snapToGrid w:val="0"/>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为了在发生突发环境事件时，能够及时、有序、高效地实施抢险救援工作，最大限度地减少人员伤亡和财产损失，尽快恢复正常工作秩序，建设单位应按照《企业事业单位突发环境事件应急预案备案管理办法（试行）》（环发〔2015〕4号）、《安徽省突发环境事件应急预案编制导则》（试行本，企业事业单位版）等文件的要求完善全厂突发环境事件应急预案，并进行备案，并定期进行培训演练。</w:t>
            </w:r>
          </w:p>
          <w:p w14:paraId="46BCAB8D">
            <w:pPr>
              <w:adjustRightInd w:val="0"/>
              <w:snapToGrid w:val="0"/>
              <w:ind w:firstLine="482"/>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lang w:val="en-US" w:eastAsia="zh-CN"/>
              </w:rPr>
              <w:t>6</w:t>
            </w:r>
            <w:r>
              <w:rPr>
                <w:rFonts w:hint="default" w:ascii="Times New Roman" w:hAnsi="Times New Roman" w:eastAsia="宋体" w:cs="Times New Roman"/>
                <w:b/>
                <w:bCs/>
                <w:color w:val="auto"/>
                <w:kern w:val="0"/>
              </w:rPr>
              <w:t>.结论</w:t>
            </w:r>
          </w:p>
          <w:p w14:paraId="5D00BDFB">
            <w:pPr>
              <w:ind w:firstLine="480"/>
              <w:rPr>
                <w:rFonts w:hint="default" w:ascii="Times New Roman" w:hAnsi="Times New Roman" w:eastAsia="宋体" w:cs="Times New Roman"/>
                <w:color w:val="auto"/>
                <w:szCs w:val="22"/>
              </w:rPr>
            </w:pPr>
            <w:r>
              <w:rPr>
                <w:rFonts w:hint="default" w:ascii="Times New Roman" w:hAnsi="Times New Roman" w:eastAsia="宋体" w:cs="Times New Roman"/>
                <w:color w:val="auto"/>
                <w:szCs w:val="22"/>
              </w:rPr>
              <w:t>本项目未涉及重大危险源，主要项目涉及的主要危险物质为</w:t>
            </w:r>
            <w:r>
              <w:rPr>
                <w:rFonts w:hint="default" w:ascii="Times New Roman" w:hAnsi="Times New Roman" w:eastAsia="宋体" w:cs="Times New Roman"/>
                <w:color w:val="auto"/>
                <w:szCs w:val="22"/>
                <w:lang w:val="en-US" w:eastAsia="zh-CN"/>
              </w:rPr>
              <w:t>机油/</w:t>
            </w:r>
            <w:r>
              <w:rPr>
                <w:rFonts w:hint="default" w:ascii="Times New Roman" w:hAnsi="Times New Roman" w:eastAsia="宋体" w:cs="Times New Roman"/>
                <w:color w:val="auto"/>
                <w:szCs w:val="22"/>
              </w:rPr>
              <w:t>废机油。企业需强化环境风险防范和应急措施，建立严格的环境与安全管理体制，制定完善环保规章制度，并按照《企业事业单位突发环境事件应急预案备案管理办法（试行）》（环发[2015]4号）等文件的要求，做好环境应急预案的编制、评估和备案等工作，并定期演练。此外，企业今后需要进一步加强管理和监控，将环境风险控制在可接受水平之内。项目在发生风险事故后能立即启动厂区事故应急预案，确保事故不扩大，将不会对建设地区环境造成较大危险。本次环境风险评价认为，项目存在一定风险，但项目的风险处于环境可接受的水平，项目的风险防范措施可行。</w:t>
            </w:r>
          </w:p>
          <w:p w14:paraId="3071DAA5">
            <w:pPr>
              <w:adjustRightInd w:val="0"/>
              <w:snapToGrid w:val="0"/>
              <w:spacing w:line="240" w:lineRule="auto"/>
              <w:ind w:firstLine="482"/>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表4-</w:t>
            </w:r>
            <w:r>
              <w:rPr>
                <w:rFonts w:hint="default" w:ascii="Times New Roman" w:hAnsi="Times New Roman" w:eastAsia="宋体" w:cs="Times New Roman"/>
                <w:b/>
                <w:bCs/>
                <w:color w:val="auto"/>
                <w:sz w:val="21"/>
                <w:szCs w:val="21"/>
                <w:lang w:val="en-US" w:eastAsia="zh-CN"/>
              </w:rPr>
              <w:t>2</w:t>
            </w:r>
            <w:r>
              <w:rPr>
                <w:rFonts w:hint="eastAsia" w:ascii="Times New Roman" w:hAnsi="Times New Roman" w:eastAsia="宋体" w:cs="Times New Roman"/>
                <w:b/>
                <w:bCs/>
                <w:color w:val="auto"/>
                <w:sz w:val="21"/>
                <w:szCs w:val="21"/>
                <w:lang w:val="en-US" w:eastAsia="zh-CN"/>
              </w:rPr>
              <w:t>2</w:t>
            </w:r>
            <w:r>
              <w:rPr>
                <w:rFonts w:hint="default" w:ascii="Times New Roman" w:hAnsi="Times New Roman" w:eastAsia="宋体" w:cs="Times New Roman"/>
                <w:b/>
                <w:bCs/>
                <w:color w:val="auto"/>
                <w:sz w:val="21"/>
                <w:szCs w:val="21"/>
              </w:rPr>
              <w:t xml:space="preserve"> 建设项目环境风险分析内容表</w:t>
            </w:r>
          </w:p>
          <w:tbl>
            <w:tblPr>
              <w:tblStyle w:val="34"/>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6"/>
              <w:gridCol w:w="3534"/>
              <w:gridCol w:w="3000"/>
            </w:tblGrid>
            <w:tr w14:paraId="6B1C1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pct"/>
                  <w:vAlign w:val="center"/>
                </w:tcPr>
                <w:p w14:paraId="23BBFD94">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建设项目名称</w:t>
                  </w:r>
                </w:p>
              </w:tc>
              <w:tc>
                <w:tcPr>
                  <w:tcW w:w="3865" w:type="pct"/>
                  <w:gridSpan w:val="2"/>
                  <w:vAlign w:val="center"/>
                </w:tcPr>
                <w:p w14:paraId="3F6BC5D6">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东至县建筑垃圾综合处置项目</w:t>
                  </w:r>
                </w:p>
              </w:tc>
            </w:tr>
            <w:tr w14:paraId="7056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pct"/>
                  <w:vAlign w:val="center"/>
                </w:tcPr>
                <w:p w14:paraId="62A98F41">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建设地点</w:t>
                  </w:r>
                </w:p>
              </w:tc>
              <w:tc>
                <w:tcPr>
                  <w:tcW w:w="3865" w:type="pct"/>
                  <w:gridSpan w:val="2"/>
                  <w:vAlign w:val="center"/>
                </w:tcPr>
                <w:p w14:paraId="6DFF38BF">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池州市东至县尧渡</w:t>
                  </w:r>
                  <w:r>
                    <w:rPr>
                      <w:rFonts w:hint="default" w:ascii="Times New Roman" w:hAnsi="Times New Roman" w:eastAsia="宋体" w:cs="Times New Roman"/>
                      <w:lang w:val="en-US" w:eastAsia="zh-CN"/>
                    </w:rPr>
                    <w:t>建东村</w:t>
                  </w:r>
                </w:p>
              </w:tc>
            </w:tr>
            <w:tr w14:paraId="2846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pct"/>
                  <w:vAlign w:val="center"/>
                </w:tcPr>
                <w:p w14:paraId="55BCF302">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地理坐标</w:t>
                  </w:r>
                </w:p>
              </w:tc>
              <w:tc>
                <w:tcPr>
                  <w:tcW w:w="2091" w:type="pct"/>
                  <w:vAlign w:val="center"/>
                </w:tcPr>
                <w:p w14:paraId="448310FD">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经度：</w:t>
                  </w:r>
                  <w:r>
                    <w:rPr>
                      <w:rFonts w:hint="default" w:ascii="Times New Roman" w:hAnsi="Times New Roman" w:eastAsia="宋体" w:cs="Times New Roman"/>
                      <w:color w:val="auto"/>
                      <w:sz w:val="21"/>
                      <w:szCs w:val="21"/>
                      <w:lang w:val="en-US" w:eastAsia="zh-CN"/>
                    </w:rPr>
                    <w:t>11</w:t>
                  </w:r>
                  <w:r>
                    <w:rPr>
                      <w:rFonts w:hint="default" w:ascii="Times New Roman" w:hAnsi="Times New Roman" w:eastAsia="宋体" w:cs="Times New Roman"/>
                      <w:color w:val="auto"/>
                      <w:sz w:val="21"/>
                      <w:szCs w:val="21"/>
                    </w:rPr>
                    <w:t>6度</w:t>
                  </w:r>
                  <w:r>
                    <w:rPr>
                      <w:rFonts w:hint="default" w:ascii="Times New Roman" w:hAnsi="Times New Roman" w:eastAsia="宋体" w:cs="Times New Roman"/>
                      <w:color w:val="auto"/>
                      <w:sz w:val="21"/>
                      <w:szCs w:val="21"/>
                      <w:lang w:val="en-US" w:eastAsia="zh-CN"/>
                    </w:rPr>
                    <w:t>59</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val="en-US" w:eastAsia="zh-CN"/>
                    </w:rPr>
                    <w:t>14.409</w:t>
                  </w:r>
                  <w:r>
                    <w:rPr>
                      <w:rFonts w:hint="default" w:ascii="Times New Roman" w:hAnsi="Times New Roman" w:eastAsia="宋体" w:cs="Times New Roman"/>
                      <w:color w:val="auto"/>
                      <w:sz w:val="21"/>
                      <w:szCs w:val="21"/>
                    </w:rPr>
                    <w:t>秒</w:t>
                  </w:r>
                </w:p>
              </w:tc>
              <w:tc>
                <w:tcPr>
                  <w:tcW w:w="1774" w:type="pct"/>
                  <w:vAlign w:val="center"/>
                </w:tcPr>
                <w:p w14:paraId="6884E17E">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纬度：30度</w:t>
                  </w:r>
                  <w:r>
                    <w:rPr>
                      <w:rFonts w:hint="default"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val="en-US" w:eastAsia="zh-CN"/>
                    </w:rPr>
                    <w:t>16.872</w:t>
                  </w:r>
                  <w:r>
                    <w:rPr>
                      <w:rFonts w:hint="default" w:ascii="Times New Roman" w:hAnsi="Times New Roman" w:eastAsia="宋体" w:cs="Times New Roman"/>
                      <w:color w:val="auto"/>
                      <w:sz w:val="21"/>
                      <w:szCs w:val="21"/>
                    </w:rPr>
                    <w:t>秒</w:t>
                  </w:r>
                </w:p>
              </w:tc>
            </w:tr>
            <w:tr w14:paraId="39EC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pct"/>
                  <w:vAlign w:val="center"/>
                </w:tcPr>
                <w:p w14:paraId="213BB714">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主要危险物质及分布</w:t>
                  </w:r>
                </w:p>
              </w:tc>
              <w:tc>
                <w:tcPr>
                  <w:tcW w:w="3865" w:type="pct"/>
                  <w:gridSpan w:val="2"/>
                  <w:vAlign w:val="center"/>
                </w:tcPr>
                <w:p w14:paraId="3D09EF54">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机油</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废机油</w:t>
                  </w:r>
                  <w:r>
                    <w:rPr>
                      <w:rFonts w:hint="default" w:ascii="Times New Roman" w:hAnsi="Times New Roman" w:eastAsia="宋体" w:cs="Times New Roman"/>
                      <w:color w:val="auto"/>
                      <w:sz w:val="21"/>
                      <w:szCs w:val="21"/>
                    </w:rPr>
                    <w:t>，分布区域：</w:t>
                  </w:r>
                  <w:r>
                    <w:rPr>
                      <w:rFonts w:hint="default" w:ascii="Times New Roman" w:hAnsi="Times New Roman" w:eastAsia="宋体" w:cs="Times New Roman"/>
                      <w:color w:val="auto"/>
                      <w:sz w:val="21"/>
                      <w:szCs w:val="21"/>
                      <w:lang w:val="en-US" w:eastAsia="zh-CN"/>
                    </w:rPr>
                    <w:t>仓库/</w:t>
                  </w:r>
                  <w:r>
                    <w:rPr>
                      <w:rFonts w:hint="default" w:ascii="Times New Roman" w:hAnsi="Times New Roman" w:eastAsia="宋体" w:cs="Times New Roman"/>
                      <w:color w:val="auto"/>
                      <w:sz w:val="21"/>
                      <w:szCs w:val="21"/>
                    </w:rPr>
                    <w:t>危废库</w:t>
                  </w:r>
                </w:p>
              </w:tc>
            </w:tr>
            <w:tr w14:paraId="2FC51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pct"/>
                  <w:vAlign w:val="center"/>
                </w:tcPr>
                <w:p w14:paraId="046ED5B6">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环境影响途径及危害后果（大气、地表水、地下水等）</w:t>
                  </w:r>
                </w:p>
              </w:tc>
              <w:tc>
                <w:tcPr>
                  <w:tcW w:w="3865" w:type="pct"/>
                  <w:gridSpan w:val="2"/>
                  <w:vAlign w:val="center"/>
                </w:tcPr>
                <w:p w14:paraId="4096B220">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（1）物质泄漏</w:t>
                  </w:r>
                </w:p>
                <w:p w14:paraId="0377640A">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当出现泄漏时，物质扩散至环境，将对环境造成危害。</w:t>
                  </w:r>
                </w:p>
                <w:p w14:paraId="6B2C8B94">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（2）火灾</w:t>
                  </w:r>
                </w:p>
                <w:p w14:paraId="43285450">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基于对主要危险性装置重点部位及薄弱环节的分析、火灾指数分析及类比调查分析结果，生产装置潜在危害是泄漏及火灾。</w:t>
                  </w:r>
                </w:p>
              </w:tc>
            </w:tr>
            <w:tr w14:paraId="6D91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pct"/>
                  <w:vAlign w:val="center"/>
                </w:tcPr>
                <w:p w14:paraId="348E6D5C">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风险防范措施要求</w:t>
                  </w:r>
                </w:p>
              </w:tc>
              <w:tc>
                <w:tcPr>
                  <w:tcW w:w="3865" w:type="pct"/>
                  <w:gridSpan w:val="2"/>
                  <w:vAlign w:val="center"/>
                </w:tcPr>
                <w:p w14:paraId="09AE2686">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详见“（六）运营期环境风险影响分析-3章节”</w:t>
                  </w:r>
                </w:p>
              </w:tc>
            </w:tr>
            <w:tr w14:paraId="30FF7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3"/>
                  <w:vAlign w:val="center"/>
                </w:tcPr>
                <w:p w14:paraId="5FAD4B91">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填表说明：</w:t>
                  </w:r>
                  <w:bookmarkStart w:id="80" w:name="OLE_LINK349"/>
                  <w:r>
                    <w:rPr>
                      <w:rFonts w:hint="default" w:ascii="Times New Roman" w:hAnsi="Times New Roman" w:eastAsia="宋体" w:cs="Times New Roman"/>
                      <w:color w:val="auto"/>
                      <w:sz w:val="21"/>
                      <w:szCs w:val="21"/>
                    </w:rPr>
                    <w:t>（1）根据风险导则，本项目不存在重大风险源；（2）本项目的事故风险在相应设备齐全及相应防范措施落实到位的情况下，环境风险是可以接受的；（3）建设单位应加强对各项风险防范措施的定期检查。综上所述，在落实环境风险防范措施的基础上环境风险是可以接受的。</w:t>
                  </w:r>
                  <w:bookmarkEnd w:id="80"/>
                </w:p>
              </w:tc>
            </w:tr>
          </w:tbl>
          <w:p w14:paraId="3E119C20">
            <w:pPr>
              <w:tabs>
                <w:tab w:val="left" w:pos="1500"/>
              </w:tabs>
              <w:ind w:firstLine="482"/>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rPr>
              <w:t>（七）环保投资</w:t>
            </w:r>
          </w:p>
          <w:p w14:paraId="69F86655">
            <w:pPr>
              <w:tabs>
                <w:tab w:val="left" w:pos="1500"/>
              </w:tabs>
              <w:ind w:firstLine="480"/>
              <w:rPr>
                <w:rFonts w:hint="default" w:ascii="Times New Roman" w:hAnsi="Times New Roman" w:eastAsia="宋体" w:cs="Times New Roman"/>
                <w:color w:val="auto"/>
                <w:kern w:val="0"/>
              </w:rPr>
            </w:pPr>
            <w:r>
              <w:rPr>
                <w:rFonts w:hint="default" w:ascii="Times New Roman" w:hAnsi="Times New Roman" w:eastAsia="宋体" w:cs="Times New Roman"/>
                <w:color w:val="auto"/>
                <w:kern w:val="0"/>
              </w:rPr>
              <w:t>本项目总投资</w:t>
            </w:r>
            <w:r>
              <w:rPr>
                <w:rFonts w:hint="default" w:ascii="Times New Roman" w:hAnsi="Times New Roman" w:eastAsia="宋体" w:cs="Times New Roman"/>
                <w:color w:val="auto"/>
                <w:kern w:val="0"/>
                <w:lang w:eastAsia="zh-CN"/>
              </w:rPr>
              <w:t>11086.2</w:t>
            </w:r>
            <w:r>
              <w:rPr>
                <w:rFonts w:hint="default" w:ascii="Times New Roman" w:hAnsi="Times New Roman" w:eastAsia="宋体" w:cs="Times New Roman"/>
                <w:color w:val="auto"/>
                <w:kern w:val="0"/>
              </w:rPr>
              <w:t>万元，其中环保投资</w:t>
            </w:r>
            <w:r>
              <w:rPr>
                <w:rFonts w:hint="default" w:ascii="Times New Roman" w:hAnsi="Times New Roman" w:eastAsia="宋体" w:cs="Times New Roman"/>
                <w:color w:val="auto"/>
                <w:kern w:val="0"/>
                <w:lang w:val="en-US" w:eastAsia="zh-CN"/>
              </w:rPr>
              <w:t>155</w:t>
            </w:r>
            <w:r>
              <w:rPr>
                <w:rFonts w:hint="default" w:ascii="Times New Roman" w:hAnsi="Times New Roman" w:eastAsia="宋体" w:cs="Times New Roman"/>
                <w:color w:val="auto"/>
                <w:kern w:val="0"/>
              </w:rPr>
              <w:t>万元，占总投资的</w:t>
            </w:r>
            <w:r>
              <w:rPr>
                <w:rFonts w:hint="default" w:ascii="Times New Roman" w:hAnsi="Times New Roman" w:eastAsia="宋体" w:cs="Times New Roman"/>
                <w:color w:val="auto"/>
                <w:kern w:val="0"/>
                <w:lang w:val="en-US" w:eastAsia="zh-CN"/>
              </w:rPr>
              <w:t>1.40</w:t>
            </w:r>
            <w:r>
              <w:rPr>
                <w:rFonts w:hint="default" w:ascii="Times New Roman" w:hAnsi="Times New Roman" w:eastAsia="宋体" w:cs="Times New Roman"/>
                <w:color w:val="auto"/>
                <w:kern w:val="0"/>
              </w:rPr>
              <w:t>%，项目环保投资见表4-</w:t>
            </w:r>
            <w:r>
              <w:rPr>
                <w:rFonts w:hint="default" w:ascii="Times New Roman" w:hAnsi="Times New Roman" w:eastAsia="宋体" w:cs="Times New Roman"/>
                <w:color w:val="auto"/>
                <w:kern w:val="0"/>
                <w:lang w:val="en-US" w:eastAsia="zh-CN"/>
              </w:rPr>
              <w:t>2</w:t>
            </w:r>
            <w:r>
              <w:rPr>
                <w:rFonts w:hint="eastAsia" w:ascii="Times New Roman" w:hAnsi="Times New Roman" w:eastAsia="宋体" w:cs="Times New Roman"/>
                <w:color w:val="auto"/>
                <w:kern w:val="0"/>
                <w:lang w:val="en-US" w:eastAsia="zh-CN"/>
              </w:rPr>
              <w:t>3</w:t>
            </w:r>
            <w:r>
              <w:rPr>
                <w:rFonts w:hint="default" w:ascii="Times New Roman" w:hAnsi="Times New Roman" w:eastAsia="宋体" w:cs="Times New Roman"/>
                <w:color w:val="auto"/>
                <w:kern w:val="0"/>
              </w:rPr>
              <w:t>。</w:t>
            </w:r>
          </w:p>
          <w:p w14:paraId="76862387">
            <w:pPr>
              <w:tabs>
                <w:tab w:val="left" w:pos="1500"/>
              </w:tabs>
              <w:spacing w:line="240" w:lineRule="auto"/>
              <w:ind w:firstLine="482"/>
              <w:jc w:val="center"/>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sz w:val="21"/>
                <w:szCs w:val="21"/>
              </w:rPr>
              <w:t>表4-</w:t>
            </w:r>
            <w:r>
              <w:rPr>
                <w:rFonts w:hint="default" w:ascii="Times New Roman" w:hAnsi="Times New Roman" w:eastAsia="宋体" w:cs="Times New Roman"/>
                <w:b/>
                <w:bCs/>
                <w:color w:val="auto"/>
                <w:kern w:val="0"/>
                <w:sz w:val="21"/>
                <w:szCs w:val="21"/>
                <w:lang w:val="en-US" w:eastAsia="zh-CN"/>
              </w:rPr>
              <w:t>2</w:t>
            </w:r>
            <w:r>
              <w:rPr>
                <w:rFonts w:hint="eastAsia" w:ascii="Times New Roman" w:hAnsi="Times New Roman" w:eastAsia="宋体" w:cs="Times New Roman"/>
                <w:b/>
                <w:bCs/>
                <w:color w:val="auto"/>
                <w:kern w:val="0"/>
                <w:sz w:val="21"/>
                <w:szCs w:val="21"/>
                <w:lang w:val="en-US" w:eastAsia="zh-CN"/>
              </w:rPr>
              <w:t>3</w:t>
            </w:r>
            <w:r>
              <w:rPr>
                <w:rFonts w:hint="default" w:ascii="Times New Roman" w:hAnsi="Times New Roman" w:eastAsia="宋体" w:cs="Times New Roman"/>
                <w:b/>
                <w:bCs/>
                <w:color w:val="auto"/>
                <w:kern w:val="0"/>
                <w:sz w:val="21"/>
                <w:szCs w:val="21"/>
              </w:rPr>
              <w:t xml:space="preserve">  项目环保投资一览表（万元）</w:t>
            </w:r>
          </w:p>
          <w:tbl>
            <w:tblPr>
              <w:tblStyle w:val="34"/>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286"/>
              <w:gridCol w:w="1222"/>
              <w:gridCol w:w="1685"/>
              <w:gridCol w:w="2601"/>
              <w:gridCol w:w="723"/>
            </w:tblGrid>
            <w:tr w14:paraId="3247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Align w:val="center"/>
                </w:tcPr>
                <w:p w14:paraId="47247D1C">
                  <w:pPr>
                    <w:tabs>
                      <w:tab w:val="left" w:pos="1500"/>
                    </w:tabs>
                    <w:adjustRightInd w:val="0"/>
                    <w:snapToGrid w:val="0"/>
                    <w:spacing w:line="240" w:lineRule="auto"/>
                    <w:ind w:firstLine="0" w:firstLineChars="0"/>
                    <w:jc w:val="center"/>
                    <w:rPr>
                      <w:rFonts w:hint="default" w:ascii="Times New Roman" w:hAnsi="Times New Roman" w:eastAsia="宋体" w:cs="Times New Roman"/>
                      <w:b/>
                      <w:bCs/>
                      <w:color w:val="auto"/>
                      <w:kern w:val="0"/>
                      <w:sz w:val="21"/>
                      <w:szCs w:val="21"/>
                    </w:rPr>
                  </w:pPr>
                  <w:r>
                    <w:rPr>
                      <w:rFonts w:hint="default" w:ascii="Times New Roman" w:hAnsi="Times New Roman" w:eastAsia="宋体" w:cs="Times New Roman"/>
                      <w:b/>
                      <w:bCs/>
                      <w:color w:val="auto"/>
                      <w:kern w:val="0"/>
                      <w:sz w:val="21"/>
                      <w:szCs w:val="21"/>
                    </w:rPr>
                    <w:t>类别</w:t>
                  </w:r>
                </w:p>
              </w:tc>
              <w:tc>
                <w:tcPr>
                  <w:tcW w:w="761" w:type="pct"/>
                  <w:vAlign w:val="center"/>
                </w:tcPr>
                <w:p w14:paraId="78264E2A">
                  <w:pPr>
                    <w:pStyle w:val="21"/>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污染源</w:t>
                  </w:r>
                </w:p>
              </w:tc>
              <w:tc>
                <w:tcPr>
                  <w:tcW w:w="723" w:type="pct"/>
                  <w:vAlign w:val="center"/>
                </w:tcPr>
                <w:p w14:paraId="6402B1ED">
                  <w:pPr>
                    <w:pStyle w:val="21"/>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污染因子</w:t>
                  </w:r>
                </w:p>
              </w:tc>
              <w:tc>
                <w:tcPr>
                  <w:tcW w:w="997" w:type="pct"/>
                  <w:vAlign w:val="center"/>
                </w:tcPr>
                <w:p w14:paraId="2DC361F2">
                  <w:pPr>
                    <w:pStyle w:val="21"/>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防治措施</w:t>
                  </w:r>
                </w:p>
              </w:tc>
              <w:tc>
                <w:tcPr>
                  <w:tcW w:w="1539" w:type="pct"/>
                  <w:vAlign w:val="center"/>
                </w:tcPr>
                <w:p w14:paraId="1FC8BF32">
                  <w:pPr>
                    <w:pStyle w:val="129"/>
                    <w:adjustRightInd w:val="0"/>
                    <w:snapToGrid w:val="0"/>
                    <w:spacing w:line="240" w:lineRule="auto"/>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rPr>
                    <w:t>预期效果</w:t>
                  </w:r>
                </w:p>
              </w:tc>
              <w:tc>
                <w:tcPr>
                  <w:tcW w:w="428" w:type="pct"/>
                  <w:vAlign w:val="center"/>
                </w:tcPr>
                <w:p w14:paraId="2D9652D9">
                  <w:pPr>
                    <w:pStyle w:val="129"/>
                    <w:adjustRightInd w:val="0"/>
                    <w:snapToGrid w:val="0"/>
                    <w:spacing w:line="240" w:lineRule="auto"/>
                    <w:rPr>
                      <w:rFonts w:hint="default" w:ascii="Times New Roman" w:hAnsi="Times New Roman" w:eastAsia="宋体" w:cs="Times New Roman"/>
                      <w:b/>
                      <w:bCs/>
                      <w:color w:val="auto"/>
                      <w:kern w:val="0"/>
                    </w:rPr>
                  </w:pPr>
                  <w:r>
                    <w:rPr>
                      <w:rFonts w:hint="default" w:ascii="Times New Roman" w:hAnsi="Times New Roman" w:eastAsia="宋体" w:cs="Times New Roman"/>
                      <w:b/>
                      <w:bCs/>
                      <w:color w:val="auto"/>
                      <w:kern w:val="0"/>
                    </w:rPr>
                    <w:t>环保投资</w:t>
                  </w:r>
                </w:p>
              </w:tc>
            </w:tr>
            <w:tr w14:paraId="411E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restart"/>
                  <w:vAlign w:val="center"/>
                </w:tcPr>
                <w:p w14:paraId="549FD8B3">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废气</w:t>
                  </w:r>
                </w:p>
              </w:tc>
              <w:tc>
                <w:tcPr>
                  <w:tcW w:w="761" w:type="pct"/>
                  <w:vAlign w:val="center"/>
                </w:tcPr>
                <w:p w14:paraId="21805AC1">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骨料生产线给料、</w:t>
                  </w:r>
                  <w:r>
                    <w:rPr>
                      <w:rFonts w:hint="default" w:ascii="Times New Roman" w:hAnsi="Times New Roman" w:eastAsia="宋体" w:cs="Times New Roman"/>
                      <w:color w:val="auto"/>
                      <w:kern w:val="0"/>
                      <w:sz w:val="21"/>
                      <w:szCs w:val="21"/>
                    </w:rPr>
                    <w:t>破碎筛分废气（DA001）</w:t>
                  </w:r>
                </w:p>
              </w:tc>
              <w:tc>
                <w:tcPr>
                  <w:tcW w:w="723" w:type="pct"/>
                  <w:vAlign w:val="center"/>
                </w:tcPr>
                <w:p w14:paraId="168FB38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997" w:type="pct"/>
                  <w:vAlign w:val="center"/>
                </w:tcPr>
                <w:p w14:paraId="13466C25">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布袋除尘器+15m高排气筒</w:t>
                  </w:r>
                </w:p>
              </w:tc>
              <w:tc>
                <w:tcPr>
                  <w:tcW w:w="1539" w:type="pct"/>
                  <w:vAlign w:val="center"/>
                </w:tcPr>
                <w:p w14:paraId="6C42C651">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大气污染物综合排放标准</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(GB16297-1996)</w:t>
                  </w:r>
                </w:p>
              </w:tc>
              <w:tc>
                <w:tcPr>
                  <w:tcW w:w="428" w:type="pct"/>
                  <w:vAlign w:val="center"/>
                </w:tcPr>
                <w:p w14:paraId="2F881399">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w:t>
                  </w:r>
                </w:p>
              </w:tc>
            </w:tr>
            <w:tr w14:paraId="61E5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5FB3904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425DEC0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水稳</w:t>
                  </w:r>
                  <w:r>
                    <w:rPr>
                      <w:rFonts w:hint="default" w:ascii="Times New Roman" w:hAnsi="Times New Roman" w:eastAsia="宋体" w:cs="Times New Roman"/>
                      <w:color w:val="auto"/>
                      <w:kern w:val="0"/>
                      <w:sz w:val="21"/>
                      <w:szCs w:val="21"/>
                      <w:lang w:val="en-US" w:eastAsia="zh-CN"/>
                    </w:rPr>
                    <w:t>生产线</w:t>
                  </w:r>
                  <w:r>
                    <w:rPr>
                      <w:rFonts w:hint="default" w:ascii="Times New Roman" w:hAnsi="Times New Roman" w:eastAsia="宋体" w:cs="Times New Roman"/>
                      <w:color w:val="auto"/>
                      <w:kern w:val="0"/>
                      <w:sz w:val="21"/>
                      <w:szCs w:val="21"/>
                    </w:rPr>
                    <w:t>料投料搅拌废气（DA002）</w:t>
                  </w:r>
                </w:p>
              </w:tc>
              <w:tc>
                <w:tcPr>
                  <w:tcW w:w="723" w:type="pct"/>
                  <w:vAlign w:val="center"/>
                </w:tcPr>
                <w:p w14:paraId="23216A0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997" w:type="pct"/>
                  <w:vAlign w:val="center"/>
                </w:tcPr>
                <w:p w14:paraId="130DFC1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布袋除尘+15m高排气筒</w:t>
                  </w:r>
                </w:p>
              </w:tc>
              <w:tc>
                <w:tcPr>
                  <w:tcW w:w="1539" w:type="pct"/>
                  <w:vAlign w:val="center"/>
                </w:tcPr>
                <w:p w14:paraId="06B66C76">
                  <w:pPr>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《水泥工业大气污染物排放标准》（DB34/3576-2020）</w:t>
                  </w:r>
                </w:p>
              </w:tc>
              <w:tc>
                <w:tcPr>
                  <w:tcW w:w="428" w:type="pct"/>
                  <w:vAlign w:val="center"/>
                </w:tcPr>
                <w:p w14:paraId="04DC4777">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w:t>
                  </w:r>
                </w:p>
              </w:tc>
            </w:tr>
            <w:tr w14:paraId="7CCAB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13D8C2B0">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7237376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RDF燃料线撕碎、成型</w:t>
                  </w:r>
                  <w:r>
                    <w:rPr>
                      <w:rFonts w:hint="default" w:ascii="Times New Roman" w:hAnsi="Times New Roman" w:eastAsia="宋体" w:cs="Times New Roman"/>
                      <w:color w:val="auto"/>
                      <w:kern w:val="0"/>
                      <w:sz w:val="21"/>
                      <w:szCs w:val="21"/>
                    </w:rPr>
                    <w:t>废气（DA003）</w:t>
                  </w:r>
                </w:p>
              </w:tc>
              <w:tc>
                <w:tcPr>
                  <w:tcW w:w="723" w:type="pct"/>
                  <w:vAlign w:val="center"/>
                </w:tcPr>
                <w:p w14:paraId="2C49B65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997" w:type="pct"/>
                  <w:vAlign w:val="center"/>
                </w:tcPr>
                <w:p w14:paraId="1292A997">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布袋除尘+15m高排气筒</w:t>
                  </w:r>
                </w:p>
              </w:tc>
              <w:tc>
                <w:tcPr>
                  <w:tcW w:w="1539" w:type="pct"/>
                  <w:vAlign w:val="center"/>
                </w:tcPr>
                <w:p w14:paraId="03340DB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大气污染物综合排放标准</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(GB16297-1996)</w:t>
                  </w:r>
                </w:p>
              </w:tc>
              <w:tc>
                <w:tcPr>
                  <w:tcW w:w="428" w:type="pct"/>
                  <w:vAlign w:val="center"/>
                </w:tcPr>
                <w:p w14:paraId="21FCF0C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w:t>
                  </w:r>
                </w:p>
              </w:tc>
            </w:tr>
            <w:tr w14:paraId="27D92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7AB0EA1D">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12498DC6">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污泥贮存、成型恶臭（DA004）</w:t>
                  </w:r>
                </w:p>
              </w:tc>
              <w:tc>
                <w:tcPr>
                  <w:tcW w:w="723" w:type="pct"/>
                  <w:vAlign w:val="center"/>
                </w:tcPr>
                <w:p w14:paraId="088D7E4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氨、硫化氢</w:t>
                  </w:r>
                </w:p>
              </w:tc>
              <w:tc>
                <w:tcPr>
                  <w:tcW w:w="997" w:type="pct"/>
                  <w:vAlign w:val="center"/>
                </w:tcPr>
                <w:p w14:paraId="2E04E8CB">
                  <w:pPr>
                    <w:tabs>
                      <w:tab w:val="left" w:pos="412"/>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2"/>
                      <w:sz w:val="21"/>
                      <w:szCs w:val="21"/>
                      <w:lang w:val="en-US" w:eastAsia="zh-CN" w:bidi="ar-SA"/>
                    </w:rPr>
                    <w:t>负压收集+生物除臭塔+15m排气筒</w:t>
                  </w:r>
                </w:p>
              </w:tc>
              <w:tc>
                <w:tcPr>
                  <w:tcW w:w="1539" w:type="pct"/>
                  <w:vAlign w:val="center"/>
                </w:tcPr>
                <w:p w14:paraId="4CF20869">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《恶臭污染物排放标准》（GB14554-1993）</w:t>
                  </w:r>
                </w:p>
              </w:tc>
              <w:tc>
                <w:tcPr>
                  <w:tcW w:w="428" w:type="pct"/>
                  <w:vAlign w:val="center"/>
                </w:tcPr>
                <w:p w14:paraId="67156F7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w:t>
                  </w:r>
                </w:p>
              </w:tc>
            </w:tr>
            <w:tr w14:paraId="7328A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1DF5CA9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5B1CDA81">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运输扬尘</w:t>
                  </w:r>
                </w:p>
              </w:tc>
              <w:tc>
                <w:tcPr>
                  <w:tcW w:w="723" w:type="pct"/>
                  <w:vAlign w:val="center"/>
                </w:tcPr>
                <w:p w14:paraId="2C98BC86">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997" w:type="pct"/>
                  <w:vAlign w:val="center"/>
                </w:tcPr>
                <w:p w14:paraId="278E365B">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车辆冲洗平台冲洗</w:t>
                  </w:r>
                </w:p>
              </w:tc>
              <w:tc>
                <w:tcPr>
                  <w:tcW w:w="1539" w:type="pct"/>
                  <w:vMerge w:val="restart"/>
                  <w:vAlign w:val="center"/>
                </w:tcPr>
                <w:p w14:paraId="69E21F11">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《水泥工业大气污染物排放标准》（DB34/3576-2020）</w:t>
                  </w:r>
                </w:p>
              </w:tc>
              <w:tc>
                <w:tcPr>
                  <w:tcW w:w="428" w:type="pct"/>
                  <w:vAlign w:val="center"/>
                </w:tcPr>
                <w:p w14:paraId="52C7129C">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4</w:t>
                  </w:r>
                </w:p>
              </w:tc>
            </w:tr>
            <w:tr w14:paraId="6C64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3C295EB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52C9E7C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各仓库装卸输送粉尘</w:t>
                  </w:r>
                </w:p>
              </w:tc>
              <w:tc>
                <w:tcPr>
                  <w:tcW w:w="723" w:type="pct"/>
                  <w:vAlign w:val="center"/>
                </w:tcPr>
                <w:p w14:paraId="7D191B03">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997" w:type="pct"/>
                  <w:vAlign w:val="center"/>
                </w:tcPr>
                <w:p w14:paraId="703F8E3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干雾抑尘</w:t>
                  </w:r>
                </w:p>
              </w:tc>
              <w:tc>
                <w:tcPr>
                  <w:tcW w:w="1539" w:type="pct"/>
                  <w:vMerge w:val="continue"/>
                  <w:vAlign w:val="center"/>
                </w:tcPr>
                <w:p w14:paraId="76FE6610">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428" w:type="pct"/>
                  <w:vAlign w:val="center"/>
                </w:tcPr>
                <w:p w14:paraId="3D1B8A6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r>
            <w:tr w14:paraId="6493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5C1DECF3">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2DE70493">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水泥筒仓粉尘</w:t>
                  </w:r>
                </w:p>
              </w:tc>
              <w:tc>
                <w:tcPr>
                  <w:tcW w:w="723" w:type="pct"/>
                  <w:vAlign w:val="center"/>
                </w:tcPr>
                <w:p w14:paraId="6042680D">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997" w:type="pct"/>
                  <w:vAlign w:val="center"/>
                </w:tcPr>
                <w:p w14:paraId="2C3084F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仓顶除尘器处理后无组织排放</w:t>
                  </w:r>
                </w:p>
              </w:tc>
              <w:tc>
                <w:tcPr>
                  <w:tcW w:w="1539" w:type="pct"/>
                  <w:vMerge w:val="continue"/>
                  <w:vAlign w:val="center"/>
                </w:tcPr>
                <w:p w14:paraId="4626B649">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428" w:type="pct"/>
                  <w:vAlign w:val="center"/>
                </w:tcPr>
                <w:p w14:paraId="59DB96E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5</w:t>
                  </w:r>
                </w:p>
              </w:tc>
            </w:tr>
            <w:tr w14:paraId="3223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restart"/>
                  <w:vAlign w:val="center"/>
                </w:tcPr>
                <w:p w14:paraId="06156A3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废水</w:t>
                  </w:r>
                </w:p>
              </w:tc>
              <w:tc>
                <w:tcPr>
                  <w:tcW w:w="761" w:type="pct"/>
                  <w:vAlign w:val="center"/>
                </w:tcPr>
                <w:p w14:paraId="7EC1B7CD">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生活污水</w:t>
                  </w:r>
                </w:p>
              </w:tc>
              <w:tc>
                <w:tcPr>
                  <w:tcW w:w="723" w:type="pct"/>
                  <w:vAlign w:val="center"/>
                </w:tcPr>
                <w:p w14:paraId="34CB156B">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pH、COD、SS、NH</w:t>
                  </w:r>
                  <w:r>
                    <w:rPr>
                      <w:rFonts w:hint="default" w:ascii="Times New Roman" w:hAnsi="Times New Roman" w:eastAsia="宋体" w:cs="Times New Roman"/>
                      <w:color w:val="auto"/>
                      <w:kern w:val="0"/>
                      <w:sz w:val="21"/>
                      <w:szCs w:val="21"/>
                      <w:vertAlign w:val="subscript"/>
                    </w:rPr>
                    <w:t>3</w:t>
                  </w:r>
                  <w:r>
                    <w:rPr>
                      <w:rFonts w:hint="default" w:ascii="Times New Roman" w:hAnsi="Times New Roman" w:eastAsia="宋体" w:cs="Times New Roman"/>
                      <w:color w:val="auto"/>
                      <w:kern w:val="0"/>
                      <w:sz w:val="21"/>
                      <w:szCs w:val="21"/>
                    </w:rPr>
                    <w:t>-N</w:t>
                  </w:r>
                </w:p>
              </w:tc>
              <w:tc>
                <w:tcPr>
                  <w:tcW w:w="997" w:type="pct"/>
                  <w:vAlign w:val="center"/>
                </w:tcPr>
                <w:p w14:paraId="78D9D95F">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18"/>
                    </w:rPr>
                    <w:t>经化粪池处理</w:t>
                  </w:r>
                  <w:r>
                    <w:rPr>
                      <w:rFonts w:hint="default" w:ascii="Times New Roman" w:hAnsi="Times New Roman" w:eastAsia="宋体" w:cs="Times New Roman"/>
                      <w:color w:val="auto"/>
                      <w:sz w:val="21"/>
                      <w:szCs w:val="18"/>
                      <w:lang w:val="en-US" w:eastAsia="zh-CN"/>
                    </w:rPr>
                    <w:t>后</w:t>
                  </w:r>
                  <w:r>
                    <w:rPr>
                      <w:rFonts w:hint="default" w:ascii="Times New Roman" w:hAnsi="Times New Roman" w:eastAsia="宋体" w:cs="Times New Roman"/>
                      <w:color w:val="auto"/>
                      <w:sz w:val="21"/>
                      <w:szCs w:val="18"/>
                      <w:lang w:val="zh-CN"/>
                    </w:rPr>
                    <w:t>排 入 收集池存放，采用槽罐车定期送至</w:t>
                  </w:r>
                  <w:r>
                    <w:rPr>
                      <w:rFonts w:hint="eastAsia" w:ascii="Times New Roman" w:hAnsi="Times New Roman" w:eastAsia="宋体" w:cs="Times New Roman"/>
                      <w:color w:val="auto"/>
                      <w:sz w:val="21"/>
                      <w:szCs w:val="18"/>
                      <w:lang w:val="zh-CN"/>
                    </w:rPr>
                    <w:t>东至县国祯污水处理厂</w:t>
                  </w:r>
                  <w:r>
                    <w:rPr>
                      <w:rFonts w:hint="default" w:ascii="Times New Roman" w:hAnsi="Times New Roman" w:eastAsia="宋体" w:cs="Times New Roman"/>
                      <w:color w:val="auto"/>
                      <w:sz w:val="21"/>
                      <w:szCs w:val="18"/>
                      <w:lang w:val="zh-CN"/>
                    </w:rPr>
                    <w:t>处置，</w:t>
                  </w:r>
                  <w:r>
                    <w:rPr>
                      <w:rFonts w:hint="default" w:ascii="Times New Roman" w:hAnsi="Times New Roman" w:eastAsia="宋体" w:cs="Times New Roman"/>
                      <w:color w:val="auto"/>
                      <w:sz w:val="21"/>
                      <w:szCs w:val="18"/>
                      <w:lang w:val="en-US" w:eastAsia="zh-CN"/>
                    </w:rPr>
                    <w:t>不外排</w:t>
                  </w:r>
                </w:p>
              </w:tc>
              <w:tc>
                <w:tcPr>
                  <w:tcW w:w="1539" w:type="pct"/>
                  <w:vAlign w:val="center"/>
                </w:tcPr>
                <w:p w14:paraId="31F9AE73">
                  <w:pPr>
                    <w:keepNext w:val="0"/>
                    <w:keepLines w:val="0"/>
                    <w:widowControl/>
                    <w:suppressLineNumbers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东至县国祯污水处理厂接管限值</w:t>
                  </w:r>
                </w:p>
              </w:tc>
              <w:tc>
                <w:tcPr>
                  <w:tcW w:w="428" w:type="pct"/>
                  <w:vAlign w:val="center"/>
                </w:tcPr>
                <w:p w14:paraId="32A54E6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3</w:t>
                  </w:r>
                </w:p>
              </w:tc>
            </w:tr>
            <w:tr w14:paraId="602B8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1FBFBEF6">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2AE8ECC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地面、搅拌机冲洗水</w:t>
                  </w:r>
                </w:p>
              </w:tc>
              <w:tc>
                <w:tcPr>
                  <w:tcW w:w="723" w:type="pct"/>
                  <w:vAlign w:val="center"/>
                </w:tcPr>
                <w:p w14:paraId="37CFC55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SS</w:t>
                  </w:r>
                </w:p>
              </w:tc>
              <w:tc>
                <w:tcPr>
                  <w:tcW w:w="997" w:type="pct"/>
                  <w:vAlign w:val="center"/>
                </w:tcPr>
                <w:p w14:paraId="6818B1FC">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沉淀池</w:t>
                  </w:r>
                </w:p>
              </w:tc>
              <w:tc>
                <w:tcPr>
                  <w:tcW w:w="1539" w:type="pct"/>
                  <w:vAlign w:val="center"/>
                </w:tcPr>
                <w:p w14:paraId="651691C5">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回用于生产</w:t>
                  </w:r>
                </w:p>
              </w:tc>
              <w:tc>
                <w:tcPr>
                  <w:tcW w:w="428" w:type="pct"/>
                  <w:vAlign w:val="center"/>
                </w:tcPr>
                <w:p w14:paraId="470E669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4</w:t>
                  </w:r>
                </w:p>
              </w:tc>
            </w:tr>
            <w:tr w14:paraId="5848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42C7F639">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74227E8D">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车辆冲洗水</w:t>
                  </w:r>
                </w:p>
              </w:tc>
              <w:tc>
                <w:tcPr>
                  <w:tcW w:w="723" w:type="pct"/>
                  <w:vAlign w:val="center"/>
                </w:tcPr>
                <w:p w14:paraId="63979BD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SS</w:t>
                  </w:r>
                </w:p>
              </w:tc>
              <w:tc>
                <w:tcPr>
                  <w:tcW w:w="997" w:type="pct"/>
                  <w:vAlign w:val="center"/>
                </w:tcPr>
                <w:p w14:paraId="3759A286">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沉淀池</w:t>
                  </w:r>
                </w:p>
              </w:tc>
              <w:tc>
                <w:tcPr>
                  <w:tcW w:w="1539" w:type="pct"/>
                  <w:vAlign w:val="center"/>
                </w:tcPr>
                <w:p w14:paraId="1F2A3E55">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循环利用不外排</w:t>
                  </w:r>
                </w:p>
              </w:tc>
              <w:tc>
                <w:tcPr>
                  <w:tcW w:w="428" w:type="pct"/>
                  <w:vAlign w:val="center"/>
                </w:tcPr>
                <w:p w14:paraId="0E370A8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1</w:t>
                  </w:r>
                </w:p>
              </w:tc>
            </w:tr>
            <w:tr w14:paraId="52170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Align w:val="center"/>
                </w:tcPr>
                <w:p w14:paraId="1746A04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噪声</w:t>
                  </w:r>
                </w:p>
              </w:tc>
              <w:tc>
                <w:tcPr>
                  <w:tcW w:w="761" w:type="pct"/>
                  <w:vAlign w:val="center"/>
                </w:tcPr>
                <w:p w14:paraId="345D633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设备噪声</w:t>
                  </w:r>
                </w:p>
              </w:tc>
              <w:tc>
                <w:tcPr>
                  <w:tcW w:w="723" w:type="pct"/>
                  <w:vAlign w:val="center"/>
                </w:tcPr>
                <w:p w14:paraId="6121AF9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Leq</w:t>
                  </w:r>
                </w:p>
              </w:tc>
              <w:tc>
                <w:tcPr>
                  <w:tcW w:w="997" w:type="pct"/>
                  <w:vAlign w:val="center"/>
                </w:tcPr>
                <w:p w14:paraId="2690CA9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基础减振、隔声</w:t>
                  </w:r>
                </w:p>
              </w:tc>
              <w:tc>
                <w:tcPr>
                  <w:tcW w:w="1539" w:type="pct"/>
                  <w:vAlign w:val="center"/>
                </w:tcPr>
                <w:p w14:paraId="0B464FDF">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《工业企业厂界环境噪声排放标准》（GB12348-2008）</w:t>
                  </w:r>
                  <w:r>
                    <w:rPr>
                      <w:rFonts w:hint="default" w:ascii="Times New Roman" w:hAnsi="Times New Roman" w:eastAsia="宋体" w:cs="Times New Roman"/>
                      <w:color w:val="auto"/>
                      <w:kern w:val="0"/>
                      <w:sz w:val="21"/>
                      <w:szCs w:val="21"/>
                      <w:lang w:val="en-US" w:eastAsia="zh-CN"/>
                    </w:rPr>
                    <w:t>2</w:t>
                  </w:r>
                  <w:r>
                    <w:rPr>
                      <w:rFonts w:hint="default" w:ascii="Times New Roman" w:hAnsi="Times New Roman" w:eastAsia="宋体" w:cs="Times New Roman"/>
                      <w:color w:val="auto"/>
                      <w:kern w:val="0"/>
                      <w:sz w:val="21"/>
                      <w:szCs w:val="21"/>
                    </w:rPr>
                    <w:t>类标准</w:t>
                  </w:r>
                </w:p>
              </w:tc>
              <w:tc>
                <w:tcPr>
                  <w:tcW w:w="428" w:type="pct"/>
                  <w:vAlign w:val="center"/>
                </w:tcPr>
                <w:p w14:paraId="1DD08B7B">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5</w:t>
                  </w:r>
                </w:p>
              </w:tc>
            </w:tr>
            <w:tr w14:paraId="447A9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restart"/>
                  <w:vAlign w:val="center"/>
                </w:tcPr>
                <w:p w14:paraId="0BFB0D1D">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固废</w:t>
                  </w:r>
                </w:p>
              </w:tc>
              <w:tc>
                <w:tcPr>
                  <w:tcW w:w="761" w:type="pct"/>
                  <w:vAlign w:val="center"/>
                </w:tcPr>
                <w:p w14:paraId="7195355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员工生活</w:t>
                  </w:r>
                </w:p>
              </w:tc>
              <w:tc>
                <w:tcPr>
                  <w:tcW w:w="723" w:type="pct"/>
                  <w:vAlign w:val="center"/>
                </w:tcPr>
                <w:p w14:paraId="5ABF6A37">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生活垃圾</w:t>
                  </w:r>
                </w:p>
              </w:tc>
              <w:tc>
                <w:tcPr>
                  <w:tcW w:w="997" w:type="pct"/>
                  <w:vAlign w:val="center"/>
                </w:tcPr>
                <w:p w14:paraId="672F445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交由环卫部门处置</w:t>
                  </w:r>
                </w:p>
              </w:tc>
              <w:tc>
                <w:tcPr>
                  <w:tcW w:w="1539" w:type="pct"/>
                  <w:vMerge w:val="restart"/>
                  <w:vAlign w:val="center"/>
                </w:tcPr>
                <w:p w14:paraId="4FDD3C3B">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合理处置不产生二次污染</w:t>
                  </w:r>
                </w:p>
              </w:tc>
              <w:tc>
                <w:tcPr>
                  <w:tcW w:w="428" w:type="pct"/>
                  <w:vAlign w:val="center"/>
                </w:tcPr>
                <w:p w14:paraId="5CBF55E0">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2</w:t>
                  </w:r>
                </w:p>
              </w:tc>
            </w:tr>
            <w:tr w14:paraId="4CD5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72D020B7">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2D34AE25">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分选、磁选</w:t>
                  </w:r>
                </w:p>
              </w:tc>
              <w:tc>
                <w:tcPr>
                  <w:tcW w:w="723" w:type="pct"/>
                  <w:vAlign w:val="center"/>
                </w:tcPr>
                <w:p w14:paraId="3253EC2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废塑料、废玻璃、废金属</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渣土</w:t>
                  </w:r>
                </w:p>
              </w:tc>
              <w:tc>
                <w:tcPr>
                  <w:tcW w:w="997" w:type="pct"/>
                  <w:vAlign w:val="center"/>
                </w:tcPr>
                <w:p w14:paraId="3480C2A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建设一般固废库一座100m</w:t>
                  </w:r>
                  <w:r>
                    <w:rPr>
                      <w:rFonts w:hint="default" w:ascii="Times New Roman" w:hAnsi="Times New Roman" w:eastAsia="宋体" w:cs="Times New Roman"/>
                      <w:color w:val="auto"/>
                      <w:kern w:val="0"/>
                      <w:sz w:val="21"/>
                      <w:szCs w:val="21"/>
                      <w:vertAlign w:val="superscript"/>
                    </w:rPr>
                    <w:t>2</w:t>
                  </w:r>
                  <w:r>
                    <w:rPr>
                      <w:rFonts w:hint="default" w:ascii="Times New Roman" w:hAnsi="Times New Roman" w:eastAsia="宋体" w:cs="Times New Roman"/>
                      <w:color w:val="auto"/>
                      <w:kern w:val="0"/>
                      <w:sz w:val="21"/>
                      <w:szCs w:val="21"/>
                    </w:rPr>
                    <w:t>，废金属暂存固废库内再外售</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lang w:val="en-US" w:eastAsia="zh-CN"/>
                    </w:rPr>
                    <w:t>渣土综合利用</w:t>
                  </w:r>
                </w:p>
              </w:tc>
              <w:tc>
                <w:tcPr>
                  <w:tcW w:w="1539" w:type="pct"/>
                  <w:vMerge w:val="continue"/>
                  <w:vAlign w:val="center"/>
                </w:tcPr>
                <w:p w14:paraId="46E8D81C">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428" w:type="pct"/>
                  <w:vAlign w:val="center"/>
                </w:tcPr>
                <w:p w14:paraId="0DD62FE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5</w:t>
                  </w:r>
                </w:p>
              </w:tc>
            </w:tr>
            <w:tr w14:paraId="2579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53DACCB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06710915">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废气处理</w:t>
                  </w:r>
                </w:p>
              </w:tc>
              <w:tc>
                <w:tcPr>
                  <w:tcW w:w="723" w:type="pct"/>
                  <w:vAlign w:val="center"/>
                </w:tcPr>
                <w:p w14:paraId="68C9AF16">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除尘灰</w:t>
                  </w:r>
                </w:p>
              </w:tc>
              <w:tc>
                <w:tcPr>
                  <w:tcW w:w="997" w:type="pct"/>
                  <w:vAlign w:val="center"/>
                </w:tcPr>
                <w:p w14:paraId="662398F3">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综合利用</w:t>
                  </w:r>
                </w:p>
              </w:tc>
              <w:tc>
                <w:tcPr>
                  <w:tcW w:w="1539" w:type="pct"/>
                  <w:vMerge w:val="continue"/>
                  <w:vAlign w:val="center"/>
                </w:tcPr>
                <w:p w14:paraId="3D4FFB36">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428" w:type="pct"/>
                  <w:vAlign w:val="center"/>
                </w:tcPr>
                <w:p w14:paraId="52E020A7">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w:t>
                  </w:r>
                </w:p>
              </w:tc>
            </w:tr>
            <w:tr w14:paraId="686C1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Merge w:val="continue"/>
                  <w:vAlign w:val="center"/>
                </w:tcPr>
                <w:p w14:paraId="2DCB181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761" w:type="pct"/>
                  <w:vAlign w:val="center"/>
                </w:tcPr>
                <w:p w14:paraId="321D8723">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设备维修</w:t>
                  </w:r>
                </w:p>
              </w:tc>
              <w:tc>
                <w:tcPr>
                  <w:tcW w:w="723" w:type="pct"/>
                  <w:vAlign w:val="center"/>
                </w:tcPr>
                <w:p w14:paraId="7CDA0DA7">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废机油、废油桶</w:t>
                  </w:r>
                </w:p>
              </w:tc>
              <w:tc>
                <w:tcPr>
                  <w:tcW w:w="997" w:type="pct"/>
                  <w:vAlign w:val="center"/>
                </w:tcPr>
                <w:p w14:paraId="32F6C42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建设危废库一座</w:t>
                  </w:r>
                  <w:r>
                    <w:rPr>
                      <w:rFonts w:hint="default" w:ascii="Times New Roman" w:hAnsi="Times New Roman" w:eastAsia="宋体" w:cs="Times New Roman"/>
                      <w:color w:val="auto"/>
                      <w:kern w:val="0"/>
                      <w:sz w:val="21"/>
                      <w:szCs w:val="21"/>
                      <w:lang w:val="en-US" w:eastAsia="zh-CN"/>
                    </w:rPr>
                    <w:t>1</w:t>
                  </w:r>
                  <w:r>
                    <w:rPr>
                      <w:rFonts w:hint="default" w:ascii="Times New Roman" w:hAnsi="Times New Roman" w:eastAsia="宋体" w:cs="Times New Roman"/>
                      <w:color w:val="auto"/>
                      <w:kern w:val="0"/>
                      <w:sz w:val="21"/>
                      <w:szCs w:val="21"/>
                    </w:rPr>
                    <w:t>0m</w:t>
                  </w:r>
                  <w:r>
                    <w:rPr>
                      <w:rFonts w:hint="default" w:ascii="Times New Roman" w:hAnsi="Times New Roman" w:eastAsia="宋体" w:cs="Times New Roman"/>
                      <w:color w:val="auto"/>
                      <w:kern w:val="0"/>
                      <w:sz w:val="21"/>
                      <w:szCs w:val="21"/>
                      <w:vertAlign w:val="superscript"/>
                    </w:rPr>
                    <w:t>2</w:t>
                  </w:r>
                  <w:r>
                    <w:rPr>
                      <w:rFonts w:hint="default" w:ascii="Times New Roman" w:hAnsi="Times New Roman" w:eastAsia="宋体" w:cs="Times New Roman"/>
                      <w:color w:val="auto"/>
                      <w:kern w:val="0"/>
                      <w:sz w:val="21"/>
                      <w:szCs w:val="21"/>
                    </w:rPr>
                    <w:t>，危险废物暂存危废库内再委托资质单位处置</w:t>
                  </w:r>
                </w:p>
              </w:tc>
              <w:tc>
                <w:tcPr>
                  <w:tcW w:w="1539" w:type="pct"/>
                  <w:vMerge w:val="continue"/>
                  <w:vAlign w:val="center"/>
                </w:tcPr>
                <w:p w14:paraId="3427678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p>
              </w:tc>
              <w:tc>
                <w:tcPr>
                  <w:tcW w:w="428" w:type="pct"/>
                  <w:vAlign w:val="center"/>
                </w:tcPr>
                <w:p w14:paraId="10A02A29">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3</w:t>
                  </w:r>
                </w:p>
              </w:tc>
            </w:tr>
            <w:tr w14:paraId="795D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Align w:val="center"/>
                </w:tcPr>
                <w:p w14:paraId="4DA2D0D9">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地下水、土壤</w:t>
                  </w:r>
                </w:p>
              </w:tc>
              <w:tc>
                <w:tcPr>
                  <w:tcW w:w="4020" w:type="pct"/>
                  <w:gridSpan w:val="4"/>
                  <w:vAlign w:val="center"/>
                </w:tcPr>
                <w:p w14:paraId="72E8C8C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危废库区域采取重点防渗措施，各库房采取一般防渗，其他区域一般地面硬化</w:t>
                  </w:r>
                </w:p>
              </w:tc>
              <w:tc>
                <w:tcPr>
                  <w:tcW w:w="428" w:type="pct"/>
                  <w:vAlign w:val="center"/>
                </w:tcPr>
                <w:p w14:paraId="7C1074CC">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r>
            <w:tr w14:paraId="43246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pct"/>
                  <w:vAlign w:val="center"/>
                </w:tcPr>
                <w:p w14:paraId="7C4794E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环境风险</w:t>
                  </w:r>
                </w:p>
              </w:tc>
              <w:tc>
                <w:tcPr>
                  <w:tcW w:w="4020" w:type="pct"/>
                  <w:gridSpan w:val="4"/>
                  <w:vAlign w:val="center"/>
                </w:tcPr>
                <w:p w14:paraId="780FCC4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配备相应的应急物资，编制突发环境事件应急预案等</w:t>
                  </w:r>
                </w:p>
              </w:tc>
              <w:tc>
                <w:tcPr>
                  <w:tcW w:w="428" w:type="pct"/>
                  <w:vAlign w:val="center"/>
                </w:tcPr>
                <w:p w14:paraId="05C59980">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3</w:t>
                  </w:r>
                </w:p>
              </w:tc>
            </w:tr>
            <w:tr w14:paraId="6AF3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4571" w:type="pct"/>
                  <w:gridSpan w:val="5"/>
                  <w:vAlign w:val="center"/>
                </w:tcPr>
                <w:p w14:paraId="7DF3E5DD">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合计</w:t>
                  </w:r>
                </w:p>
              </w:tc>
              <w:tc>
                <w:tcPr>
                  <w:tcW w:w="428" w:type="pct"/>
                  <w:vAlign w:val="center"/>
                </w:tcPr>
                <w:p w14:paraId="270C31D5">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15</w:t>
                  </w:r>
                  <w:r>
                    <w:rPr>
                      <w:rFonts w:hint="default" w:ascii="Times New Roman" w:hAnsi="Times New Roman" w:eastAsia="宋体" w:cs="Times New Roman"/>
                      <w:color w:val="auto"/>
                      <w:sz w:val="21"/>
                      <w:szCs w:val="21"/>
                      <w:lang w:val="en-US" w:eastAsia="zh-CN"/>
                    </w:rPr>
                    <w:t>5</w:t>
                  </w:r>
                </w:p>
              </w:tc>
            </w:tr>
          </w:tbl>
          <w:p w14:paraId="320920CD">
            <w:pPr>
              <w:pStyle w:val="2"/>
              <w:spacing w:before="0" w:after="0" w:line="240" w:lineRule="auto"/>
              <w:rPr>
                <w:rFonts w:hint="default" w:ascii="Times New Roman" w:hAnsi="Times New Roman" w:eastAsia="宋体" w:cs="Times New Roman"/>
                <w:color w:val="auto"/>
                <w:vertAlign w:val="baseline"/>
              </w:rPr>
            </w:pPr>
          </w:p>
        </w:tc>
      </w:tr>
    </w:tbl>
    <w:p w14:paraId="25869440">
      <w:pPr>
        <w:pStyle w:val="2"/>
        <w:spacing w:before="0" w:after="0" w:line="240" w:lineRule="auto"/>
        <w:rPr>
          <w:color w:val="auto"/>
        </w:rPr>
      </w:pPr>
    </w:p>
    <w:p w14:paraId="68142F66">
      <w:pPr>
        <w:pStyle w:val="2"/>
        <w:spacing w:before="0" w:after="0" w:line="240" w:lineRule="auto"/>
        <w:rPr>
          <w:color w:val="auto"/>
        </w:rPr>
      </w:pPr>
    </w:p>
    <w:p w14:paraId="0A7F9D06">
      <w:pPr>
        <w:pStyle w:val="2"/>
        <w:spacing w:before="0" w:after="0" w:line="240" w:lineRule="auto"/>
        <w:rPr>
          <w:color w:val="auto"/>
        </w:rPr>
      </w:pPr>
    </w:p>
    <w:p w14:paraId="1D5B1936">
      <w:pPr>
        <w:pStyle w:val="2"/>
        <w:spacing w:before="0" w:after="0" w:line="240" w:lineRule="auto"/>
        <w:rPr>
          <w:color w:val="auto"/>
        </w:rPr>
      </w:pPr>
    </w:p>
    <w:p w14:paraId="24876F88">
      <w:pPr>
        <w:pStyle w:val="2"/>
        <w:spacing w:before="0" w:after="0" w:line="240" w:lineRule="auto"/>
        <w:rPr>
          <w:color w:val="auto"/>
        </w:rPr>
      </w:pPr>
    </w:p>
    <w:p w14:paraId="47D05A86">
      <w:pPr>
        <w:pStyle w:val="2"/>
        <w:spacing w:before="0" w:after="0" w:line="240" w:lineRule="auto"/>
        <w:rPr>
          <w:color w:val="auto"/>
        </w:rPr>
      </w:pPr>
    </w:p>
    <w:p w14:paraId="56454918">
      <w:pPr>
        <w:pStyle w:val="2"/>
        <w:spacing w:before="0" w:after="0" w:line="240" w:lineRule="auto"/>
        <w:rPr>
          <w:color w:val="auto"/>
        </w:rPr>
      </w:pPr>
    </w:p>
    <w:p w14:paraId="1A29AE29">
      <w:pPr>
        <w:pStyle w:val="2"/>
        <w:spacing w:before="0" w:after="0" w:line="240" w:lineRule="auto"/>
        <w:rPr>
          <w:color w:val="auto"/>
        </w:rPr>
      </w:pPr>
    </w:p>
    <w:p w14:paraId="5484DC79">
      <w:pPr>
        <w:pStyle w:val="2"/>
        <w:spacing w:before="0" w:after="0" w:line="240" w:lineRule="auto"/>
        <w:rPr>
          <w:color w:val="auto"/>
        </w:rPr>
      </w:pPr>
    </w:p>
    <w:p w14:paraId="22C86BB7">
      <w:pPr>
        <w:pStyle w:val="2"/>
        <w:spacing w:before="0" w:after="0" w:line="240" w:lineRule="auto"/>
        <w:rPr>
          <w:color w:val="auto"/>
        </w:rPr>
      </w:pPr>
    </w:p>
    <w:p w14:paraId="520D72B8">
      <w:pPr>
        <w:pStyle w:val="2"/>
        <w:spacing w:before="0" w:after="0" w:line="240" w:lineRule="auto"/>
        <w:rPr>
          <w:color w:val="auto"/>
        </w:rPr>
      </w:pPr>
    </w:p>
    <w:p w14:paraId="6FC80B5E">
      <w:pPr>
        <w:pStyle w:val="2"/>
        <w:spacing w:before="0" w:after="0" w:line="240" w:lineRule="auto"/>
        <w:rPr>
          <w:color w:val="auto"/>
        </w:rPr>
      </w:pPr>
    </w:p>
    <w:p w14:paraId="50442400">
      <w:pPr>
        <w:pStyle w:val="2"/>
        <w:spacing w:before="0" w:after="0" w:line="240" w:lineRule="auto"/>
        <w:rPr>
          <w:color w:val="auto"/>
        </w:rPr>
      </w:pPr>
    </w:p>
    <w:p w14:paraId="4F2A5F74">
      <w:pPr>
        <w:pStyle w:val="2"/>
        <w:spacing w:before="0" w:after="0" w:line="240" w:lineRule="auto"/>
        <w:rPr>
          <w:color w:val="auto"/>
        </w:rPr>
      </w:pPr>
    </w:p>
    <w:p w14:paraId="178AD118">
      <w:pPr>
        <w:pStyle w:val="2"/>
        <w:spacing w:before="0" w:after="0" w:line="240" w:lineRule="auto"/>
        <w:rPr>
          <w:color w:val="auto"/>
        </w:rPr>
      </w:pPr>
    </w:p>
    <w:p w14:paraId="00CE333C">
      <w:pPr>
        <w:pStyle w:val="2"/>
        <w:spacing w:before="0" w:after="0" w:line="240" w:lineRule="auto"/>
        <w:rPr>
          <w:color w:val="auto"/>
        </w:rPr>
      </w:pPr>
    </w:p>
    <w:p w14:paraId="314DFA3F">
      <w:pPr>
        <w:pStyle w:val="2"/>
        <w:spacing w:before="0" w:after="0" w:line="240" w:lineRule="auto"/>
        <w:rPr>
          <w:color w:val="auto"/>
        </w:rPr>
      </w:pPr>
    </w:p>
    <w:p w14:paraId="48583288">
      <w:pPr>
        <w:pStyle w:val="2"/>
        <w:spacing w:before="0" w:after="0" w:line="240" w:lineRule="auto"/>
        <w:rPr>
          <w:color w:val="auto"/>
        </w:rPr>
      </w:pPr>
    </w:p>
    <w:p w14:paraId="490B4B8E">
      <w:pPr>
        <w:rPr>
          <w:color w:val="auto"/>
        </w:rPr>
      </w:pPr>
    </w:p>
    <w:p w14:paraId="41CB29DF">
      <w:pPr>
        <w:pStyle w:val="21"/>
        <w:rPr>
          <w:color w:val="auto"/>
        </w:rPr>
      </w:pPr>
    </w:p>
    <w:p w14:paraId="30D8E7DC"/>
    <w:p w14:paraId="069A927E"/>
    <w:p w14:paraId="3B0F94B5">
      <w:pPr>
        <w:pStyle w:val="2"/>
        <w:spacing w:before="0" w:after="0" w:line="240" w:lineRule="auto"/>
        <w:jc w:val="both"/>
        <w:rPr>
          <w:color w:val="auto"/>
        </w:rPr>
      </w:pPr>
    </w:p>
    <w:p w14:paraId="3D4667A2">
      <w:pPr>
        <w:ind w:left="0" w:leftChars="0" w:firstLine="0" w:firstLineChars="0"/>
      </w:pPr>
    </w:p>
    <w:p w14:paraId="6EA94574">
      <w:pPr>
        <w:pStyle w:val="2"/>
        <w:spacing w:before="0" w:after="0" w:line="240" w:lineRule="auto"/>
        <w:rPr>
          <w:color w:val="auto"/>
        </w:rPr>
      </w:pPr>
      <w:r>
        <w:rPr>
          <w:color w:val="auto"/>
        </w:rPr>
        <w:t>五、</w:t>
      </w:r>
      <w:bookmarkStart w:id="81" w:name="_Hlk54167917"/>
      <w:r>
        <w:rPr>
          <w:color w:val="auto"/>
        </w:rPr>
        <w:t>环境保护措施监督检查清单</w:t>
      </w:r>
      <w:bookmarkEnd w:id="76"/>
      <w:bookmarkEnd w:id="77"/>
      <w:bookmarkEnd w:id="81"/>
    </w:p>
    <w:tbl>
      <w:tblPr>
        <w:tblStyle w:val="3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85"/>
        <w:gridCol w:w="1490"/>
        <w:gridCol w:w="1640"/>
        <w:gridCol w:w="1926"/>
        <w:gridCol w:w="2159"/>
      </w:tblGrid>
      <w:tr w14:paraId="22F318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tcBorders>
              <w:tl2br w:val="single" w:color="auto" w:sz="4" w:space="0"/>
            </w:tcBorders>
            <w:vAlign w:val="center"/>
          </w:tcPr>
          <w:p w14:paraId="6EDA55E5">
            <w:pPr>
              <w:adjustRightInd w:val="0"/>
              <w:snapToGrid w:val="0"/>
              <w:spacing w:line="240" w:lineRule="auto"/>
              <w:ind w:firstLine="630" w:firstLineChars="30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内容</w:t>
            </w:r>
          </w:p>
          <w:p w14:paraId="491E1B9E">
            <w:pPr>
              <w:adjustRightInd w:val="0"/>
              <w:snapToGrid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要素</w:t>
            </w:r>
          </w:p>
        </w:tc>
        <w:tc>
          <w:tcPr>
            <w:tcW w:w="1490" w:type="dxa"/>
            <w:vAlign w:val="center"/>
          </w:tcPr>
          <w:p w14:paraId="231645C1">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排放口(编号、名称)/污染源</w:t>
            </w:r>
          </w:p>
        </w:tc>
        <w:tc>
          <w:tcPr>
            <w:tcW w:w="1640" w:type="dxa"/>
            <w:vAlign w:val="center"/>
          </w:tcPr>
          <w:p w14:paraId="287ED04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w:t>
            </w:r>
          </w:p>
          <w:p w14:paraId="24094BD3">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项目</w:t>
            </w:r>
          </w:p>
        </w:tc>
        <w:tc>
          <w:tcPr>
            <w:tcW w:w="1926" w:type="dxa"/>
            <w:vAlign w:val="center"/>
          </w:tcPr>
          <w:p w14:paraId="13AEA630">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环境保护措施</w:t>
            </w:r>
          </w:p>
        </w:tc>
        <w:tc>
          <w:tcPr>
            <w:tcW w:w="2159" w:type="dxa"/>
            <w:vAlign w:val="center"/>
          </w:tcPr>
          <w:p w14:paraId="2E2A2C52">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w:t>
            </w:r>
          </w:p>
        </w:tc>
      </w:tr>
      <w:tr w14:paraId="658FC6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585" w:type="dxa"/>
            <w:vMerge w:val="restart"/>
            <w:vAlign w:val="center"/>
          </w:tcPr>
          <w:p w14:paraId="62EEE238">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大气环境</w:t>
            </w:r>
          </w:p>
        </w:tc>
        <w:tc>
          <w:tcPr>
            <w:tcW w:w="1490" w:type="dxa"/>
            <w:vAlign w:val="center"/>
          </w:tcPr>
          <w:p w14:paraId="75F240A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骨料生产线给料、</w:t>
            </w:r>
            <w:r>
              <w:rPr>
                <w:rFonts w:hint="default" w:ascii="Times New Roman" w:hAnsi="Times New Roman" w:eastAsia="宋体" w:cs="Times New Roman"/>
                <w:color w:val="auto"/>
                <w:kern w:val="0"/>
                <w:sz w:val="21"/>
                <w:szCs w:val="21"/>
              </w:rPr>
              <w:t>破碎</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rPr>
              <w:t>筛分废气（DA001）</w:t>
            </w:r>
          </w:p>
        </w:tc>
        <w:tc>
          <w:tcPr>
            <w:tcW w:w="1640" w:type="dxa"/>
            <w:vAlign w:val="center"/>
          </w:tcPr>
          <w:p w14:paraId="4151FDBD">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1926" w:type="dxa"/>
            <w:vAlign w:val="center"/>
          </w:tcPr>
          <w:p w14:paraId="7405E95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布袋除尘器+15m高排气筒</w:t>
            </w:r>
          </w:p>
        </w:tc>
        <w:tc>
          <w:tcPr>
            <w:tcW w:w="2159" w:type="dxa"/>
            <w:vAlign w:val="center"/>
          </w:tcPr>
          <w:p w14:paraId="230A84A7">
            <w:pPr>
              <w:tabs>
                <w:tab w:val="left" w:pos="1500"/>
              </w:tabs>
              <w:adjustRightInd w:val="0"/>
              <w:snapToGrid w:val="0"/>
              <w:spacing w:line="240" w:lineRule="auto"/>
              <w:ind w:firstLine="0" w:firstLineChars="0"/>
              <w:jc w:val="center"/>
              <w:rPr>
                <w:rFonts w:hint="default" w:ascii="Times New Roman" w:hAnsi="Times New Roman" w:eastAsia="宋体" w:cs="Times New Roman"/>
                <w:bCs/>
                <w:snapToGrid w:val="0"/>
                <w:color w:val="auto"/>
                <w:kern w:val="0"/>
                <w:sz w:val="21"/>
                <w:szCs w:val="21"/>
                <w:lang w:val="en-US" w:eastAsia="zh-CN"/>
              </w:rPr>
            </w:pPr>
            <w:r>
              <w:rPr>
                <w:rFonts w:hint="default" w:ascii="Times New Roman" w:hAnsi="Times New Roman" w:eastAsia="宋体" w:cs="Times New Roman"/>
                <w:bCs/>
                <w:snapToGrid w:val="0"/>
                <w:color w:val="auto"/>
                <w:kern w:val="0"/>
                <w:sz w:val="21"/>
                <w:szCs w:val="21"/>
                <w:lang w:val="en-US" w:eastAsia="zh-CN"/>
              </w:rPr>
              <w:t>《大气污染物综合排放标准》（GB16297-1996）</w:t>
            </w:r>
          </w:p>
        </w:tc>
      </w:tr>
      <w:tr w14:paraId="6887C7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vAlign w:val="center"/>
          </w:tcPr>
          <w:p w14:paraId="46D85298">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vAlign w:val="center"/>
          </w:tcPr>
          <w:p w14:paraId="73E57B17">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水稳</w:t>
            </w:r>
            <w:r>
              <w:rPr>
                <w:rFonts w:hint="default" w:ascii="Times New Roman" w:hAnsi="Times New Roman" w:eastAsia="宋体" w:cs="Times New Roman"/>
                <w:color w:val="auto"/>
                <w:kern w:val="0"/>
                <w:sz w:val="21"/>
                <w:szCs w:val="21"/>
                <w:lang w:val="en-US" w:eastAsia="zh-CN"/>
              </w:rPr>
              <w:t>生产线</w:t>
            </w:r>
            <w:r>
              <w:rPr>
                <w:rFonts w:hint="default" w:ascii="Times New Roman" w:hAnsi="Times New Roman" w:eastAsia="宋体" w:cs="Times New Roman"/>
                <w:color w:val="auto"/>
                <w:kern w:val="0"/>
                <w:sz w:val="21"/>
                <w:szCs w:val="21"/>
              </w:rPr>
              <w:t>料投</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rPr>
              <w:t>料搅拌废气（DA002）</w:t>
            </w:r>
          </w:p>
        </w:tc>
        <w:tc>
          <w:tcPr>
            <w:tcW w:w="1640" w:type="dxa"/>
            <w:vAlign w:val="center"/>
          </w:tcPr>
          <w:p w14:paraId="45B0147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1926" w:type="dxa"/>
            <w:vAlign w:val="center"/>
          </w:tcPr>
          <w:p w14:paraId="0F0D334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布袋除尘+15m高排气筒</w:t>
            </w:r>
          </w:p>
        </w:tc>
        <w:tc>
          <w:tcPr>
            <w:tcW w:w="2159" w:type="dxa"/>
            <w:vAlign w:val="center"/>
          </w:tcPr>
          <w:p w14:paraId="3BF7F033">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0"/>
                <w:sz w:val="21"/>
                <w:szCs w:val="21"/>
              </w:rPr>
            </w:pPr>
            <w:r>
              <w:rPr>
                <w:rFonts w:hint="default" w:ascii="Times New Roman" w:hAnsi="Times New Roman" w:eastAsia="宋体" w:cs="Times New Roman"/>
                <w:color w:val="auto"/>
                <w:kern w:val="0"/>
                <w:sz w:val="21"/>
                <w:szCs w:val="21"/>
              </w:rPr>
              <w:t>《水泥工业大气污染物排放标准》（DB34/3576-2020）</w:t>
            </w:r>
          </w:p>
        </w:tc>
      </w:tr>
      <w:tr w14:paraId="392FD8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vAlign w:val="center"/>
          </w:tcPr>
          <w:p w14:paraId="3C0D03DF">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vAlign w:val="center"/>
          </w:tcPr>
          <w:p w14:paraId="5A5A4DC3">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RDF燃料生产线</w:t>
            </w:r>
            <w:r>
              <w:rPr>
                <w:rFonts w:hint="default" w:ascii="Times New Roman" w:hAnsi="Times New Roman" w:eastAsia="宋体" w:cs="Times New Roman"/>
                <w:color w:val="auto"/>
                <w:kern w:val="0"/>
                <w:sz w:val="21"/>
                <w:szCs w:val="21"/>
              </w:rPr>
              <w:t>投料</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kern w:val="0"/>
                <w:sz w:val="21"/>
                <w:szCs w:val="21"/>
              </w:rPr>
              <w:t>搅拌废气（DA003）</w:t>
            </w:r>
          </w:p>
        </w:tc>
        <w:tc>
          <w:tcPr>
            <w:tcW w:w="1640" w:type="dxa"/>
            <w:vAlign w:val="center"/>
          </w:tcPr>
          <w:p w14:paraId="5566242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1926" w:type="dxa"/>
            <w:vAlign w:val="center"/>
          </w:tcPr>
          <w:p w14:paraId="4A86D998">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布袋除尘+15m高排气筒</w:t>
            </w:r>
          </w:p>
        </w:tc>
        <w:tc>
          <w:tcPr>
            <w:tcW w:w="2159" w:type="dxa"/>
            <w:shd w:val="clear" w:color="auto" w:fill="auto"/>
            <w:vAlign w:val="center"/>
          </w:tcPr>
          <w:p w14:paraId="325670BD">
            <w:pPr>
              <w:tabs>
                <w:tab w:val="left" w:pos="1500"/>
              </w:tabs>
              <w:adjustRightInd w:val="0"/>
              <w:snapToGrid w:val="0"/>
              <w:spacing w:line="240" w:lineRule="auto"/>
              <w:ind w:firstLine="0" w:firstLineChars="0"/>
              <w:jc w:val="center"/>
              <w:rPr>
                <w:rFonts w:hint="default" w:ascii="Times New Roman" w:hAnsi="Times New Roman" w:eastAsia="宋体" w:cs="Times New Roman"/>
                <w:bCs/>
                <w:snapToGrid w:val="0"/>
                <w:color w:val="auto"/>
                <w:kern w:val="0"/>
                <w:sz w:val="21"/>
                <w:szCs w:val="21"/>
                <w:lang w:val="en-US" w:eastAsia="zh-CN" w:bidi="ar-SA"/>
              </w:rPr>
            </w:pPr>
            <w:r>
              <w:rPr>
                <w:rFonts w:hint="default" w:ascii="Times New Roman" w:hAnsi="Times New Roman" w:eastAsia="宋体" w:cs="Times New Roman"/>
                <w:bCs/>
                <w:snapToGrid w:val="0"/>
                <w:color w:val="auto"/>
                <w:kern w:val="0"/>
                <w:sz w:val="21"/>
                <w:szCs w:val="21"/>
                <w:lang w:val="en-US" w:eastAsia="zh-CN"/>
              </w:rPr>
              <w:t>《大气污染物综合排放标准》（GB16297-1996）</w:t>
            </w:r>
          </w:p>
        </w:tc>
      </w:tr>
      <w:tr w14:paraId="46E2EF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vAlign w:val="center"/>
          </w:tcPr>
          <w:p w14:paraId="596E55AA">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vAlign w:val="center"/>
          </w:tcPr>
          <w:p w14:paraId="77F20327">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污泥贮存、成型恶臭（DA004）</w:t>
            </w:r>
          </w:p>
        </w:tc>
        <w:tc>
          <w:tcPr>
            <w:tcW w:w="1640" w:type="dxa"/>
            <w:vAlign w:val="center"/>
          </w:tcPr>
          <w:p w14:paraId="4B8F5D4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氨、氯化氢、臭气浓度</w:t>
            </w:r>
          </w:p>
        </w:tc>
        <w:tc>
          <w:tcPr>
            <w:tcW w:w="1926" w:type="dxa"/>
            <w:vAlign w:val="center"/>
          </w:tcPr>
          <w:p w14:paraId="25D18E62">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生物除臭塔+15m高排气筒</w:t>
            </w:r>
          </w:p>
        </w:tc>
        <w:tc>
          <w:tcPr>
            <w:tcW w:w="2159" w:type="dxa"/>
            <w:shd w:val="clear" w:color="auto" w:fill="auto"/>
            <w:vAlign w:val="center"/>
          </w:tcPr>
          <w:p w14:paraId="77259BE5">
            <w:pPr>
              <w:tabs>
                <w:tab w:val="left" w:pos="1500"/>
              </w:tabs>
              <w:adjustRightInd w:val="0"/>
              <w:snapToGrid w:val="0"/>
              <w:spacing w:line="240" w:lineRule="auto"/>
              <w:ind w:firstLine="0" w:firstLineChars="0"/>
              <w:jc w:val="center"/>
              <w:rPr>
                <w:rFonts w:hint="default" w:ascii="Times New Roman" w:hAnsi="Times New Roman" w:eastAsia="宋体" w:cs="Times New Roman"/>
                <w:bCs/>
                <w:snapToGrid w:val="0"/>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《恶臭污染物排放标准》（GB14554-1993）</w:t>
            </w:r>
          </w:p>
        </w:tc>
      </w:tr>
      <w:tr w14:paraId="7AED8B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vAlign w:val="center"/>
          </w:tcPr>
          <w:p w14:paraId="49A7D2EE">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vAlign w:val="center"/>
          </w:tcPr>
          <w:p w14:paraId="766F591A">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运输扬尘</w:t>
            </w:r>
          </w:p>
        </w:tc>
        <w:tc>
          <w:tcPr>
            <w:tcW w:w="1640" w:type="dxa"/>
            <w:vAlign w:val="center"/>
          </w:tcPr>
          <w:p w14:paraId="0416DE2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1926" w:type="dxa"/>
            <w:vAlign w:val="center"/>
          </w:tcPr>
          <w:p w14:paraId="76053EA6">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车辆冲洗平台</w:t>
            </w:r>
          </w:p>
        </w:tc>
        <w:tc>
          <w:tcPr>
            <w:tcW w:w="2159" w:type="dxa"/>
            <w:vMerge w:val="restart"/>
            <w:vAlign w:val="center"/>
          </w:tcPr>
          <w:p w14:paraId="40F736C8">
            <w:pPr>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《水泥工业大气污染物排放标准》（DB34/3576-2020）</w:t>
            </w:r>
          </w:p>
        </w:tc>
      </w:tr>
      <w:tr w14:paraId="77DBCC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vAlign w:val="center"/>
          </w:tcPr>
          <w:p w14:paraId="2E6817D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vAlign w:val="center"/>
          </w:tcPr>
          <w:p w14:paraId="6A682664">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各仓库装卸输送粉尘</w:t>
            </w:r>
          </w:p>
        </w:tc>
        <w:tc>
          <w:tcPr>
            <w:tcW w:w="1640" w:type="dxa"/>
            <w:vAlign w:val="center"/>
          </w:tcPr>
          <w:p w14:paraId="3895B181">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1926" w:type="dxa"/>
            <w:vAlign w:val="center"/>
          </w:tcPr>
          <w:p w14:paraId="61C78045">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雾炮抑尘、</w:t>
            </w:r>
            <w:r>
              <w:rPr>
                <w:rFonts w:hint="default" w:ascii="Times New Roman" w:hAnsi="Times New Roman" w:eastAsia="宋体" w:cs="Times New Roman"/>
                <w:color w:val="auto"/>
                <w:kern w:val="0"/>
                <w:sz w:val="21"/>
                <w:szCs w:val="21"/>
              </w:rPr>
              <w:t>干雾抑尘</w:t>
            </w:r>
          </w:p>
        </w:tc>
        <w:tc>
          <w:tcPr>
            <w:tcW w:w="2159" w:type="dxa"/>
            <w:vMerge w:val="continue"/>
            <w:vAlign w:val="center"/>
          </w:tcPr>
          <w:p w14:paraId="3D90D22D">
            <w:pPr>
              <w:tabs>
                <w:tab w:val="left" w:pos="1500"/>
              </w:tabs>
              <w:adjustRightInd w:val="0"/>
              <w:snapToGrid w:val="0"/>
              <w:spacing w:line="240" w:lineRule="auto"/>
              <w:ind w:firstLine="0" w:firstLineChars="0"/>
              <w:jc w:val="center"/>
              <w:rPr>
                <w:rFonts w:hint="default" w:ascii="Times New Roman" w:hAnsi="Times New Roman" w:eastAsia="宋体" w:cs="Times New Roman"/>
                <w:bCs/>
                <w:snapToGrid w:val="0"/>
                <w:color w:val="auto"/>
                <w:kern w:val="0"/>
                <w:sz w:val="21"/>
                <w:szCs w:val="21"/>
              </w:rPr>
            </w:pPr>
          </w:p>
        </w:tc>
      </w:tr>
      <w:tr w14:paraId="5F3709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vAlign w:val="center"/>
          </w:tcPr>
          <w:p w14:paraId="4642627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vAlign w:val="center"/>
          </w:tcPr>
          <w:p w14:paraId="7BC90A3B">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水泥筒仓粉尘</w:t>
            </w:r>
          </w:p>
        </w:tc>
        <w:tc>
          <w:tcPr>
            <w:tcW w:w="1640" w:type="dxa"/>
            <w:vAlign w:val="center"/>
          </w:tcPr>
          <w:p w14:paraId="6A9A7BCE">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颗粒物</w:t>
            </w:r>
          </w:p>
        </w:tc>
        <w:tc>
          <w:tcPr>
            <w:tcW w:w="1926" w:type="dxa"/>
            <w:vAlign w:val="center"/>
          </w:tcPr>
          <w:p w14:paraId="438C9023">
            <w:pPr>
              <w:tabs>
                <w:tab w:val="left" w:pos="1500"/>
              </w:tabs>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仓顶除尘器处理后无组织排放</w:t>
            </w:r>
          </w:p>
        </w:tc>
        <w:tc>
          <w:tcPr>
            <w:tcW w:w="2159" w:type="dxa"/>
            <w:vMerge w:val="continue"/>
            <w:vAlign w:val="center"/>
          </w:tcPr>
          <w:p w14:paraId="028263B0">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0"/>
                <w:sz w:val="21"/>
                <w:szCs w:val="21"/>
              </w:rPr>
            </w:pPr>
          </w:p>
        </w:tc>
      </w:tr>
      <w:tr w14:paraId="46E356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restart"/>
            <w:shd w:val="clear" w:color="auto" w:fill="auto"/>
            <w:vAlign w:val="center"/>
          </w:tcPr>
          <w:p w14:paraId="4CE25E50">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地表水环境</w:t>
            </w:r>
          </w:p>
        </w:tc>
        <w:tc>
          <w:tcPr>
            <w:tcW w:w="1490" w:type="dxa"/>
            <w:shd w:val="clear" w:color="auto" w:fill="auto"/>
            <w:vAlign w:val="center"/>
          </w:tcPr>
          <w:p w14:paraId="2348F94F">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生活污水</w:t>
            </w:r>
          </w:p>
        </w:tc>
        <w:tc>
          <w:tcPr>
            <w:tcW w:w="1640" w:type="dxa"/>
            <w:shd w:val="clear" w:color="auto" w:fill="auto"/>
            <w:vAlign w:val="center"/>
          </w:tcPr>
          <w:p w14:paraId="419101CC">
            <w:pPr>
              <w:pStyle w:val="128"/>
              <w:spacing w:line="240" w:lineRule="auto"/>
              <w:ind w:firstLine="0" w:firstLineChars="0"/>
              <w:jc w:val="center"/>
              <w:rPr>
                <w:rFonts w:hint="default" w:ascii="Times New Roman" w:hAnsi="Times New Roman" w:eastAsia="宋体" w:cs="Times New Roman"/>
                <w:color w:val="auto"/>
                <w:sz w:val="21"/>
                <w:szCs w:val="21"/>
                <w:lang w:val="fr-FR"/>
              </w:rPr>
            </w:pPr>
            <w:r>
              <w:rPr>
                <w:rFonts w:hint="default" w:ascii="Times New Roman" w:hAnsi="Times New Roman" w:eastAsia="宋体" w:cs="Times New Roman"/>
                <w:b w:val="0"/>
                <w:bCs w:val="0"/>
                <w:color w:val="auto"/>
                <w:sz w:val="21"/>
                <w:szCs w:val="21"/>
                <w:lang w:val="en-US" w:eastAsia="zh-CN"/>
              </w:rPr>
              <w:t>pH、</w:t>
            </w:r>
            <w:r>
              <w:rPr>
                <w:rFonts w:hint="default" w:ascii="Times New Roman" w:hAnsi="Times New Roman" w:eastAsia="宋体" w:cs="Times New Roman"/>
                <w:color w:val="auto"/>
                <w:kern w:val="0"/>
                <w:sz w:val="21"/>
                <w:szCs w:val="21"/>
                <w:lang w:val="fr-FR"/>
              </w:rPr>
              <w:t>COD、BOD</w:t>
            </w:r>
            <w:r>
              <w:rPr>
                <w:rFonts w:hint="default" w:ascii="Times New Roman" w:hAnsi="Times New Roman" w:eastAsia="宋体" w:cs="Times New Roman"/>
                <w:color w:val="auto"/>
                <w:kern w:val="0"/>
                <w:sz w:val="21"/>
                <w:szCs w:val="21"/>
                <w:vertAlign w:val="subscript"/>
              </w:rPr>
              <w:t>5</w:t>
            </w:r>
            <w:r>
              <w:rPr>
                <w:rFonts w:hint="default" w:ascii="Times New Roman" w:hAnsi="Times New Roman" w:eastAsia="宋体" w:cs="Times New Roman"/>
                <w:color w:val="auto"/>
                <w:kern w:val="0"/>
                <w:sz w:val="21"/>
                <w:szCs w:val="21"/>
                <w:lang w:val="fr-FR"/>
              </w:rPr>
              <w:t>、NH</w:t>
            </w:r>
            <w:r>
              <w:rPr>
                <w:rFonts w:hint="default" w:ascii="Times New Roman" w:hAnsi="Times New Roman" w:eastAsia="宋体" w:cs="Times New Roman"/>
                <w:color w:val="auto"/>
                <w:kern w:val="0"/>
                <w:sz w:val="21"/>
                <w:szCs w:val="21"/>
                <w:vertAlign w:val="subscript"/>
                <w:lang w:val="fr-FR"/>
              </w:rPr>
              <w:t>3</w:t>
            </w:r>
            <w:r>
              <w:rPr>
                <w:rFonts w:hint="default" w:ascii="Times New Roman" w:hAnsi="Times New Roman" w:eastAsia="宋体" w:cs="Times New Roman"/>
                <w:color w:val="auto"/>
                <w:kern w:val="0"/>
                <w:sz w:val="21"/>
                <w:szCs w:val="21"/>
                <w:lang w:val="fr-FR"/>
              </w:rPr>
              <w:t>-N、SS</w:t>
            </w:r>
          </w:p>
        </w:tc>
        <w:tc>
          <w:tcPr>
            <w:tcW w:w="1926" w:type="dxa"/>
            <w:shd w:val="clear" w:color="auto" w:fill="auto"/>
            <w:vAlign w:val="center"/>
          </w:tcPr>
          <w:p w14:paraId="72FECE7E">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18"/>
              </w:rPr>
              <w:t>经化粪池处理</w:t>
            </w:r>
            <w:r>
              <w:rPr>
                <w:rFonts w:hint="default" w:ascii="Times New Roman" w:hAnsi="Times New Roman" w:eastAsia="宋体" w:cs="Times New Roman"/>
                <w:color w:val="auto"/>
                <w:sz w:val="21"/>
                <w:szCs w:val="18"/>
                <w:lang w:val="en-US" w:eastAsia="zh-CN"/>
              </w:rPr>
              <w:t>后</w:t>
            </w:r>
            <w:r>
              <w:rPr>
                <w:rFonts w:hint="default" w:ascii="Times New Roman" w:hAnsi="Times New Roman" w:eastAsia="宋体" w:cs="Times New Roman"/>
                <w:color w:val="auto"/>
                <w:sz w:val="21"/>
                <w:szCs w:val="18"/>
                <w:lang w:val="zh-CN"/>
              </w:rPr>
              <w:t>排 入 收集池存放，采用槽罐车定期送至</w:t>
            </w:r>
            <w:r>
              <w:rPr>
                <w:rFonts w:hint="eastAsia" w:ascii="Times New Roman" w:hAnsi="Times New Roman" w:eastAsia="宋体" w:cs="Times New Roman"/>
                <w:color w:val="auto"/>
                <w:sz w:val="21"/>
                <w:szCs w:val="18"/>
                <w:lang w:val="zh-CN"/>
              </w:rPr>
              <w:t>东至县国祯污水处理厂</w:t>
            </w:r>
            <w:r>
              <w:rPr>
                <w:rFonts w:hint="default" w:ascii="Times New Roman" w:hAnsi="Times New Roman" w:eastAsia="宋体" w:cs="Times New Roman"/>
                <w:color w:val="auto"/>
                <w:sz w:val="21"/>
                <w:szCs w:val="18"/>
                <w:lang w:val="zh-CN"/>
              </w:rPr>
              <w:t>处置</w:t>
            </w:r>
          </w:p>
        </w:tc>
        <w:tc>
          <w:tcPr>
            <w:tcW w:w="2159" w:type="dxa"/>
            <w:shd w:val="clear" w:color="auto" w:fill="auto"/>
            <w:vAlign w:val="center"/>
          </w:tcPr>
          <w:p w14:paraId="34449A61">
            <w:pPr>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rPr>
              <w:t>东至县国祯污水处理厂接管</w:t>
            </w:r>
            <w:r>
              <w:rPr>
                <w:rFonts w:hint="eastAsia" w:ascii="Times New Roman" w:hAnsi="Times New Roman" w:eastAsia="宋体" w:cs="Times New Roman"/>
                <w:color w:val="auto"/>
                <w:kern w:val="0"/>
                <w:sz w:val="21"/>
                <w:szCs w:val="21"/>
                <w:lang w:val="en-US" w:eastAsia="zh-CN"/>
              </w:rPr>
              <w:t>标准</w:t>
            </w:r>
            <w:r>
              <w:rPr>
                <w:rFonts w:hint="default" w:ascii="Times New Roman" w:hAnsi="Times New Roman" w:eastAsia="宋体" w:cs="Times New Roman"/>
                <w:color w:val="auto"/>
                <w:kern w:val="0"/>
                <w:sz w:val="21"/>
                <w:szCs w:val="21"/>
                <w:lang w:val="en-US" w:eastAsia="zh-CN"/>
              </w:rPr>
              <w:t>限值</w:t>
            </w:r>
          </w:p>
        </w:tc>
      </w:tr>
      <w:tr w14:paraId="0E299A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shd w:val="clear" w:color="auto" w:fill="auto"/>
            <w:vAlign w:val="center"/>
          </w:tcPr>
          <w:p w14:paraId="1A7D2F5B">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shd w:val="clear" w:color="auto" w:fill="auto"/>
            <w:vAlign w:val="center"/>
          </w:tcPr>
          <w:p w14:paraId="4F8E6364">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车辆冲洗水</w:t>
            </w:r>
          </w:p>
        </w:tc>
        <w:tc>
          <w:tcPr>
            <w:tcW w:w="1640" w:type="dxa"/>
            <w:shd w:val="clear" w:color="auto" w:fill="auto"/>
            <w:vAlign w:val="center"/>
          </w:tcPr>
          <w:p w14:paraId="2487C90C">
            <w:pPr>
              <w:pStyle w:val="128"/>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bCs/>
                <w:color w:val="auto"/>
                <w:sz w:val="21"/>
                <w:szCs w:val="21"/>
                <w:lang w:val="en-US" w:eastAsia="zh-CN"/>
              </w:rPr>
              <w:t>pH、</w:t>
            </w:r>
            <w:r>
              <w:rPr>
                <w:rFonts w:hint="default" w:ascii="Times New Roman" w:hAnsi="Times New Roman" w:eastAsia="宋体" w:cs="Times New Roman"/>
                <w:color w:val="auto"/>
                <w:kern w:val="0"/>
                <w:sz w:val="21"/>
                <w:szCs w:val="21"/>
              </w:rPr>
              <w:t>SS</w:t>
            </w:r>
          </w:p>
        </w:tc>
        <w:tc>
          <w:tcPr>
            <w:tcW w:w="1926" w:type="dxa"/>
            <w:shd w:val="clear" w:color="auto" w:fill="auto"/>
            <w:vAlign w:val="center"/>
          </w:tcPr>
          <w:p w14:paraId="0838A369">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沉淀池</w:t>
            </w:r>
          </w:p>
        </w:tc>
        <w:tc>
          <w:tcPr>
            <w:tcW w:w="2159" w:type="dxa"/>
            <w:vMerge w:val="restart"/>
            <w:shd w:val="clear" w:color="auto" w:fill="auto"/>
            <w:vAlign w:val="center"/>
          </w:tcPr>
          <w:p w14:paraId="7FE1A2A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沉淀池沉淀后循环利用</w:t>
            </w:r>
          </w:p>
        </w:tc>
      </w:tr>
      <w:tr w14:paraId="7E8B1F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shd w:val="clear" w:color="auto" w:fill="auto"/>
            <w:vAlign w:val="center"/>
          </w:tcPr>
          <w:p w14:paraId="6D10D695">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shd w:val="clear" w:color="auto" w:fill="auto"/>
            <w:vAlign w:val="center"/>
          </w:tcPr>
          <w:p w14:paraId="3A04F9D5">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搅拌冲洗废水</w:t>
            </w:r>
          </w:p>
        </w:tc>
        <w:tc>
          <w:tcPr>
            <w:tcW w:w="1640" w:type="dxa"/>
            <w:shd w:val="clear" w:color="auto" w:fill="auto"/>
            <w:vAlign w:val="center"/>
          </w:tcPr>
          <w:p w14:paraId="6BF122D7">
            <w:pPr>
              <w:pStyle w:val="128"/>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bCs/>
                <w:color w:val="auto"/>
                <w:sz w:val="21"/>
                <w:szCs w:val="21"/>
                <w:lang w:val="en-US" w:eastAsia="zh-CN"/>
              </w:rPr>
              <w:t>pH、</w:t>
            </w:r>
            <w:r>
              <w:rPr>
                <w:rFonts w:hint="default" w:ascii="Times New Roman" w:hAnsi="Times New Roman" w:eastAsia="宋体" w:cs="Times New Roman"/>
                <w:color w:val="auto"/>
                <w:kern w:val="0"/>
                <w:sz w:val="21"/>
                <w:szCs w:val="21"/>
              </w:rPr>
              <w:t>SS</w:t>
            </w:r>
          </w:p>
        </w:tc>
        <w:tc>
          <w:tcPr>
            <w:tcW w:w="1926" w:type="dxa"/>
            <w:vMerge w:val="restart"/>
            <w:shd w:val="clear" w:color="auto" w:fill="auto"/>
            <w:vAlign w:val="center"/>
          </w:tcPr>
          <w:p w14:paraId="1CD2705E">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沉淀</w:t>
            </w:r>
          </w:p>
        </w:tc>
        <w:tc>
          <w:tcPr>
            <w:tcW w:w="2159" w:type="dxa"/>
            <w:vMerge w:val="continue"/>
            <w:shd w:val="clear" w:color="auto" w:fill="auto"/>
            <w:vAlign w:val="center"/>
          </w:tcPr>
          <w:p w14:paraId="502D8D1B">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r>
      <w:tr w14:paraId="28BFFE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Merge w:val="continue"/>
            <w:shd w:val="clear" w:color="auto" w:fill="auto"/>
            <w:vAlign w:val="center"/>
          </w:tcPr>
          <w:p w14:paraId="3A37B712">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shd w:val="clear" w:color="auto" w:fill="auto"/>
            <w:vAlign w:val="center"/>
          </w:tcPr>
          <w:p w14:paraId="06771086">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地面冲洗废水</w:t>
            </w:r>
          </w:p>
        </w:tc>
        <w:tc>
          <w:tcPr>
            <w:tcW w:w="1640" w:type="dxa"/>
            <w:shd w:val="clear" w:color="auto" w:fill="auto"/>
            <w:vAlign w:val="center"/>
          </w:tcPr>
          <w:p w14:paraId="20C19622">
            <w:pPr>
              <w:pStyle w:val="128"/>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bCs/>
                <w:color w:val="auto"/>
                <w:sz w:val="21"/>
                <w:szCs w:val="21"/>
                <w:lang w:val="en-US" w:eastAsia="zh-CN"/>
              </w:rPr>
              <w:t>pH、</w:t>
            </w:r>
            <w:r>
              <w:rPr>
                <w:rFonts w:hint="default" w:ascii="Times New Roman" w:hAnsi="Times New Roman" w:eastAsia="宋体" w:cs="Times New Roman"/>
                <w:color w:val="auto"/>
                <w:kern w:val="0"/>
                <w:sz w:val="21"/>
                <w:szCs w:val="21"/>
              </w:rPr>
              <w:t>SS</w:t>
            </w:r>
          </w:p>
        </w:tc>
        <w:tc>
          <w:tcPr>
            <w:tcW w:w="1926" w:type="dxa"/>
            <w:vMerge w:val="continue"/>
            <w:shd w:val="clear" w:color="auto" w:fill="auto"/>
            <w:vAlign w:val="center"/>
          </w:tcPr>
          <w:p w14:paraId="3DA96BB2">
            <w:pPr>
              <w:spacing w:line="240" w:lineRule="auto"/>
              <w:ind w:firstLine="0" w:firstLineChars="0"/>
              <w:jc w:val="center"/>
              <w:rPr>
                <w:rFonts w:hint="default" w:ascii="Times New Roman" w:hAnsi="Times New Roman" w:eastAsia="宋体" w:cs="Times New Roman"/>
                <w:color w:val="auto"/>
                <w:sz w:val="21"/>
                <w:szCs w:val="21"/>
              </w:rPr>
            </w:pPr>
          </w:p>
        </w:tc>
        <w:tc>
          <w:tcPr>
            <w:tcW w:w="2159" w:type="dxa"/>
            <w:vMerge w:val="continue"/>
            <w:shd w:val="clear" w:color="auto" w:fill="auto"/>
            <w:vAlign w:val="center"/>
          </w:tcPr>
          <w:p w14:paraId="2795613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r>
      <w:tr w14:paraId="00C738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585" w:type="dxa"/>
            <w:vMerge w:val="continue"/>
            <w:shd w:val="clear" w:color="auto" w:fill="auto"/>
            <w:vAlign w:val="center"/>
          </w:tcPr>
          <w:p w14:paraId="079A67AA">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490" w:type="dxa"/>
            <w:shd w:val="clear" w:color="auto" w:fill="auto"/>
            <w:vAlign w:val="center"/>
          </w:tcPr>
          <w:p w14:paraId="17B26842">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初期雨水</w:t>
            </w:r>
          </w:p>
        </w:tc>
        <w:tc>
          <w:tcPr>
            <w:tcW w:w="1640" w:type="dxa"/>
            <w:shd w:val="clear" w:color="auto" w:fill="auto"/>
            <w:vAlign w:val="center"/>
          </w:tcPr>
          <w:p w14:paraId="63DA8CCC">
            <w:pPr>
              <w:pStyle w:val="128"/>
              <w:spacing w:line="240" w:lineRule="auto"/>
              <w:ind w:firstLine="0" w:firstLineChars="0"/>
              <w:jc w:val="center"/>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pH、</w:t>
            </w:r>
            <w:r>
              <w:rPr>
                <w:rFonts w:hint="default" w:ascii="Times New Roman" w:hAnsi="Times New Roman" w:eastAsia="宋体" w:cs="Times New Roman"/>
                <w:color w:val="auto"/>
                <w:kern w:val="0"/>
                <w:sz w:val="21"/>
                <w:szCs w:val="21"/>
              </w:rPr>
              <w:t>SS</w:t>
            </w:r>
          </w:p>
        </w:tc>
        <w:tc>
          <w:tcPr>
            <w:tcW w:w="1926" w:type="dxa"/>
            <w:shd w:val="clear" w:color="auto" w:fill="auto"/>
            <w:vAlign w:val="center"/>
          </w:tcPr>
          <w:p w14:paraId="33EE1996">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沉淀池</w:t>
            </w:r>
          </w:p>
        </w:tc>
        <w:tc>
          <w:tcPr>
            <w:tcW w:w="2159" w:type="dxa"/>
            <w:vMerge w:val="continue"/>
            <w:shd w:val="clear" w:color="auto" w:fill="auto"/>
            <w:vAlign w:val="center"/>
          </w:tcPr>
          <w:p w14:paraId="52549A1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r>
      <w:tr w14:paraId="095125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5" w:type="dxa"/>
            <w:vAlign w:val="center"/>
          </w:tcPr>
          <w:p w14:paraId="7EF28F68">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声环境</w:t>
            </w:r>
          </w:p>
        </w:tc>
        <w:tc>
          <w:tcPr>
            <w:tcW w:w="1490" w:type="dxa"/>
            <w:vAlign w:val="center"/>
          </w:tcPr>
          <w:p w14:paraId="3A747C1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各类设备</w:t>
            </w:r>
          </w:p>
        </w:tc>
        <w:tc>
          <w:tcPr>
            <w:tcW w:w="1640" w:type="dxa"/>
            <w:vAlign w:val="center"/>
          </w:tcPr>
          <w:p w14:paraId="21C9938A">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w:t>
            </w:r>
          </w:p>
        </w:tc>
        <w:tc>
          <w:tcPr>
            <w:tcW w:w="1926" w:type="dxa"/>
            <w:vAlign w:val="center"/>
          </w:tcPr>
          <w:p w14:paraId="4D2DE16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选用低噪声设备；厂房隔声、</w:t>
            </w:r>
            <w:r>
              <w:rPr>
                <w:rFonts w:hint="default" w:ascii="Times New Roman" w:hAnsi="Times New Roman" w:eastAsia="宋体" w:cs="Times New Roman"/>
                <w:color w:val="auto"/>
                <w:sz w:val="21"/>
                <w:szCs w:val="21"/>
                <w:lang w:val="en-US" w:eastAsia="zh-CN"/>
              </w:rPr>
              <w:t>基础减震</w:t>
            </w:r>
            <w:r>
              <w:rPr>
                <w:rFonts w:hint="default" w:ascii="Times New Roman" w:hAnsi="Times New Roman" w:eastAsia="宋体" w:cs="Times New Roman"/>
                <w:color w:val="auto"/>
                <w:sz w:val="21"/>
                <w:szCs w:val="21"/>
              </w:rPr>
              <w:t>等</w:t>
            </w:r>
          </w:p>
        </w:tc>
        <w:tc>
          <w:tcPr>
            <w:tcW w:w="2159" w:type="dxa"/>
            <w:vAlign w:val="center"/>
          </w:tcPr>
          <w:p w14:paraId="742D4F89">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《工业企业厂界环境噪声排放标准》（GB12348-2008）中2类标准</w:t>
            </w:r>
          </w:p>
        </w:tc>
      </w:tr>
      <w:tr w14:paraId="0251BF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1585" w:type="dxa"/>
            <w:vAlign w:val="center"/>
          </w:tcPr>
          <w:p w14:paraId="090BB9C4">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电磁辐射</w:t>
            </w:r>
          </w:p>
        </w:tc>
        <w:tc>
          <w:tcPr>
            <w:tcW w:w="7215" w:type="dxa"/>
            <w:gridSpan w:val="4"/>
            <w:vAlign w:val="center"/>
          </w:tcPr>
          <w:p w14:paraId="21E25132">
            <w:pPr>
              <w:adjustRightInd w:val="0"/>
              <w:snapToGrid w:val="0"/>
              <w:spacing w:line="240" w:lineRule="auto"/>
              <w:ind w:firstLine="42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无</w:t>
            </w:r>
          </w:p>
        </w:tc>
      </w:tr>
      <w:tr w14:paraId="3B72C4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1585" w:type="dxa"/>
            <w:vAlign w:val="center"/>
          </w:tcPr>
          <w:p w14:paraId="152AD29C">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固体废物</w:t>
            </w:r>
          </w:p>
        </w:tc>
        <w:tc>
          <w:tcPr>
            <w:tcW w:w="7215" w:type="dxa"/>
            <w:gridSpan w:val="4"/>
            <w:vAlign w:val="center"/>
          </w:tcPr>
          <w:p w14:paraId="26DE5BC1">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生活垃圾收集后统一交由环卫部门处理；建设一般固废库一座，占地面积1</w:t>
            </w:r>
            <w:r>
              <w:rPr>
                <w:rFonts w:hint="default" w:ascii="Times New Roman" w:hAnsi="Times New Roman" w:eastAsia="宋体" w:cs="Times New Roman"/>
                <w:color w:val="auto"/>
                <w:sz w:val="21"/>
                <w:szCs w:val="21"/>
                <w:lang w:val="en-US" w:eastAsia="zh-CN"/>
              </w:rPr>
              <w:t>0</w:t>
            </w:r>
            <w:r>
              <w:rPr>
                <w:rFonts w:hint="default" w:ascii="Times New Roman" w:hAnsi="Times New Roman" w:eastAsia="宋体" w:cs="Times New Roman"/>
                <w:color w:val="auto"/>
                <w:sz w:val="21"/>
                <w:szCs w:val="21"/>
              </w:rPr>
              <w:t>0m</w:t>
            </w:r>
            <w:r>
              <w:rPr>
                <w:rFonts w:hint="default" w:ascii="Times New Roman" w:hAnsi="Times New Roman" w:eastAsia="宋体" w:cs="Times New Roman"/>
                <w:color w:val="auto"/>
                <w:sz w:val="21"/>
                <w:szCs w:val="21"/>
                <w:vertAlign w:val="superscript"/>
              </w:rPr>
              <w:t>2</w:t>
            </w:r>
            <w:r>
              <w:rPr>
                <w:rFonts w:hint="default" w:ascii="Times New Roman" w:hAnsi="Times New Roman" w:eastAsia="宋体" w:cs="Times New Roman"/>
                <w:color w:val="auto"/>
                <w:sz w:val="21"/>
                <w:szCs w:val="21"/>
              </w:rPr>
              <w:t>，废金属、废玻璃、废塑料暂存一般固废内再外售。</w:t>
            </w:r>
            <w:r>
              <w:rPr>
                <w:rFonts w:hint="default" w:ascii="Times New Roman" w:hAnsi="Times New Roman" w:eastAsia="宋体" w:cs="Times New Roman"/>
                <w:color w:val="auto"/>
                <w:sz w:val="21"/>
                <w:szCs w:val="21"/>
                <w:lang w:val="en-US" w:eastAsia="zh-CN"/>
              </w:rPr>
              <w:t>除尘灰直接回用于生产，废渣土综合利用；</w:t>
            </w:r>
            <w:r>
              <w:rPr>
                <w:rFonts w:hint="default" w:ascii="Times New Roman" w:hAnsi="Times New Roman" w:eastAsia="宋体" w:cs="Times New Roman"/>
                <w:color w:val="auto"/>
                <w:sz w:val="21"/>
                <w:szCs w:val="21"/>
              </w:rPr>
              <w:t>建设危废库一座，占地面积</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0m</w:t>
            </w:r>
            <w:r>
              <w:rPr>
                <w:rFonts w:hint="default" w:ascii="Times New Roman" w:hAnsi="Times New Roman" w:eastAsia="宋体" w:cs="Times New Roman"/>
                <w:color w:val="auto"/>
                <w:sz w:val="21"/>
                <w:szCs w:val="21"/>
                <w:vertAlign w:val="superscript"/>
              </w:rPr>
              <w:t>2</w:t>
            </w:r>
            <w:r>
              <w:rPr>
                <w:rFonts w:hint="default" w:ascii="Times New Roman" w:hAnsi="Times New Roman" w:eastAsia="宋体" w:cs="Times New Roman"/>
                <w:color w:val="auto"/>
                <w:sz w:val="21"/>
                <w:szCs w:val="21"/>
              </w:rPr>
              <w:t>，废机油、废油桶暂存危废库内再委托资质单位处置。</w:t>
            </w:r>
          </w:p>
        </w:tc>
      </w:tr>
      <w:tr w14:paraId="5BE9B8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585" w:type="dxa"/>
            <w:vAlign w:val="center"/>
          </w:tcPr>
          <w:p w14:paraId="3CEDC282">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土壤及地下水污染防治措施</w:t>
            </w:r>
          </w:p>
        </w:tc>
        <w:tc>
          <w:tcPr>
            <w:tcW w:w="7215" w:type="dxa"/>
            <w:gridSpan w:val="4"/>
            <w:vAlign w:val="center"/>
          </w:tcPr>
          <w:p w14:paraId="084BB84B">
            <w:pPr>
              <w:adjustRightInd w:val="0"/>
              <w:snapToGrid w:val="0"/>
              <w:spacing w:line="240" w:lineRule="auto"/>
              <w:ind w:firstLine="42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按照相关规范要求进行防渗处理。</w:t>
            </w:r>
          </w:p>
        </w:tc>
      </w:tr>
      <w:tr w14:paraId="4CB9B0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585" w:type="dxa"/>
            <w:vAlign w:val="center"/>
          </w:tcPr>
          <w:p w14:paraId="304AEF76">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生态保护</w:t>
            </w:r>
          </w:p>
          <w:p w14:paraId="45D1514B">
            <w:pPr>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措施</w:t>
            </w:r>
          </w:p>
        </w:tc>
        <w:tc>
          <w:tcPr>
            <w:tcW w:w="7215" w:type="dxa"/>
            <w:gridSpan w:val="4"/>
            <w:vAlign w:val="center"/>
          </w:tcPr>
          <w:p w14:paraId="0A287268">
            <w:pPr>
              <w:adjustRightInd w:val="0"/>
              <w:snapToGrid w:val="0"/>
              <w:spacing w:line="240" w:lineRule="auto"/>
              <w:ind w:firstLine="42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无</w:t>
            </w:r>
          </w:p>
        </w:tc>
      </w:tr>
      <w:tr w14:paraId="248CB7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1585" w:type="dxa"/>
            <w:vAlign w:val="center"/>
          </w:tcPr>
          <w:p w14:paraId="0AA8E1F4">
            <w:pPr>
              <w:adjustRightInd w:val="0"/>
              <w:snapToGrid w:val="0"/>
              <w:spacing w:line="240" w:lineRule="auto"/>
              <w:ind w:firstLine="0" w:firstLineChars="0"/>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color w:val="auto"/>
                <w:spacing w:val="-8"/>
                <w:sz w:val="21"/>
                <w:szCs w:val="21"/>
              </w:rPr>
              <w:t>环境风险</w:t>
            </w:r>
          </w:p>
          <w:p w14:paraId="0BF1102E">
            <w:pPr>
              <w:adjustRightInd w:val="0"/>
              <w:snapToGrid w:val="0"/>
              <w:spacing w:line="240" w:lineRule="auto"/>
              <w:ind w:firstLine="0" w:firstLineChars="0"/>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color w:val="auto"/>
                <w:spacing w:val="-8"/>
                <w:sz w:val="21"/>
                <w:szCs w:val="21"/>
              </w:rPr>
              <w:t>防范措施</w:t>
            </w:r>
          </w:p>
        </w:tc>
        <w:tc>
          <w:tcPr>
            <w:tcW w:w="7215" w:type="dxa"/>
            <w:gridSpan w:val="4"/>
            <w:vAlign w:val="center"/>
          </w:tcPr>
          <w:p w14:paraId="3A067394">
            <w:pPr>
              <w:adjustRightInd w:val="0"/>
              <w:snapToGrid w:val="0"/>
              <w:spacing w:line="240" w:lineRule="auto"/>
              <w:ind w:firstLine="420"/>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加强环境管理，做好物料的储存、采取安全防范措施、运输安全防范措施、安全消防防范措施、非正常排放应急措施、泄漏事故应急措施、火灾事故应急措施等。</w:t>
            </w:r>
          </w:p>
        </w:tc>
      </w:tr>
      <w:tr w14:paraId="6D251B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7" w:hRule="atLeast"/>
          <w:jc w:val="center"/>
        </w:trPr>
        <w:tc>
          <w:tcPr>
            <w:tcW w:w="1585" w:type="dxa"/>
            <w:vAlign w:val="center"/>
          </w:tcPr>
          <w:p w14:paraId="4566A9F1">
            <w:pPr>
              <w:adjustRightInd w:val="0"/>
              <w:snapToGrid w:val="0"/>
              <w:spacing w:line="240" w:lineRule="auto"/>
              <w:ind w:firstLine="0" w:firstLineChars="0"/>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color w:val="auto"/>
                <w:spacing w:val="-8"/>
                <w:sz w:val="21"/>
                <w:szCs w:val="21"/>
              </w:rPr>
              <w:t>其他环境</w:t>
            </w:r>
          </w:p>
          <w:p w14:paraId="0E92635D">
            <w:pPr>
              <w:adjustRightInd w:val="0"/>
              <w:snapToGrid w:val="0"/>
              <w:spacing w:line="240" w:lineRule="auto"/>
              <w:ind w:firstLine="0" w:firstLineChars="0"/>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color w:val="auto"/>
                <w:spacing w:val="-8"/>
                <w:sz w:val="21"/>
                <w:szCs w:val="21"/>
              </w:rPr>
              <w:t>管理要求</w:t>
            </w:r>
          </w:p>
        </w:tc>
        <w:tc>
          <w:tcPr>
            <w:tcW w:w="7215" w:type="dxa"/>
            <w:gridSpan w:val="4"/>
            <w:vAlign w:val="center"/>
          </w:tcPr>
          <w:p w14:paraId="20FA8DFA">
            <w:pPr>
              <w:adjustRightInd w:val="0"/>
              <w:snapToGrid w:val="0"/>
              <w:ind w:firstLine="420"/>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1.排污许可管理要求</w:t>
            </w:r>
          </w:p>
          <w:p w14:paraId="47256339">
            <w:pPr>
              <w:adjustRightInd w:val="0"/>
              <w:snapToGrid w:val="0"/>
              <w:ind w:firstLine="420"/>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根据《固定污染源排污许可分类管理名录（2019年版）》，本项目行业类别属于</w:t>
            </w:r>
            <w:r>
              <w:rPr>
                <w:rFonts w:hint="default" w:ascii="Times New Roman" w:hAnsi="Times New Roman" w:eastAsia="宋体" w:cs="Times New Roman"/>
                <w:color w:val="auto"/>
                <w:kern w:val="0"/>
                <w:sz w:val="21"/>
                <w:szCs w:val="21"/>
                <w:lang w:val="en-US" w:eastAsia="zh-CN"/>
              </w:rPr>
              <w:t>登记</w:t>
            </w:r>
            <w:r>
              <w:rPr>
                <w:rFonts w:hint="default" w:ascii="Times New Roman" w:hAnsi="Times New Roman" w:eastAsia="宋体" w:cs="Times New Roman"/>
                <w:color w:val="auto"/>
                <w:kern w:val="0"/>
                <w:sz w:val="21"/>
                <w:szCs w:val="21"/>
              </w:rPr>
              <w:t>管理；因此，建设单位应当在启动生产设施或者发生实际排污之前</w:t>
            </w:r>
            <w:r>
              <w:rPr>
                <w:rFonts w:hint="default" w:ascii="Times New Roman" w:hAnsi="Times New Roman" w:eastAsia="宋体" w:cs="Times New Roman"/>
                <w:color w:val="auto"/>
                <w:kern w:val="0"/>
                <w:sz w:val="21"/>
                <w:szCs w:val="21"/>
                <w:lang w:val="en-US" w:eastAsia="zh-CN"/>
              </w:rPr>
              <w:t>进行排污登记</w:t>
            </w:r>
            <w:r>
              <w:rPr>
                <w:rFonts w:hint="default" w:ascii="Times New Roman" w:hAnsi="Times New Roman" w:eastAsia="宋体" w:cs="Times New Roman"/>
                <w:color w:val="auto"/>
                <w:kern w:val="0"/>
                <w:sz w:val="21"/>
                <w:szCs w:val="21"/>
              </w:rPr>
              <w:t>。</w:t>
            </w:r>
          </w:p>
          <w:p w14:paraId="005C4C6A">
            <w:pPr>
              <w:adjustRightInd w:val="0"/>
              <w:snapToGrid w:val="0"/>
              <w:ind w:firstLine="420"/>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2.竣工环境保护验收</w:t>
            </w:r>
          </w:p>
          <w:p w14:paraId="6FEC35A7">
            <w:pPr>
              <w:adjustRightInd w:val="0"/>
              <w:snapToGrid w:val="0"/>
              <w:ind w:firstLine="420"/>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根据《建设项目竣工环境保护验收暂行办法》的规定，建设项目竣工后，建设单位应当如实查验、监测、记载建设项目环境保护设施的建设和调试情况，编制验收监测报告。</w:t>
            </w:r>
          </w:p>
          <w:p w14:paraId="74CBADCF">
            <w:pPr>
              <w:adjustRightInd w:val="0"/>
              <w:snapToGrid w:val="0"/>
              <w:ind w:firstLine="420"/>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3</w:t>
            </w:r>
            <w:r>
              <w:rPr>
                <w:rFonts w:hint="default" w:ascii="Times New Roman" w:hAnsi="Times New Roman" w:eastAsia="宋体" w:cs="Times New Roman"/>
                <w:color w:val="auto"/>
                <w:kern w:val="0"/>
                <w:sz w:val="21"/>
                <w:szCs w:val="21"/>
              </w:rPr>
              <w:t>.排污口规范化</w:t>
            </w:r>
          </w:p>
          <w:p w14:paraId="44D7DE2D">
            <w:pPr>
              <w:adjustRightInd w:val="0"/>
              <w:snapToGrid w:val="0"/>
              <w:ind w:firstLine="420"/>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建设单位应按照《关于开展排放口规范化整治工作的通知》（环发〔1999〕24号）和《排污口规范化整治技术要求（试行）》（环监〔1996〕470号）等文件要求，进行排污口规范化设置工作。</w:t>
            </w:r>
          </w:p>
          <w:p w14:paraId="6989F912">
            <w:pPr>
              <w:adjustRightInd w:val="0"/>
              <w:snapToGrid w:val="0"/>
              <w:ind w:firstLine="420"/>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污染物排放口（源）及固体废物贮存、堆放场必须按照国家标准《环境保护图形标志》（GB15562.1-1995，GB15562.2-1995）及修改单的规定设置与之相适应的环境保护图形标志牌。</w:t>
            </w:r>
          </w:p>
          <w:p w14:paraId="72812DE5">
            <w:pPr>
              <w:adjustRightInd w:val="0"/>
              <w:snapToGrid w:val="0"/>
              <w:ind w:firstLine="420"/>
              <w:rPr>
                <w:rFonts w:hint="default" w:ascii="Times New Roman" w:hAnsi="Times New Roman" w:eastAsia="宋体" w:cs="Times New Roman"/>
                <w:color w:val="auto"/>
                <w:kern w:val="0"/>
                <w:sz w:val="21"/>
                <w:szCs w:val="21"/>
              </w:rPr>
            </w:pPr>
          </w:p>
          <w:p w14:paraId="25C65CD9">
            <w:pPr>
              <w:adjustRightInd w:val="0"/>
              <w:snapToGrid w:val="0"/>
              <w:ind w:firstLine="420"/>
              <w:rPr>
                <w:rFonts w:hint="default" w:ascii="Times New Roman" w:hAnsi="Times New Roman" w:eastAsia="宋体" w:cs="Times New Roman"/>
                <w:color w:val="auto"/>
                <w:kern w:val="0"/>
                <w:sz w:val="21"/>
                <w:szCs w:val="21"/>
              </w:rPr>
            </w:pPr>
          </w:p>
        </w:tc>
      </w:tr>
    </w:tbl>
    <w:p w14:paraId="4389CBAE">
      <w:pPr>
        <w:pStyle w:val="2"/>
        <w:spacing w:before="0" w:after="0" w:line="240" w:lineRule="auto"/>
        <w:rPr>
          <w:snapToGrid w:val="0"/>
          <w:color w:val="auto"/>
        </w:rPr>
      </w:pPr>
      <w:r>
        <w:rPr>
          <w:snapToGrid w:val="0"/>
          <w:color w:val="auto"/>
        </w:rPr>
        <w:br w:type="page"/>
      </w:r>
      <w:bookmarkStart w:id="82" w:name="_Toc29662"/>
      <w:bookmarkStart w:id="83" w:name="_Toc18137"/>
      <w:r>
        <w:rPr>
          <w:snapToGrid w:val="0"/>
          <w:color w:val="auto"/>
        </w:rPr>
        <w:t>六、结论</w:t>
      </w:r>
      <w:bookmarkEnd w:id="82"/>
      <w:bookmarkEnd w:id="83"/>
    </w:p>
    <w:tbl>
      <w:tblPr>
        <w:tblStyle w:val="3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6E982E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tcPr>
          <w:p w14:paraId="1857B5A5">
            <w:pPr>
              <w:ind w:firstLine="480"/>
              <w:rPr>
                <w:color w:val="auto"/>
              </w:rPr>
            </w:pPr>
            <w:r>
              <w:rPr>
                <w:rFonts w:hint="eastAsia"/>
                <w:color w:val="auto"/>
              </w:rPr>
              <w:t>本</w:t>
            </w:r>
            <w:r>
              <w:rPr>
                <w:rFonts w:hint="eastAsia" w:ascii="宋体" w:hAnsi="宋体"/>
                <w:color w:val="auto"/>
              </w:rPr>
              <w:t>项目的建设符合国家和地方产业政策，选址合理，项目在落实环评中的污染防治措施后，各项污染物可以达标排放，对环境的影响较小，不会造成区域环境功能的改变，从环境保护的角度来讲，本评价认为项目在坚持“三同时”原则并采取一定的环保措施后，项目建设是可行的</w:t>
            </w:r>
            <w:r>
              <w:rPr>
                <w:rFonts w:hint="eastAsia" w:ascii="宋体" w:hAnsi="宋体" w:cs="宋体"/>
                <w:color w:val="auto"/>
              </w:rPr>
              <w:t>。</w:t>
            </w:r>
          </w:p>
          <w:p w14:paraId="77E02FD6">
            <w:pPr>
              <w:ind w:firstLine="480"/>
              <w:rPr>
                <w:color w:val="auto"/>
              </w:rPr>
            </w:pPr>
          </w:p>
        </w:tc>
      </w:tr>
    </w:tbl>
    <w:p w14:paraId="5F2CD9E2">
      <w:pPr>
        <w:ind w:firstLine="480"/>
        <w:rPr>
          <w:color w:val="auto"/>
        </w:rPr>
        <w:sectPr>
          <w:pgSz w:w="11906" w:h="16838"/>
          <w:pgMar w:top="1587" w:right="1417" w:bottom="1587" w:left="1417" w:header="851" w:footer="851" w:gutter="0"/>
          <w:pgBorders>
            <w:top w:val="none" w:sz="0" w:space="0"/>
            <w:left w:val="none" w:sz="0" w:space="0"/>
            <w:bottom w:val="none" w:sz="0" w:space="0"/>
            <w:right w:val="none" w:sz="0" w:space="0"/>
          </w:pgBorders>
          <w:cols w:space="720" w:num="1"/>
          <w:docGrid w:linePitch="312" w:charSpace="0"/>
        </w:sectPr>
      </w:pPr>
    </w:p>
    <w:p w14:paraId="56AF8F7D">
      <w:pPr>
        <w:adjustRightInd w:val="0"/>
        <w:snapToGrid w:val="0"/>
        <w:ind w:firstLine="640"/>
        <w:outlineLvl w:val="0"/>
        <w:rPr>
          <w:rFonts w:eastAsia="黑体"/>
          <w:snapToGrid w:val="0"/>
          <w:color w:val="auto"/>
          <w:sz w:val="32"/>
          <w:szCs w:val="32"/>
        </w:rPr>
      </w:pPr>
      <w:bookmarkStart w:id="84" w:name="_Toc5496"/>
      <w:r>
        <w:rPr>
          <w:rFonts w:eastAsia="黑体"/>
          <w:snapToGrid w:val="0"/>
          <w:color w:val="auto"/>
          <w:sz w:val="32"/>
          <w:szCs w:val="32"/>
        </w:rPr>
        <w:t>附表</w:t>
      </w:r>
      <w:bookmarkEnd w:id="84"/>
    </w:p>
    <w:p w14:paraId="282086D4">
      <w:pPr>
        <w:adjustRightInd w:val="0"/>
        <w:snapToGrid w:val="0"/>
        <w:ind w:firstLine="760"/>
        <w:jc w:val="center"/>
        <w:rPr>
          <w:rFonts w:eastAsia="方正小标宋_GBK"/>
          <w:snapToGrid w:val="0"/>
          <w:color w:val="auto"/>
          <w:sz w:val="38"/>
          <w:szCs w:val="38"/>
        </w:rPr>
      </w:pPr>
      <w:bookmarkStart w:id="85" w:name="_Toc30777"/>
      <w:r>
        <w:rPr>
          <w:rFonts w:eastAsia="方正小标宋_GBK"/>
          <w:snapToGrid w:val="0"/>
          <w:color w:val="auto"/>
          <w:sz w:val="38"/>
          <w:szCs w:val="38"/>
        </w:rPr>
        <w:t>建设项目污染物排放量汇总表</w:t>
      </w:r>
      <w:bookmarkEnd w:id="85"/>
    </w:p>
    <w:tbl>
      <w:tblPr>
        <w:tblStyle w:val="34"/>
        <w:tblW w:w="13735"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93"/>
        <w:gridCol w:w="1836"/>
        <w:gridCol w:w="1559"/>
        <w:gridCol w:w="1271"/>
        <w:gridCol w:w="1694"/>
        <w:gridCol w:w="1553"/>
        <w:gridCol w:w="1281"/>
        <w:gridCol w:w="1568"/>
        <w:gridCol w:w="1680"/>
      </w:tblGrid>
      <w:tr w14:paraId="05D803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293" w:type="dxa"/>
            <w:tcBorders>
              <w:top w:val="single" w:color="auto" w:sz="12" w:space="0"/>
              <w:left w:val="single" w:color="auto" w:sz="12" w:space="0"/>
              <w:bottom w:val="single" w:color="auto" w:sz="4" w:space="0"/>
              <w:tl2br w:val="single" w:color="auto" w:sz="4" w:space="0"/>
            </w:tcBorders>
            <w:tcMar>
              <w:left w:w="28" w:type="dxa"/>
              <w:right w:w="28" w:type="dxa"/>
            </w:tcMar>
            <w:vAlign w:val="center"/>
          </w:tcPr>
          <w:p w14:paraId="02E13362">
            <w:pPr>
              <w:pStyle w:val="62"/>
              <w:tabs>
                <w:tab w:val="left" w:pos="1485"/>
                <w:tab w:val="center" w:pos="4113"/>
              </w:tabs>
              <w:jc w:val="right"/>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项目</w:t>
            </w:r>
          </w:p>
          <w:p w14:paraId="147CEB34">
            <w:pPr>
              <w:pStyle w:val="62"/>
              <w:tabs>
                <w:tab w:val="left" w:pos="1485"/>
                <w:tab w:val="center" w:pos="4113"/>
              </w:tabs>
              <w:jc w:val="left"/>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分类</w:t>
            </w:r>
          </w:p>
        </w:tc>
        <w:tc>
          <w:tcPr>
            <w:tcW w:w="1836" w:type="dxa"/>
            <w:tcBorders>
              <w:top w:val="single" w:color="auto" w:sz="12" w:space="0"/>
              <w:bottom w:val="single" w:color="auto" w:sz="4" w:space="0"/>
            </w:tcBorders>
            <w:tcMar>
              <w:left w:w="28" w:type="dxa"/>
              <w:right w:w="28" w:type="dxa"/>
            </w:tcMar>
            <w:vAlign w:val="center"/>
          </w:tcPr>
          <w:p w14:paraId="1757F101">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污染物名称</w:t>
            </w:r>
          </w:p>
        </w:tc>
        <w:tc>
          <w:tcPr>
            <w:tcW w:w="1559" w:type="dxa"/>
            <w:tcBorders>
              <w:top w:val="single" w:color="auto" w:sz="12" w:space="0"/>
              <w:bottom w:val="single" w:color="auto" w:sz="4" w:space="0"/>
            </w:tcBorders>
            <w:tcMar>
              <w:left w:w="28" w:type="dxa"/>
              <w:right w:w="28" w:type="dxa"/>
            </w:tcMar>
            <w:vAlign w:val="center"/>
          </w:tcPr>
          <w:p w14:paraId="23C565F1">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现有工程</w:t>
            </w:r>
          </w:p>
          <w:p w14:paraId="66E49954">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排放量（固体废物产生量）</w:t>
            </w:r>
            <w:r>
              <w:rPr>
                <w:rFonts w:hint="default" w:ascii="Times New Roman" w:hAnsi="Times New Roman" w:eastAsia="宋体" w:cs="Times New Roman"/>
                <w:b w:val="0"/>
                <w:bCs/>
                <w:snapToGrid w:val="0"/>
                <w:color w:val="auto"/>
                <w:spacing w:val="-6"/>
                <w:kern w:val="21"/>
                <w:sz w:val="24"/>
                <w:szCs w:val="24"/>
              </w:rPr>
              <w:fldChar w:fldCharType="begin"/>
            </w:r>
            <w:r>
              <w:rPr>
                <w:rFonts w:hint="default" w:ascii="Times New Roman" w:hAnsi="Times New Roman" w:eastAsia="宋体" w:cs="Times New Roman"/>
                <w:b w:val="0"/>
                <w:bCs/>
                <w:snapToGrid w:val="0"/>
                <w:color w:val="auto"/>
                <w:spacing w:val="-6"/>
                <w:kern w:val="21"/>
                <w:sz w:val="24"/>
                <w:szCs w:val="24"/>
              </w:rPr>
              <w:instrText xml:space="preserve"> = 1 \* GB3 \* MERGEFORMAT </w:instrText>
            </w:r>
            <w:r>
              <w:rPr>
                <w:rFonts w:hint="default" w:ascii="Times New Roman" w:hAnsi="Times New Roman" w:eastAsia="宋体" w:cs="Times New Roman"/>
                <w:b w:val="0"/>
                <w:bCs/>
                <w:snapToGrid w:val="0"/>
                <w:color w:val="auto"/>
                <w:spacing w:val="-6"/>
                <w:kern w:val="21"/>
                <w:sz w:val="24"/>
                <w:szCs w:val="24"/>
              </w:rPr>
              <w:fldChar w:fldCharType="separate"/>
            </w:r>
            <w:r>
              <w:rPr>
                <w:rFonts w:hint="default" w:ascii="Times New Roman" w:hAnsi="Times New Roman" w:eastAsia="宋体" w:cs="Times New Roman"/>
                <w:b w:val="0"/>
                <w:bCs/>
                <w:color w:val="auto"/>
                <w:kern w:val="2"/>
                <w:sz w:val="24"/>
                <w:szCs w:val="24"/>
              </w:rPr>
              <w:t>①</w:t>
            </w:r>
            <w:r>
              <w:rPr>
                <w:rFonts w:hint="default" w:ascii="Times New Roman" w:hAnsi="Times New Roman" w:eastAsia="宋体" w:cs="Times New Roman"/>
                <w:b w:val="0"/>
                <w:bCs/>
                <w:snapToGrid w:val="0"/>
                <w:color w:val="auto"/>
                <w:spacing w:val="-6"/>
                <w:kern w:val="21"/>
                <w:sz w:val="24"/>
                <w:szCs w:val="24"/>
              </w:rPr>
              <w:fldChar w:fldCharType="end"/>
            </w:r>
          </w:p>
        </w:tc>
        <w:tc>
          <w:tcPr>
            <w:tcW w:w="1271" w:type="dxa"/>
            <w:tcBorders>
              <w:top w:val="single" w:color="auto" w:sz="12" w:space="0"/>
              <w:bottom w:val="single" w:color="auto" w:sz="4" w:space="0"/>
            </w:tcBorders>
            <w:tcMar>
              <w:left w:w="28" w:type="dxa"/>
              <w:right w:w="28" w:type="dxa"/>
            </w:tcMar>
            <w:vAlign w:val="center"/>
          </w:tcPr>
          <w:p w14:paraId="6ADB0FFE">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现有工程</w:t>
            </w:r>
          </w:p>
          <w:p w14:paraId="7101735D">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许可排放量</w:t>
            </w:r>
          </w:p>
          <w:p w14:paraId="5FB3ACCC">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fldChar w:fldCharType="begin"/>
            </w:r>
            <w:r>
              <w:rPr>
                <w:rFonts w:hint="default" w:ascii="Times New Roman" w:hAnsi="Times New Roman" w:eastAsia="宋体" w:cs="Times New Roman"/>
                <w:b w:val="0"/>
                <w:bCs/>
                <w:snapToGrid w:val="0"/>
                <w:color w:val="auto"/>
                <w:spacing w:val="-6"/>
                <w:kern w:val="21"/>
                <w:sz w:val="24"/>
                <w:szCs w:val="24"/>
              </w:rPr>
              <w:instrText xml:space="preserve"> = 2 \* GB3 \* MERGEFORMAT </w:instrText>
            </w:r>
            <w:r>
              <w:rPr>
                <w:rFonts w:hint="default" w:ascii="Times New Roman" w:hAnsi="Times New Roman" w:eastAsia="宋体" w:cs="Times New Roman"/>
                <w:b w:val="0"/>
                <w:bCs/>
                <w:snapToGrid w:val="0"/>
                <w:color w:val="auto"/>
                <w:spacing w:val="-6"/>
                <w:kern w:val="21"/>
                <w:sz w:val="24"/>
                <w:szCs w:val="24"/>
              </w:rPr>
              <w:fldChar w:fldCharType="separate"/>
            </w:r>
            <w:r>
              <w:rPr>
                <w:rFonts w:hint="default" w:ascii="Times New Roman" w:hAnsi="Times New Roman" w:eastAsia="宋体" w:cs="Times New Roman"/>
                <w:b w:val="0"/>
                <w:bCs/>
                <w:snapToGrid w:val="0"/>
                <w:color w:val="auto"/>
                <w:spacing w:val="-6"/>
                <w:kern w:val="21"/>
                <w:sz w:val="24"/>
                <w:szCs w:val="24"/>
              </w:rPr>
              <w:t>②</w:t>
            </w:r>
            <w:r>
              <w:rPr>
                <w:rFonts w:hint="default" w:ascii="Times New Roman" w:hAnsi="Times New Roman" w:eastAsia="宋体" w:cs="Times New Roman"/>
                <w:b w:val="0"/>
                <w:bCs/>
                <w:snapToGrid w:val="0"/>
                <w:color w:val="auto"/>
                <w:spacing w:val="-6"/>
                <w:kern w:val="21"/>
                <w:sz w:val="24"/>
                <w:szCs w:val="24"/>
              </w:rPr>
              <w:fldChar w:fldCharType="end"/>
            </w:r>
          </w:p>
        </w:tc>
        <w:tc>
          <w:tcPr>
            <w:tcW w:w="1694" w:type="dxa"/>
            <w:tcBorders>
              <w:top w:val="single" w:color="auto" w:sz="12" w:space="0"/>
              <w:bottom w:val="single" w:color="auto" w:sz="4" w:space="0"/>
            </w:tcBorders>
            <w:tcMar>
              <w:left w:w="28" w:type="dxa"/>
              <w:right w:w="28" w:type="dxa"/>
            </w:tcMar>
            <w:vAlign w:val="center"/>
          </w:tcPr>
          <w:p w14:paraId="0AF8EB40">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在建工程</w:t>
            </w:r>
          </w:p>
          <w:p w14:paraId="0A65A143">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排放量（固体废物产生量）</w:t>
            </w:r>
            <w:r>
              <w:rPr>
                <w:rFonts w:hint="default" w:ascii="Times New Roman" w:hAnsi="Times New Roman" w:eastAsia="宋体" w:cs="Times New Roman"/>
                <w:b w:val="0"/>
                <w:bCs/>
                <w:snapToGrid w:val="0"/>
                <w:color w:val="auto"/>
                <w:spacing w:val="-6"/>
                <w:kern w:val="21"/>
                <w:sz w:val="24"/>
                <w:szCs w:val="24"/>
              </w:rPr>
              <w:fldChar w:fldCharType="begin"/>
            </w:r>
            <w:r>
              <w:rPr>
                <w:rFonts w:hint="default" w:ascii="Times New Roman" w:hAnsi="Times New Roman" w:eastAsia="宋体" w:cs="Times New Roman"/>
                <w:b w:val="0"/>
                <w:bCs/>
                <w:snapToGrid w:val="0"/>
                <w:color w:val="auto"/>
                <w:spacing w:val="-6"/>
                <w:kern w:val="21"/>
                <w:sz w:val="24"/>
                <w:szCs w:val="24"/>
              </w:rPr>
              <w:instrText xml:space="preserve"> = 3 \* GB3 \* MERGEFORMAT </w:instrText>
            </w:r>
            <w:r>
              <w:rPr>
                <w:rFonts w:hint="default" w:ascii="Times New Roman" w:hAnsi="Times New Roman" w:eastAsia="宋体" w:cs="Times New Roman"/>
                <w:b w:val="0"/>
                <w:bCs/>
                <w:snapToGrid w:val="0"/>
                <w:color w:val="auto"/>
                <w:spacing w:val="-6"/>
                <w:kern w:val="21"/>
                <w:sz w:val="24"/>
                <w:szCs w:val="24"/>
              </w:rPr>
              <w:fldChar w:fldCharType="separate"/>
            </w:r>
            <w:r>
              <w:rPr>
                <w:rFonts w:hint="default" w:ascii="Times New Roman" w:hAnsi="Times New Roman" w:eastAsia="宋体" w:cs="Times New Roman"/>
                <w:b w:val="0"/>
                <w:bCs/>
                <w:color w:val="auto"/>
                <w:kern w:val="2"/>
                <w:sz w:val="24"/>
                <w:szCs w:val="24"/>
              </w:rPr>
              <w:t>③</w:t>
            </w:r>
            <w:r>
              <w:rPr>
                <w:rFonts w:hint="default" w:ascii="Times New Roman" w:hAnsi="Times New Roman" w:eastAsia="宋体" w:cs="Times New Roman"/>
                <w:b w:val="0"/>
                <w:bCs/>
                <w:snapToGrid w:val="0"/>
                <w:color w:val="auto"/>
                <w:spacing w:val="-6"/>
                <w:kern w:val="21"/>
                <w:sz w:val="24"/>
                <w:szCs w:val="24"/>
              </w:rPr>
              <w:fldChar w:fldCharType="end"/>
            </w:r>
          </w:p>
        </w:tc>
        <w:tc>
          <w:tcPr>
            <w:tcW w:w="1553" w:type="dxa"/>
            <w:tcBorders>
              <w:top w:val="single" w:color="auto" w:sz="12" w:space="0"/>
              <w:bottom w:val="single" w:color="auto" w:sz="4" w:space="0"/>
            </w:tcBorders>
            <w:tcMar>
              <w:left w:w="28" w:type="dxa"/>
              <w:right w:w="28" w:type="dxa"/>
            </w:tcMar>
            <w:vAlign w:val="center"/>
          </w:tcPr>
          <w:p w14:paraId="77E844DA">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本项目</w:t>
            </w:r>
          </w:p>
          <w:p w14:paraId="24A66445">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排放量（固体废物产生量）</w:t>
            </w:r>
            <w:r>
              <w:rPr>
                <w:rFonts w:hint="default" w:ascii="Times New Roman" w:hAnsi="Times New Roman" w:eastAsia="宋体" w:cs="Times New Roman"/>
                <w:b w:val="0"/>
                <w:bCs/>
                <w:snapToGrid w:val="0"/>
                <w:color w:val="auto"/>
                <w:spacing w:val="-6"/>
                <w:kern w:val="21"/>
                <w:sz w:val="24"/>
                <w:szCs w:val="24"/>
              </w:rPr>
              <w:fldChar w:fldCharType="begin"/>
            </w:r>
            <w:r>
              <w:rPr>
                <w:rFonts w:hint="default" w:ascii="Times New Roman" w:hAnsi="Times New Roman" w:eastAsia="宋体" w:cs="Times New Roman"/>
                <w:b w:val="0"/>
                <w:bCs/>
                <w:snapToGrid w:val="0"/>
                <w:color w:val="auto"/>
                <w:spacing w:val="-6"/>
                <w:kern w:val="21"/>
                <w:sz w:val="24"/>
                <w:szCs w:val="24"/>
              </w:rPr>
              <w:instrText xml:space="preserve"> = 4 \* GB3 \* MERGEFORMAT </w:instrText>
            </w:r>
            <w:r>
              <w:rPr>
                <w:rFonts w:hint="default" w:ascii="Times New Roman" w:hAnsi="Times New Roman" w:eastAsia="宋体" w:cs="Times New Roman"/>
                <w:b w:val="0"/>
                <w:bCs/>
                <w:snapToGrid w:val="0"/>
                <w:color w:val="auto"/>
                <w:spacing w:val="-6"/>
                <w:kern w:val="21"/>
                <w:sz w:val="24"/>
                <w:szCs w:val="24"/>
              </w:rPr>
              <w:fldChar w:fldCharType="separate"/>
            </w:r>
            <w:r>
              <w:rPr>
                <w:rFonts w:hint="default" w:ascii="Times New Roman" w:hAnsi="Times New Roman" w:eastAsia="宋体" w:cs="Times New Roman"/>
                <w:b w:val="0"/>
                <w:bCs/>
                <w:color w:val="auto"/>
                <w:kern w:val="2"/>
                <w:sz w:val="24"/>
                <w:szCs w:val="24"/>
              </w:rPr>
              <w:t>④</w:t>
            </w:r>
            <w:r>
              <w:rPr>
                <w:rFonts w:hint="default" w:ascii="Times New Roman" w:hAnsi="Times New Roman" w:eastAsia="宋体" w:cs="Times New Roman"/>
                <w:b w:val="0"/>
                <w:bCs/>
                <w:snapToGrid w:val="0"/>
                <w:color w:val="auto"/>
                <w:spacing w:val="-6"/>
                <w:kern w:val="21"/>
                <w:sz w:val="24"/>
                <w:szCs w:val="24"/>
              </w:rPr>
              <w:fldChar w:fldCharType="end"/>
            </w:r>
          </w:p>
        </w:tc>
        <w:tc>
          <w:tcPr>
            <w:tcW w:w="1281" w:type="dxa"/>
            <w:tcBorders>
              <w:top w:val="single" w:color="auto" w:sz="12" w:space="0"/>
              <w:bottom w:val="single" w:color="auto" w:sz="4" w:space="0"/>
            </w:tcBorders>
            <w:tcMar>
              <w:left w:w="28" w:type="dxa"/>
              <w:right w:w="28" w:type="dxa"/>
            </w:tcMar>
            <w:vAlign w:val="center"/>
          </w:tcPr>
          <w:p w14:paraId="1E617553">
            <w:pPr>
              <w:pStyle w:val="62"/>
              <w:tabs>
                <w:tab w:val="left" w:pos="1485"/>
                <w:tab w:val="center" w:pos="4113"/>
              </w:tabs>
              <w:rPr>
                <w:rFonts w:hint="default" w:ascii="Times New Roman" w:hAnsi="Times New Roman" w:eastAsia="宋体" w:cs="Times New Roman"/>
                <w:b w:val="0"/>
                <w:bCs/>
                <w:snapToGrid w:val="0"/>
                <w:color w:val="auto"/>
                <w:spacing w:val="-16"/>
                <w:kern w:val="21"/>
                <w:sz w:val="24"/>
                <w:szCs w:val="24"/>
              </w:rPr>
            </w:pPr>
            <w:r>
              <w:rPr>
                <w:rFonts w:hint="default" w:ascii="Times New Roman" w:hAnsi="Times New Roman" w:eastAsia="宋体" w:cs="Times New Roman"/>
                <w:b w:val="0"/>
                <w:bCs/>
                <w:snapToGrid w:val="0"/>
                <w:color w:val="auto"/>
                <w:spacing w:val="-16"/>
                <w:kern w:val="21"/>
                <w:sz w:val="24"/>
                <w:szCs w:val="24"/>
              </w:rPr>
              <w:t>以新带老削减量（新建项目不填）</w:t>
            </w:r>
            <w:r>
              <w:rPr>
                <w:rFonts w:hint="default" w:ascii="Times New Roman" w:hAnsi="Times New Roman" w:eastAsia="宋体" w:cs="Times New Roman"/>
                <w:b w:val="0"/>
                <w:bCs/>
                <w:snapToGrid w:val="0"/>
                <w:color w:val="auto"/>
                <w:spacing w:val="-16"/>
                <w:kern w:val="21"/>
                <w:sz w:val="24"/>
                <w:szCs w:val="24"/>
              </w:rPr>
              <w:fldChar w:fldCharType="begin"/>
            </w:r>
            <w:r>
              <w:rPr>
                <w:rFonts w:hint="default" w:ascii="Times New Roman" w:hAnsi="Times New Roman" w:eastAsia="宋体" w:cs="Times New Roman"/>
                <w:b w:val="0"/>
                <w:bCs/>
                <w:snapToGrid w:val="0"/>
                <w:color w:val="auto"/>
                <w:spacing w:val="-16"/>
                <w:kern w:val="21"/>
                <w:sz w:val="24"/>
                <w:szCs w:val="24"/>
              </w:rPr>
              <w:instrText xml:space="preserve"> = 5 \* GB3 \* MERGEFORMAT </w:instrText>
            </w:r>
            <w:r>
              <w:rPr>
                <w:rFonts w:hint="default" w:ascii="Times New Roman" w:hAnsi="Times New Roman" w:eastAsia="宋体" w:cs="Times New Roman"/>
                <w:b w:val="0"/>
                <w:bCs/>
                <w:snapToGrid w:val="0"/>
                <w:color w:val="auto"/>
                <w:spacing w:val="-16"/>
                <w:kern w:val="21"/>
                <w:sz w:val="24"/>
                <w:szCs w:val="24"/>
              </w:rPr>
              <w:fldChar w:fldCharType="separate"/>
            </w:r>
            <w:r>
              <w:rPr>
                <w:rFonts w:hint="default" w:ascii="Times New Roman" w:hAnsi="Times New Roman" w:eastAsia="宋体" w:cs="Times New Roman"/>
                <w:b w:val="0"/>
                <w:bCs/>
                <w:color w:val="auto"/>
                <w:kern w:val="2"/>
                <w:sz w:val="24"/>
                <w:szCs w:val="24"/>
              </w:rPr>
              <w:t>⑤</w:t>
            </w:r>
            <w:r>
              <w:rPr>
                <w:rFonts w:hint="default" w:ascii="Times New Roman" w:hAnsi="Times New Roman" w:eastAsia="宋体" w:cs="Times New Roman"/>
                <w:b w:val="0"/>
                <w:bCs/>
                <w:snapToGrid w:val="0"/>
                <w:color w:val="auto"/>
                <w:spacing w:val="-16"/>
                <w:kern w:val="21"/>
                <w:sz w:val="24"/>
                <w:szCs w:val="24"/>
              </w:rPr>
              <w:fldChar w:fldCharType="end"/>
            </w:r>
          </w:p>
        </w:tc>
        <w:tc>
          <w:tcPr>
            <w:tcW w:w="1568" w:type="dxa"/>
            <w:tcBorders>
              <w:top w:val="single" w:color="auto" w:sz="12" w:space="0"/>
              <w:bottom w:val="single" w:color="auto" w:sz="4" w:space="0"/>
            </w:tcBorders>
            <w:tcMar>
              <w:left w:w="28" w:type="dxa"/>
              <w:right w:w="28" w:type="dxa"/>
            </w:tcMar>
            <w:vAlign w:val="center"/>
          </w:tcPr>
          <w:p w14:paraId="1BDEA4DB">
            <w:pPr>
              <w:pStyle w:val="62"/>
              <w:tabs>
                <w:tab w:val="left" w:pos="1485"/>
                <w:tab w:val="center" w:pos="4113"/>
              </w:tabs>
              <w:rPr>
                <w:rFonts w:hint="default" w:ascii="Times New Roman" w:hAnsi="Times New Roman" w:eastAsia="宋体" w:cs="Times New Roman"/>
                <w:b w:val="0"/>
                <w:bCs/>
                <w:snapToGrid w:val="0"/>
                <w:color w:val="auto"/>
                <w:spacing w:val="-16"/>
                <w:kern w:val="21"/>
                <w:sz w:val="24"/>
                <w:szCs w:val="24"/>
              </w:rPr>
            </w:pPr>
            <w:r>
              <w:rPr>
                <w:rFonts w:hint="default" w:ascii="Times New Roman" w:hAnsi="Times New Roman" w:eastAsia="宋体" w:cs="Times New Roman"/>
                <w:b w:val="0"/>
                <w:bCs/>
                <w:snapToGrid w:val="0"/>
                <w:color w:val="auto"/>
                <w:spacing w:val="-16"/>
                <w:kern w:val="21"/>
                <w:sz w:val="24"/>
                <w:szCs w:val="24"/>
              </w:rPr>
              <w:t>本项目建成后</w:t>
            </w:r>
          </w:p>
          <w:p w14:paraId="476725C6">
            <w:pPr>
              <w:pStyle w:val="62"/>
              <w:tabs>
                <w:tab w:val="left" w:pos="1485"/>
                <w:tab w:val="center" w:pos="4113"/>
              </w:tabs>
              <w:rPr>
                <w:rFonts w:hint="default" w:ascii="Times New Roman" w:hAnsi="Times New Roman" w:eastAsia="宋体" w:cs="Times New Roman"/>
                <w:b w:val="0"/>
                <w:bCs/>
                <w:snapToGrid w:val="0"/>
                <w:color w:val="auto"/>
                <w:spacing w:val="-16"/>
                <w:kern w:val="21"/>
                <w:sz w:val="24"/>
                <w:szCs w:val="24"/>
              </w:rPr>
            </w:pPr>
            <w:r>
              <w:rPr>
                <w:rFonts w:hint="default" w:ascii="Times New Roman" w:hAnsi="Times New Roman" w:eastAsia="宋体" w:cs="Times New Roman"/>
                <w:b w:val="0"/>
                <w:bCs/>
                <w:snapToGrid w:val="0"/>
                <w:color w:val="auto"/>
                <w:spacing w:val="-16"/>
                <w:kern w:val="21"/>
                <w:sz w:val="24"/>
                <w:szCs w:val="24"/>
              </w:rPr>
              <w:t>全厂排放量（固体废物产生量）</w:t>
            </w:r>
            <w:r>
              <w:rPr>
                <w:rFonts w:hint="default" w:ascii="Times New Roman" w:hAnsi="Times New Roman" w:eastAsia="宋体" w:cs="Times New Roman"/>
                <w:b w:val="0"/>
                <w:bCs/>
                <w:snapToGrid w:val="0"/>
                <w:color w:val="auto"/>
                <w:spacing w:val="-16"/>
                <w:kern w:val="21"/>
                <w:sz w:val="24"/>
                <w:szCs w:val="24"/>
              </w:rPr>
              <w:fldChar w:fldCharType="begin"/>
            </w:r>
            <w:r>
              <w:rPr>
                <w:rFonts w:hint="default" w:ascii="Times New Roman" w:hAnsi="Times New Roman" w:eastAsia="宋体" w:cs="Times New Roman"/>
                <w:b w:val="0"/>
                <w:bCs/>
                <w:snapToGrid w:val="0"/>
                <w:color w:val="auto"/>
                <w:spacing w:val="-16"/>
                <w:kern w:val="21"/>
                <w:sz w:val="24"/>
                <w:szCs w:val="24"/>
              </w:rPr>
              <w:instrText xml:space="preserve"> = 6 \* GB3 \* MERGEFORMAT </w:instrText>
            </w:r>
            <w:r>
              <w:rPr>
                <w:rFonts w:hint="default" w:ascii="Times New Roman" w:hAnsi="Times New Roman" w:eastAsia="宋体" w:cs="Times New Roman"/>
                <w:b w:val="0"/>
                <w:bCs/>
                <w:snapToGrid w:val="0"/>
                <w:color w:val="auto"/>
                <w:spacing w:val="-16"/>
                <w:kern w:val="21"/>
                <w:sz w:val="24"/>
                <w:szCs w:val="24"/>
              </w:rPr>
              <w:fldChar w:fldCharType="separate"/>
            </w:r>
            <w:r>
              <w:rPr>
                <w:rFonts w:hint="default" w:ascii="Times New Roman" w:hAnsi="Times New Roman" w:eastAsia="宋体" w:cs="Times New Roman"/>
                <w:b w:val="0"/>
                <w:bCs/>
                <w:color w:val="auto"/>
                <w:kern w:val="2"/>
                <w:sz w:val="24"/>
                <w:szCs w:val="24"/>
              </w:rPr>
              <w:t>⑥</w:t>
            </w:r>
            <w:r>
              <w:rPr>
                <w:rFonts w:hint="default" w:ascii="Times New Roman" w:hAnsi="Times New Roman" w:eastAsia="宋体" w:cs="Times New Roman"/>
                <w:b w:val="0"/>
                <w:bCs/>
                <w:snapToGrid w:val="0"/>
                <w:color w:val="auto"/>
                <w:spacing w:val="-16"/>
                <w:kern w:val="21"/>
                <w:sz w:val="24"/>
                <w:szCs w:val="24"/>
              </w:rPr>
              <w:fldChar w:fldCharType="end"/>
            </w:r>
          </w:p>
        </w:tc>
        <w:tc>
          <w:tcPr>
            <w:tcW w:w="1680" w:type="dxa"/>
            <w:tcBorders>
              <w:top w:val="single" w:color="auto" w:sz="12" w:space="0"/>
              <w:bottom w:val="single" w:color="auto" w:sz="4" w:space="0"/>
              <w:right w:val="single" w:color="auto" w:sz="12" w:space="0"/>
            </w:tcBorders>
            <w:tcMar>
              <w:left w:w="28" w:type="dxa"/>
              <w:right w:w="28" w:type="dxa"/>
            </w:tcMar>
            <w:vAlign w:val="center"/>
          </w:tcPr>
          <w:p w14:paraId="5B20E9F4">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t>变化量</w:t>
            </w:r>
          </w:p>
          <w:p w14:paraId="18BC2B5B">
            <w:pPr>
              <w:pStyle w:val="62"/>
              <w:tabs>
                <w:tab w:val="left" w:pos="1485"/>
                <w:tab w:val="center" w:pos="4113"/>
              </w:tabs>
              <w:rPr>
                <w:rFonts w:hint="default" w:ascii="Times New Roman" w:hAnsi="Times New Roman" w:eastAsia="宋体" w:cs="Times New Roman"/>
                <w:b w:val="0"/>
                <w:bCs/>
                <w:snapToGrid w:val="0"/>
                <w:color w:val="auto"/>
                <w:spacing w:val="-6"/>
                <w:kern w:val="21"/>
                <w:sz w:val="24"/>
                <w:szCs w:val="24"/>
              </w:rPr>
            </w:pPr>
            <w:r>
              <w:rPr>
                <w:rFonts w:hint="default" w:ascii="Times New Roman" w:hAnsi="Times New Roman" w:eastAsia="宋体" w:cs="Times New Roman"/>
                <w:b w:val="0"/>
                <w:bCs/>
                <w:snapToGrid w:val="0"/>
                <w:color w:val="auto"/>
                <w:spacing w:val="-6"/>
                <w:kern w:val="21"/>
                <w:sz w:val="24"/>
                <w:szCs w:val="24"/>
              </w:rPr>
              <w:fldChar w:fldCharType="begin"/>
            </w:r>
            <w:r>
              <w:rPr>
                <w:rFonts w:hint="default" w:ascii="Times New Roman" w:hAnsi="Times New Roman" w:eastAsia="宋体" w:cs="Times New Roman"/>
                <w:b w:val="0"/>
                <w:bCs/>
                <w:snapToGrid w:val="0"/>
                <w:color w:val="auto"/>
                <w:spacing w:val="-6"/>
                <w:kern w:val="21"/>
                <w:sz w:val="24"/>
                <w:szCs w:val="24"/>
              </w:rPr>
              <w:instrText xml:space="preserve"> = 7 \* GB3 \* MERGEFORMAT </w:instrText>
            </w:r>
            <w:r>
              <w:rPr>
                <w:rFonts w:hint="default" w:ascii="Times New Roman" w:hAnsi="Times New Roman" w:eastAsia="宋体" w:cs="Times New Roman"/>
                <w:b w:val="0"/>
                <w:bCs/>
                <w:snapToGrid w:val="0"/>
                <w:color w:val="auto"/>
                <w:spacing w:val="-6"/>
                <w:kern w:val="21"/>
                <w:sz w:val="24"/>
                <w:szCs w:val="24"/>
              </w:rPr>
              <w:fldChar w:fldCharType="separate"/>
            </w:r>
            <w:r>
              <w:rPr>
                <w:rFonts w:hint="default" w:ascii="Times New Roman" w:hAnsi="Times New Roman" w:eastAsia="宋体" w:cs="Times New Roman"/>
                <w:b w:val="0"/>
                <w:bCs/>
                <w:color w:val="auto"/>
                <w:kern w:val="2"/>
                <w:sz w:val="24"/>
                <w:szCs w:val="24"/>
              </w:rPr>
              <w:t>⑦</w:t>
            </w:r>
            <w:r>
              <w:rPr>
                <w:rFonts w:hint="default" w:ascii="Times New Roman" w:hAnsi="Times New Roman" w:eastAsia="宋体" w:cs="Times New Roman"/>
                <w:b w:val="0"/>
                <w:bCs/>
                <w:snapToGrid w:val="0"/>
                <w:color w:val="auto"/>
                <w:spacing w:val="-6"/>
                <w:kern w:val="21"/>
                <w:sz w:val="24"/>
                <w:szCs w:val="24"/>
              </w:rPr>
              <w:fldChar w:fldCharType="end"/>
            </w:r>
          </w:p>
        </w:tc>
      </w:tr>
      <w:tr w14:paraId="6C9B15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293" w:type="dxa"/>
            <w:vMerge w:val="restart"/>
            <w:tcBorders>
              <w:top w:val="single" w:color="auto" w:sz="4" w:space="0"/>
              <w:left w:val="single" w:color="auto" w:sz="12" w:space="0"/>
            </w:tcBorders>
            <w:vAlign w:val="center"/>
          </w:tcPr>
          <w:p w14:paraId="4B0162C6">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废气</w:t>
            </w:r>
          </w:p>
        </w:tc>
        <w:tc>
          <w:tcPr>
            <w:tcW w:w="1836" w:type="dxa"/>
            <w:tcBorders>
              <w:top w:val="single" w:color="auto" w:sz="4" w:space="0"/>
              <w:bottom w:val="single" w:color="auto" w:sz="4" w:space="0"/>
            </w:tcBorders>
            <w:vAlign w:val="center"/>
          </w:tcPr>
          <w:p w14:paraId="0F372C6F">
            <w:pPr>
              <w:pStyle w:val="62"/>
              <w:tabs>
                <w:tab w:val="left" w:pos="1485"/>
                <w:tab w:val="center" w:pos="4113"/>
              </w:tabs>
              <w:rPr>
                <w:rFonts w:hint="default" w:ascii="Times New Roman" w:hAnsi="Times New Roman" w:eastAsia="宋体" w:cs="Times New Roman"/>
                <w:b w:val="0"/>
                <w:bCs/>
                <w:snapToGrid w:val="0"/>
                <w:color w:val="auto"/>
                <w:kern w:val="21"/>
                <w:sz w:val="24"/>
                <w:szCs w:val="24"/>
                <w:lang w:eastAsia="zh-CN"/>
              </w:rPr>
            </w:pPr>
            <w:r>
              <w:rPr>
                <w:rFonts w:hint="default" w:ascii="Times New Roman" w:hAnsi="Times New Roman" w:eastAsia="宋体" w:cs="Times New Roman"/>
                <w:b w:val="0"/>
                <w:bCs/>
                <w:snapToGrid w:val="0"/>
                <w:color w:val="auto"/>
                <w:kern w:val="21"/>
                <w:sz w:val="24"/>
                <w:szCs w:val="24"/>
                <w:lang w:val="en-US" w:eastAsia="zh-CN"/>
              </w:rPr>
              <w:t>氨</w:t>
            </w:r>
          </w:p>
        </w:tc>
        <w:tc>
          <w:tcPr>
            <w:tcW w:w="1559" w:type="dxa"/>
            <w:tcBorders>
              <w:top w:val="single" w:color="auto" w:sz="4" w:space="0"/>
              <w:bottom w:val="single" w:color="auto" w:sz="4" w:space="0"/>
            </w:tcBorders>
            <w:vAlign w:val="center"/>
          </w:tcPr>
          <w:p w14:paraId="52B06462">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271" w:type="dxa"/>
            <w:tcBorders>
              <w:top w:val="single" w:color="auto" w:sz="4" w:space="0"/>
              <w:bottom w:val="single" w:color="auto" w:sz="4" w:space="0"/>
            </w:tcBorders>
            <w:vAlign w:val="center"/>
          </w:tcPr>
          <w:p w14:paraId="5407D712">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4BD2B4B7">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6D6BAEE3">
            <w:pPr>
              <w:pStyle w:val="62"/>
              <w:tabs>
                <w:tab w:val="left" w:pos="1485"/>
                <w:tab w:val="center" w:pos="4113"/>
              </w:tabs>
              <w:spacing w:before="31" w:after="31"/>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0.411</w:t>
            </w:r>
            <w:r>
              <w:rPr>
                <w:rFonts w:hint="default" w:ascii="Times New Roman" w:hAnsi="Times New Roman" w:eastAsia="宋体" w:cs="Times New Roman"/>
                <w:b w:val="0"/>
                <w:bCs/>
                <w:snapToGrid w:val="0"/>
                <w:color w:val="auto"/>
                <w:kern w:val="21"/>
                <w:sz w:val="24"/>
                <w:szCs w:val="24"/>
              </w:rPr>
              <w:t>t/a</w:t>
            </w:r>
          </w:p>
        </w:tc>
        <w:tc>
          <w:tcPr>
            <w:tcW w:w="1281" w:type="dxa"/>
            <w:tcBorders>
              <w:top w:val="single" w:color="auto" w:sz="4" w:space="0"/>
              <w:bottom w:val="single" w:color="auto" w:sz="4" w:space="0"/>
            </w:tcBorders>
            <w:vAlign w:val="center"/>
          </w:tcPr>
          <w:p w14:paraId="57213592">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30110CAA">
            <w:pPr>
              <w:adjustRightInd w:val="0"/>
              <w:snapToGrid w:val="0"/>
              <w:spacing w:before="31" w:after="31"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0.411</w:t>
            </w:r>
            <w:r>
              <w:rPr>
                <w:rFonts w:hint="default" w:ascii="Times New Roman" w:hAnsi="Times New Roman" w:eastAsia="宋体" w:cs="Times New Roman"/>
                <w:b w:val="0"/>
                <w:bCs/>
                <w:snapToGrid w:val="0"/>
                <w:color w:val="auto"/>
                <w:kern w:val="21"/>
                <w:sz w:val="24"/>
                <w:szCs w:val="24"/>
              </w:rPr>
              <w:t>t/a</w:t>
            </w:r>
          </w:p>
        </w:tc>
        <w:tc>
          <w:tcPr>
            <w:tcW w:w="1680" w:type="dxa"/>
            <w:tcBorders>
              <w:top w:val="single" w:color="auto" w:sz="4" w:space="0"/>
              <w:bottom w:val="single" w:color="auto" w:sz="4" w:space="0"/>
              <w:right w:val="single" w:color="auto" w:sz="12" w:space="0"/>
            </w:tcBorders>
            <w:vAlign w:val="center"/>
          </w:tcPr>
          <w:p w14:paraId="191F9B72">
            <w:pPr>
              <w:adjustRightInd w:val="0"/>
              <w:snapToGrid w:val="0"/>
              <w:spacing w:before="31" w:after="31"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+0.411</w:t>
            </w:r>
            <w:r>
              <w:rPr>
                <w:rFonts w:hint="default" w:ascii="Times New Roman" w:hAnsi="Times New Roman" w:eastAsia="宋体" w:cs="Times New Roman"/>
                <w:b w:val="0"/>
                <w:bCs/>
                <w:snapToGrid w:val="0"/>
                <w:color w:val="auto"/>
                <w:kern w:val="21"/>
                <w:sz w:val="24"/>
                <w:szCs w:val="24"/>
              </w:rPr>
              <w:t>t/a</w:t>
            </w:r>
          </w:p>
        </w:tc>
      </w:tr>
      <w:tr w14:paraId="7A2695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293" w:type="dxa"/>
            <w:vMerge w:val="continue"/>
            <w:tcBorders>
              <w:left w:val="single" w:color="auto" w:sz="12" w:space="0"/>
            </w:tcBorders>
            <w:vAlign w:val="center"/>
          </w:tcPr>
          <w:p w14:paraId="23D7D5EC">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783AD098">
            <w:pPr>
              <w:pStyle w:val="62"/>
              <w:tabs>
                <w:tab w:val="left" w:pos="1485"/>
                <w:tab w:val="center" w:pos="4113"/>
              </w:tabs>
              <w:rPr>
                <w:rFonts w:hint="default" w:ascii="Times New Roman" w:hAnsi="Times New Roman" w:eastAsia="宋体" w:cs="Times New Roman"/>
                <w:b w:val="0"/>
                <w:bCs/>
                <w:snapToGrid w:val="0"/>
                <w:color w:val="auto"/>
                <w:kern w:val="21"/>
                <w:sz w:val="24"/>
                <w:szCs w:val="24"/>
                <w:lang w:val="en-US" w:eastAsia="zh-CN"/>
              </w:rPr>
            </w:pPr>
            <w:r>
              <w:rPr>
                <w:rFonts w:hint="default" w:ascii="Times New Roman" w:hAnsi="Times New Roman" w:eastAsia="宋体" w:cs="Times New Roman"/>
                <w:b w:val="0"/>
                <w:bCs/>
                <w:snapToGrid w:val="0"/>
                <w:color w:val="auto"/>
                <w:kern w:val="21"/>
                <w:sz w:val="24"/>
                <w:szCs w:val="24"/>
                <w:lang w:val="en-US" w:eastAsia="zh-CN"/>
              </w:rPr>
              <w:t>硫化氢</w:t>
            </w:r>
          </w:p>
        </w:tc>
        <w:tc>
          <w:tcPr>
            <w:tcW w:w="1559" w:type="dxa"/>
            <w:tcBorders>
              <w:top w:val="single" w:color="auto" w:sz="4" w:space="0"/>
              <w:bottom w:val="single" w:color="auto" w:sz="4" w:space="0"/>
            </w:tcBorders>
            <w:vAlign w:val="center"/>
          </w:tcPr>
          <w:p w14:paraId="53D7E839">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271" w:type="dxa"/>
            <w:tcBorders>
              <w:top w:val="single" w:color="auto" w:sz="4" w:space="0"/>
              <w:bottom w:val="single" w:color="auto" w:sz="4" w:space="0"/>
            </w:tcBorders>
            <w:vAlign w:val="center"/>
          </w:tcPr>
          <w:p w14:paraId="1754044D">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25F52324">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15C2B70D">
            <w:pPr>
              <w:pStyle w:val="62"/>
              <w:tabs>
                <w:tab w:val="left" w:pos="1485"/>
                <w:tab w:val="center" w:pos="4113"/>
              </w:tabs>
              <w:spacing w:before="31" w:after="31"/>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0.0114</w:t>
            </w:r>
            <w:r>
              <w:rPr>
                <w:rFonts w:hint="default" w:ascii="Times New Roman" w:hAnsi="Times New Roman" w:eastAsia="宋体" w:cs="Times New Roman"/>
                <w:b w:val="0"/>
                <w:bCs/>
                <w:snapToGrid w:val="0"/>
                <w:color w:val="auto"/>
                <w:kern w:val="21"/>
                <w:sz w:val="24"/>
                <w:szCs w:val="24"/>
              </w:rPr>
              <w:t>t/a</w:t>
            </w:r>
          </w:p>
        </w:tc>
        <w:tc>
          <w:tcPr>
            <w:tcW w:w="1281" w:type="dxa"/>
            <w:tcBorders>
              <w:top w:val="single" w:color="auto" w:sz="4" w:space="0"/>
              <w:bottom w:val="single" w:color="auto" w:sz="4" w:space="0"/>
            </w:tcBorders>
            <w:vAlign w:val="center"/>
          </w:tcPr>
          <w:p w14:paraId="346E26E0">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4E2E281B">
            <w:pPr>
              <w:adjustRightInd w:val="0"/>
              <w:snapToGrid w:val="0"/>
              <w:spacing w:before="31" w:after="31"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0.0114</w:t>
            </w:r>
            <w:r>
              <w:rPr>
                <w:rFonts w:hint="default" w:ascii="Times New Roman" w:hAnsi="Times New Roman" w:eastAsia="宋体" w:cs="Times New Roman"/>
                <w:b w:val="0"/>
                <w:bCs/>
                <w:snapToGrid w:val="0"/>
                <w:color w:val="auto"/>
                <w:kern w:val="21"/>
                <w:sz w:val="24"/>
                <w:szCs w:val="24"/>
              </w:rPr>
              <w:t>t/a</w:t>
            </w:r>
          </w:p>
        </w:tc>
        <w:tc>
          <w:tcPr>
            <w:tcW w:w="1680" w:type="dxa"/>
            <w:tcBorders>
              <w:top w:val="single" w:color="auto" w:sz="4" w:space="0"/>
              <w:bottom w:val="single" w:color="auto" w:sz="4" w:space="0"/>
              <w:right w:val="single" w:color="auto" w:sz="12" w:space="0"/>
            </w:tcBorders>
            <w:vAlign w:val="center"/>
          </w:tcPr>
          <w:p w14:paraId="50B9BFEF">
            <w:pPr>
              <w:adjustRightInd w:val="0"/>
              <w:snapToGrid w:val="0"/>
              <w:spacing w:before="31" w:after="31"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+0.0114</w:t>
            </w:r>
            <w:r>
              <w:rPr>
                <w:rFonts w:hint="default" w:ascii="Times New Roman" w:hAnsi="Times New Roman" w:eastAsia="宋体" w:cs="Times New Roman"/>
                <w:b w:val="0"/>
                <w:bCs/>
                <w:snapToGrid w:val="0"/>
                <w:color w:val="auto"/>
                <w:kern w:val="21"/>
                <w:sz w:val="24"/>
                <w:szCs w:val="24"/>
              </w:rPr>
              <w:t>t/a</w:t>
            </w:r>
          </w:p>
        </w:tc>
      </w:tr>
      <w:tr w14:paraId="79B12C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293" w:type="dxa"/>
            <w:vMerge w:val="continue"/>
            <w:tcBorders>
              <w:left w:val="single" w:color="auto" w:sz="12" w:space="0"/>
            </w:tcBorders>
            <w:vAlign w:val="center"/>
          </w:tcPr>
          <w:p w14:paraId="2661A5B0">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04E5EB0C">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颗粒物</w:t>
            </w:r>
          </w:p>
        </w:tc>
        <w:tc>
          <w:tcPr>
            <w:tcW w:w="1559" w:type="dxa"/>
            <w:tcBorders>
              <w:top w:val="single" w:color="auto" w:sz="4" w:space="0"/>
              <w:bottom w:val="single" w:color="auto" w:sz="4" w:space="0"/>
            </w:tcBorders>
            <w:vAlign w:val="center"/>
          </w:tcPr>
          <w:p w14:paraId="0376EB5A">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271" w:type="dxa"/>
            <w:tcBorders>
              <w:top w:val="single" w:color="auto" w:sz="4" w:space="0"/>
              <w:bottom w:val="single" w:color="auto" w:sz="4" w:space="0"/>
            </w:tcBorders>
            <w:vAlign w:val="center"/>
          </w:tcPr>
          <w:p w14:paraId="042F93D2">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304694A4">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1EC117A5">
            <w:pPr>
              <w:pStyle w:val="62"/>
              <w:tabs>
                <w:tab w:val="left" w:pos="1485"/>
                <w:tab w:val="center" w:pos="4113"/>
              </w:tabs>
              <w:spacing w:before="31" w:after="31"/>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3.26</w:t>
            </w:r>
            <w:r>
              <w:rPr>
                <w:rFonts w:hint="default" w:ascii="Times New Roman" w:hAnsi="Times New Roman" w:eastAsia="宋体" w:cs="Times New Roman"/>
                <w:b w:val="0"/>
                <w:bCs/>
                <w:snapToGrid w:val="0"/>
                <w:color w:val="auto"/>
                <w:kern w:val="21"/>
                <w:sz w:val="24"/>
                <w:szCs w:val="24"/>
              </w:rPr>
              <w:t>t/a</w:t>
            </w:r>
          </w:p>
        </w:tc>
        <w:tc>
          <w:tcPr>
            <w:tcW w:w="1281" w:type="dxa"/>
            <w:tcBorders>
              <w:top w:val="single" w:color="auto" w:sz="4" w:space="0"/>
              <w:bottom w:val="single" w:color="auto" w:sz="4" w:space="0"/>
            </w:tcBorders>
            <w:vAlign w:val="center"/>
          </w:tcPr>
          <w:p w14:paraId="70B4D407">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64370E7F">
            <w:pPr>
              <w:adjustRightInd w:val="0"/>
              <w:snapToGrid w:val="0"/>
              <w:spacing w:before="31" w:after="31"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lang w:val="en-US" w:eastAsia="zh-CN"/>
              </w:rPr>
              <w:t>3.26</w:t>
            </w:r>
            <w:r>
              <w:rPr>
                <w:rFonts w:hint="default" w:ascii="Times New Roman" w:hAnsi="Times New Roman" w:eastAsia="宋体" w:cs="Times New Roman"/>
                <w:bCs/>
                <w:snapToGrid w:val="0"/>
                <w:color w:val="auto"/>
                <w:kern w:val="21"/>
                <w:sz w:val="24"/>
                <w:szCs w:val="24"/>
              </w:rPr>
              <w:t>t/a</w:t>
            </w:r>
          </w:p>
        </w:tc>
        <w:tc>
          <w:tcPr>
            <w:tcW w:w="1680" w:type="dxa"/>
            <w:tcBorders>
              <w:top w:val="single" w:color="auto" w:sz="4" w:space="0"/>
              <w:bottom w:val="single" w:color="auto" w:sz="4" w:space="0"/>
              <w:right w:val="single" w:color="auto" w:sz="12" w:space="0"/>
            </w:tcBorders>
            <w:vAlign w:val="center"/>
          </w:tcPr>
          <w:p w14:paraId="2F340504">
            <w:pPr>
              <w:adjustRightInd w:val="0"/>
              <w:snapToGrid w:val="0"/>
              <w:spacing w:before="31" w:after="31"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rPr>
              <w:t>+</w:t>
            </w:r>
            <w:r>
              <w:rPr>
                <w:rFonts w:hint="default" w:ascii="Times New Roman" w:hAnsi="Times New Roman" w:eastAsia="宋体" w:cs="Times New Roman"/>
                <w:bCs/>
                <w:snapToGrid w:val="0"/>
                <w:color w:val="auto"/>
                <w:kern w:val="21"/>
                <w:sz w:val="24"/>
                <w:szCs w:val="24"/>
                <w:lang w:val="en-US" w:eastAsia="zh-CN"/>
              </w:rPr>
              <w:t>3.26</w:t>
            </w:r>
            <w:r>
              <w:rPr>
                <w:rFonts w:hint="default" w:ascii="Times New Roman" w:hAnsi="Times New Roman" w:eastAsia="宋体" w:cs="Times New Roman"/>
                <w:bCs/>
                <w:snapToGrid w:val="0"/>
                <w:color w:val="auto"/>
                <w:kern w:val="21"/>
                <w:sz w:val="24"/>
                <w:szCs w:val="24"/>
              </w:rPr>
              <w:t>t/a</w:t>
            </w:r>
          </w:p>
        </w:tc>
      </w:tr>
      <w:tr w14:paraId="2550CA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293" w:type="dxa"/>
            <w:vMerge w:val="restart"/>
            <w:tcBorders>
              <w:top w:val="single" w:color="auto" w:sz="4" w:space="0"/>
              <w:left w:val="single" w:color="auto" w:sz="12" w:space="0"/>
            </w:tcBorders>
            <w:vAlign w:val="center"/>
          </w:tcPr>
          <w:p w14:paraId="1D17CB24">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废水</w:t>
            </w:r>
          </w:p>
        </w:tc>
        <w:tc>
          <w:tcPr>
            <w:tcW w:w="1836" w:type="dxa"/>
            <w:tcBorders>
              <w:top w:val="single" w:color="auto" w:sz="4" w:space="0"/>
              <w:bottom w:val="single" w:color="auto" w:sz="4" w:space="0"/>
            </w:tcBorders>
            <w:vAlign w:val="center"/>
          </w:tcPr>
          <w:p w14:paraId="34D8E6D7">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废水总量</w:t>
            </w:r>
          </w:p>
        </w:tc>
        <w:tc>
          <w:tcPr>
            <w:tcW w:w="1559" w:type="dxa"/>
            <w:tcBorders>
              <w:top w:val="single" w:color="auto" w:sz="4" w:space="0"/>
              <w:bottom w:val="single" w:color="auto" w:sz="4" w:space="0"/>
            </w:tcBorders>
            <w:vAlign w:val="center"/>
          </w:tcPr>
          <w:p w14:paraId="001C99E1">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271" w:type="dxa"/>
            <w:tcBorders>
              <w:top w:val="single" w:color="auto" w:sz="4" w:space="0"/>
              <w:bottom w:val="single" w:color="auto" w:sz="4" w:space="0"/>
            </w:tcBorders>
            <w:vAlign w:val="center"/>
          </w:tcPr>
          <w:p w14:paraId="6448030F">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39AA4ABD">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5502194A">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vertAlign w:val="baseline"/>
                <w:lang w:val="en-US" w:eastAsia="zh-CN"/>
              </w:rPr>
            </w:pPr>
            <w:r>
              <w:rPr>
                <w:rFonts w:hint="default" w:ascii="Times New Roman" w:hAnsi="Times New Roman" w:eastAsia="宋体" w:cs="Times New Roman"/>
                <w:b w:val="0"/>
                <w:bCs/>
                <w:snapToGrid w:val="0"/>
                <w:color w:val="auto"/>
                <w:kern w:val="21"/>
                <w:sz w:val="24"/>
                <w:szCs w:val="24"/>
                <w:lang w:val="en-US" w:eastAsia="zh-CN"/>
              </w:rPr>
              <w:t>640</w:t>
            </w:r>
            <w:r>
              <w:rPr>
                <w:rFonts w:hint="default" w:ascii="Times New Roman" w:hAnsi="Times New Roman" w:eastAsia="宋体" w:cs="Times New Roman"/>
                <w:b w:val="0"/>
                <w:bCs/>
                <w:snapToGrid w:val="0"/>
                <w:color w:val="auto"/>
                <w:kern w:val="21"/>
                <w:sz w:val="24"/>
                <w:szCs w:val="24"/>
              </w:rPr>
              <w:t>t/a</w:t>
            </w:r>
          </w:p>
        </w:tc>
        <w:tc>
          <w:tcPr>
            <w:tcW w:w="1281" w:type="dxa"/>
            <w:tcBorders>
              <w:top w:val="single" w:color="auto" w:sz="4" w:space="0"/>
              <w:bottom w:val="single" w:color="auto" w:sz="4" w:space="0"/>
            </w:tcBorders>
            <w:vAlign w:val="center"/>
          </w:tcPr>
          <w:p w14:paraId="4C91038C">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7241FFA0">
            <w:pPr>
              <w:spacing w:line="240" w:lineRule="auto"/>
              <w:ind w:firstLine="480" w:firstLineChars="20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640</w:t>
            </w:r>
            <w:r>
              <w:rPr>
                <w:rFonts w:hint="default" w:ascii="Times New Roman" w:hAnsi="Times New Roman" w:eastAsia="宋体" w:cs="Times New Roman"/>
                <w:b w:val="0"/>
                <w:bCs/>
                <w:snapToGrid w:val="0"/>
                <w:color w:val="auto"/>
                <w:kern w:val="21"/>
                <w:sz w:val="24"/>
                <w:szCs w:val="24"/>
              </w:rPr>
              <w:t>t/a</w:t>
            </w:r>
          </w:p>
        </w:tc>
        <w:tc>
          <w:tcPr>
            <w:tcW w:w="1680" w:type="dxa"/>
            <w:tcBorders>
              <w:top w:val="single" w:color="auto" w:sz="4" w:space="0"/>
              <w:bottom w:val="single" w:color="auto" w:sz="4" w:space="0"/>
              <w:right w:val="single" w:color="auto" w:sz="12" w:space="0"/>
            </w:tcBorders>
            <w:vAlign w:val="center"/>
          </w:tcPr>
          <w:p w14:paraId="68F8A14C">
            <w:pPr>
              <w:spacing w:line="240" w:lineRule="auto"/>
              <w:ind w:firstLine="480" w:firstLineChars="20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+640</w:t>
            </w:r>
            <w:r>
              <w:rPr>
                <w:rFonts w:hint="default" w:ascii="Times New Roman" w:hAnsi="Times New Roman" w:eastAsia="宋体" w:cs="Times New Roman"/>
                <w:b w:val="0"/>
                <w:bCs/>
                <w:snapToGrid w:val="0"/>
                <w:color w:val="auto"/>
                <w:kern w:val="21"/>
                <w:sz w:val="24"/>
                <w:szCs w:val="24"/>
              </w:rPr>
              <w:t>t/a</w:t>
            </w:r>
          </w:p>
        </w:tc>
      </w:tr>
      <w:tr w14:paraId="73EEE5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293" w:type="dxa"/>
            <w:vMerge w:val="continue"/>
            <w:tcBorders>
              <w:left w:val="single" w:color="auto" w:sz="12" w:space="0"/>
            </w:tcBorders>
            <w:vAlign w:val="center"/>
          </w:tcPr>
          <w:p w14:paraId="276F0409">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68FA88FC">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color w:val="auto"/>
                <w:sz w:val="24"/>
                <w:szCs w:val="24"/>
              </w:rPr>
              <w:t>COD</w:t>
            </w:r>
          </w:p>
        </w:tc>
        <w:tc>
          <w:tcPr>
            <w:tcW w:w="1559" w:type="dxa"/>
            <w:tcBorders>
              <w:top w:val="single" w:color="auto" w:sz="4" w:space="0"/>
              <w:bottom w:val="single" w:color="auto" w:sz="4" w:space="0"/>
            </w:tcBorders>
            <w:vAlign w:val="center"/>
          </w:tcPr>
          <w:p w14:paraId="6E6622D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271" w:type="dxa"/>
            <w:tcBorders>
              <w:top w:val="single" w:color="auto" w:sz="4" w:space="0"/>
              <w:bottom w:val="single" w:color="auto" w:sz="4" w:space="0"/>
            </w:tcBorders>
            <w:vAlign w:val="center"/>
          </w:tcPr>
          <w:p w14:paraId="5F5325C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13DE6DB6">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5723AE17">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lang w:val="en-US" w:eastAsia="zh-CN"/>
              </w:rPr>
            </w:pPr>
            <w:r>
              <w:rPr>
                <w:rFonts w:hint="default" w:ascii="Times New Roman" w:hAnsi="Times New Roman" w:eastAsia="宋体" w:cs="Times New Roman"/>
                <w:b w:val="0"/>
                <w:bCs/>
                <w:snapToGrid w:val="0"/>
                <w:color w:val="auto"/>
                <w:kern w:val="21"/>
                <w:sz w:val="24"/>
                <w:szCs w:val="24"/>
                <w:lang w:val="en-US" w:eastAsia="zh-CN"/>
              </w:rPr>
              <w:t>0.240</w:t>
            </w:r>
            <w:r>
              <w:rPr>
                <w:rFonts w:hint="default" w:ascii="Times New Roman" w:hAnsi="Times New Roman" w:eastAsia="宋体" w:cs="Times New Roman"/>
                <w:b w:val="0"/>
                <w:bCs/>
                <w:snapToGrid w:val="0"/>
                <w:color w:val="auto"/>
                <w:kern w:val="21"/>
                <w:sz w:val="24"/>
                <w:szCs w:val="24"/>
              </w:rPr>
              <w:t>t/a</w:t>
            </w:r>
          </w:p>
        </w:tc>
        <w:tc>
          <w:tcPr>
            <w:tcW w:w="1281" w:type="dxa"/>
            <w:tcBorders>
              <w:top w:val="single" w:color="auto" w:sz="4" w:space="0"/>
              <w:bottom w:val="single" w:color="auto" w:sz="4" w:space="0"/>
            </w:tcBorders>
            <w:vAlign w:val="center"/>
          </w:tcPr>
          <w:p w14:paraId="0EDA936E">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rPr>
              <w:t>-</w:t>
            </w:r>
          </w:p>
        </w:tc>
        <w:tc>
          <w:tcPr>
            <w:tcW w:w="1568" w:type="dxa"/>
            <w:tcBorders>
              <w:top w:val="single" w:color="auto" w:sz="4" w:space="0"/>
              <w:bottom w:val="single" w:color="auto" w:sz="4" w:space="0"/>
            </w:tcBorders>
            <w:vAlign w:val="center"/>
          </w:tcPr>
          <w:p w14:paraId="7256AC17">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0.240</w:t>
            </w:r>
            <w:r>
              <w:rPr>
                <w:rFonts w:hint="default" w:ascii="Times New Roman" w:hAnsi="Times New Roman" w:eastAsia="宋体" w:cs="Times New Roman"/>
                <w:b w:val="0"/>
                <w:bCs/>
                <w:snapToGrid w:val="0"/>
                <w:color w:val="auto"/>
                <w:kern w:val="21"/>
                <w:sz w:val="24"/>
                <w:szCs w:val="24"/>
              </w:rPr>
              <w:t>t/a</w:t>
            </w:r>
          </w:p>
        </w:tc>
        <w:tc>
          <w:tcPr>
            <w:tcW w:w="1680" w:type="dxa"/>
            <w:tcBorders>
              <w:top w:val="single" w:color="auto" w:sz="4" w:space="0"/>
              <w:bottom w:val="single" w:color="auto" w:sz="4" w:space="0"/>
              <w:right w:val="single" w:color="auto" w:sz="12" w:space="0"/>
            </w:tcBorders>
            <w:vAlign w:val="center"/>
          </w:tcPr>
          <w:p w14:paraId="0214D2FD">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lang w:val="en-US" w:eastAsia="zh-CN"/>
              </w:rPr>
              <w:t>+</w:t>
            </w:r>
            <w:r>
              <w:rPr>
                <w:rFonts w:hint="default" w:ascii="Times New Roman" w:hAnsi="Times New Roman" w:eastAsia="宋体" w:cs="Times New Roman"/>
                <w:b w:val="0"/>
                <w:bCs/>
                <w:snapToGrid w:val="0"/>
                <w:color w:val="auto"/>
                <w:kern w:val="21"/>
                <w:sz w:val="24"/>
                <w:szCs w:val="24"/>
                <w:lang w:val="en-US" w:eastAsia="zh-CN"/>
              </w:rPr>
              <w:t>0.240</w:t>
            </w:r>
            <w:r>
              <w:rPr>
                <w:rFonts w:hint="default" w:ascii="Times New Roman" w:hAnsi="Times New Roman" w:eastAsia="宋体" w:cs="Times New Roman"/>
                <w:b w:val="0"/>
                <w:bCs/>
                <w:snapToGrid w:val="0"/>
                <w:color w:val="auto"/>
                <w:kern w:val="21"/>
                <w:sz w:val="24"/>
                <w:szCs w:val="24"/>
              </w:rPr>
              <w:t>t/a</w:t>
            </w:r>
          </w:p>
        </w:tc>
      </w:tr>
      <w:tr w14:paraId="54982D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293" w:type="dxa"/>
            <w:vMerge w:val="continue"/>
            <w:tcBorders>
              <w:left w:val="single" w:color="auto" w:sz="12" w:space="0"/>
            </w:tcBorders>
            <w:vAlign w:val="center"/>
          </w:tcPr>
          <w:p w14:paraId="5580318B">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1CD41CA1">
            <w:pPr>
              <w:adjustRightInd w:val="0"/>
              <w:snapToGrid w:val="0"/>
              <w:spacing w:line="240" w:lineRule="auto"/>
              <w:ind w:firstLine="0" w:firstLineChars="0"/>
              <w:jc w:val="center"/>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BOD</w:t>
            </w:r>
            <w:r>
              <w:rPr>
                <w:rFonts w:hint="default" w:ascii="Times New Roman" w:hAnsi="Times New Roman" w:eastAsia="宋体" w:cs="Times New Roman"/>
                <w:bCs/>
                <w:color w:val="auto"/>
                <w:sz w:val="24"/>
                <w:szCs w:val="24"/>
                <w:vertAlign w:val="subscript"/>
                <w:lang w:val="en-US" w:eastAsia="zh-CN"/>
              </w:rPr>
              <w:t>5</w:t>
            </w:r>
          </w:p>
        </w:tc>
        <w:tc>
          <w:tcPr>
            <w:tcW w:w="1559" w:type="dxa"/>
            <w:tcBorders>
              <w:top w:val="single" w:color="auto" w:sz="4" w:space="0"/>
              <w:bottom w:val="single" w:color="auto" w:sz="4" w:space="0"/>
            </w:tcBorders>
            <w:vAlign w:val="center"/>
          </w:tcPr>
          <w:p w14:paraId="5501E2E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271" w:type="dxa"/>
            <w:tcBorders>
              <w:top w:val="single" w:color="auto" w:sz="4" w:space="0"/>
              <w:bottom w:val="single" w:color="auto" w:sz="4" w:space="0"/>
            </w:tcBorders>
            <w:vAlign w:val="center"/>
          </w:tcPr>
          <w:p w14:paraId="3B5E12E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3DAF473E">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4AA4F43A">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lang w:val="en-US" w:eastAsia="zh-CN"/>
              </w:rPr>
            </w:pPr>
            <w:r>
              <w:rPr>
                <w:rFonts w:hint="default" w:ascii="Times New Roman" w:hAnsi="Times New Roman" w:eastAsia="宋体" w:cs="Times New Roman"/>
                <w:b w:val="0"/>
                <w:bCs/>
                <w:snapToGrid w:val="0"/>
                <w:color w:val="auto"/>
                <w:kern w:val="21"/>
                <w:sz w:val="24"/>
                <w:szCs w:val="24"/>
                <w:lang w:val="en-US" w:eastAsia="zh-CN"/>
              </w:rPr>
              <w:t>0.123</w:t>
            </w:r>
            <w:r>
              <w:rPr>
                <w:rFonts w:hint="default" w:ascii="Times New Roman" w:hAnsi="Times New Roman" w:eastAsia="宋体" w:cs="Times New Roman"/>
                <w:b w:val="0"/>
                <w:bCs/>
                <w:snapToGrid w:val="0"/>
                <w:color w:val="auto"/>
                <w:kern w:val="21"/>
                <w:sz w:val="24"/>
                <w:szCs w:val="24"/>
              </w:rPr>
              <w:t>t/a</w:t>
            </w:r>
          </w:p>
        </w:tc>
        <w:tc>
          <w:tcPr>
            <w:tcW w:w="1281" w:type="dxa"/>
            <w:tcBorders>
              <w:top w:val="single" w:color="auto" w:sz="4" w:space="0"/>
              <w:bottom w:val="single" w:color="auto" w:sz="4" w:space="0"/>
            </w:tcBorders>
            <w:vAlign w:val="center"/>
          </w:tcPr>
          <w:p w14:paraId="7422B36C">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76DAAF52">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0.123</w:t>
            </w:r>
            <w:r>
              <w:rPr>
                <w:rFonts w:hint="default" w:ascii="Times New Roman" w:hAnsi="Times New Roman" w:eastAsia="宋体" w:cs="Times New Roman"/>
                <w:b w:val="0"/>
                <w:bCs/>
                <w:snapToGrid w:val="0"/>
                <w:color w:val="auto"/>
                <w:kern w:val="21"/>
                <w:sz w:val="24"/>
                <w:szCs w:val="24"/>
              </w:rPr>
              <w:t>t/a</w:t>
            </w:r>
          </w:p>
        </w:tc>
        <w:tc>
          <w:tcPr>
            <w:tcW w:w="1680" w:type="dxa"/>
            <w:tcBorders>
              <w:top w:val="single" w:color="auto" w:sz="4" w:space="0"/>
              <w:bottom w:val="single" w:color="auto" w:sz="4" w:space="0"/>
              <w:right w:val="single" w:color="auto" w:sz="12" w:space="0"/>
            </w:tcBorders>
            <w:vAlign w:val="center"/>
          </w:tcPr>
          <w:p w14:paraId="38388B28">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lang w:val="en-US" w:eastAsia="zh-CN"/>
              </w:rPr>
              <w:t>+</w:t>
            </w:r>
            <w:r>
              <w:rPr>
                <w:rFonts w:hint="default" w:ascii="Times New Roman" w:hAnsi="Times New Roman" w:eastAsia="宋体" w:cs="Times New Roman"/>
                <w:b w:val="0"/>
                <w:bCs/>
                <w:snapToGrid w:val="0"/>
                <w:color w:val="auto"/>
                <w:kern w:val="21"/>
                <w:sz w:val="24"/>
                <w:szCs w:val="24"/>
                <w:lang w:val="en-US" w:eastAsia="zh-CN"/>
              </w:rPr>
              <w:t>0.123</w:t>
            </w:r>
            <w:r>
              <w:rPr>
                <w:rFonts w:hint="default" w:ascii="Times New Roman" w:hAnsi="Times New Roman" w:eastAsia="宋体" w:cs="Times New Roman"/>
                <w:b w:val="0"/>
                <w:bCs/>
                <w:snapToGrid w:val="0"/>
                <w:color w:val="auto"/>
                <w:kern w:val="21"/>
                <w:sz w:val="24"/>
                <w:szCs w:val="24"/>
              </w:rPr>
              <w:t>t/a</w:t>
            </w:r>
          </w:p>
        </w:tc>
      </w:tr>
      <w:tr w14:paraId="5D31E9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293" w:type="dxa"/>
            <w:vMerge w:val="continue"/>
            <w:tcBorders>
              <w:left w:val="single" w:color="auto" w:sz="12" w:space="0"/>
            </w:tcBorders>
            <w:vAlign w:val="center"/>
          </w:tcPr>
          <w:p w14:paraId="61571FF0">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3F65D2BE">
            <w:pPr>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color w:val="auto"/>
                <w:sz w:val="24"/>
                <w:szCs w:val="24"/>
              </w:rPr>
              <w:t>NH</w:t>
            </w:r>
            <w:r>
              <w:rPr>
                <w:rFonts w:hint="default" w:ascii="Times New Roman" w:hAnsi="Times New Roman" w:eastAsia="宋体" w:cs="Times New Roman"/>
                <w:bCs/>
                <w:color w:val="auto"/>
                <w:sz w:val="24"/>
                <w:szCs w:val="24"/>
                <w:vertAlign w:val="subscript"/>
              </w:rPr>
              <w:t>3</w:t>
            </w:r>
            <w:r>
              <w:rPr>
                <w:rFonts w:hint="default" w:ascii="Times New Roman" w:hAnsi="Times New Roman" w:eastAsia="宋体" w:cs="Times New Roman"/>
                <w:bCs/>
                <w:color w:val="auto"/>
                <w:sz w:val="24"/>
                <w:szCs w:val="24"/>
              </w:rPr>
              <w:t>-N</w:t>
            </w:r>
          </w:p>
        </w:tc>
        <w:tc>
          <w:tcPr>
            <w:tcW w:w="1559" w:type="dxa"/>
            <w:tcBorders>
              <w:top w:val="single" w:color="auto" w:sz="4" w:space="0"/>
              <w:bottom w:val="single" w:color="auto" w:sz="4" w:space="0"/>
            </w:tcBorders>
            <w:vAlign w:val="center"/>
          </w:tcPr>
          <w:p w14:paraId="4052AB0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271" w:type="dxa"/>
            <w:tcBorders>
              <w:top w:val="single" w:color="auto" w:sz="4" w:space="0"/>
              <w:bottom w:val="single" w:color="auto" w:sz="4" w:space="0"/>
            </w:tcBorders>
            <w:vAlign w:val="center"/>
          </w:tcPr>
          <w:p w14:paraId="3E77E38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18600CBB">
            <w:pPr>
              <w:keepNext w:val="0"/>
              <w:keepLines w:val="0"/>
              <w:pageBreakBefore w:val="0"/>
              <w:widowControl/>
              <w:suppressLineNumbers w:val="0"/>
              <w:kinsoku/>
              <w:wordWrap/>
              <w:overflowPunct/>
              <w:topLinePunct w:val="0"/>
              <w:autoSpaceDE/>
              <w:autoSpaceDN/>
              <w:bidi w:val="0"/>
              <w:spacing w:line="240" w:lineRule="auto"/>
              <w:ind w:firstLine="0" w:firstLineChars="0"/>
              <w:jc w:val="center"/>
              <w:textAlignment w:val="center"/>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37D52A3D">
            <w:pPr>
              <w:pStyle w:val="62"/>
              <w:tabs>
                <w:tab w:val="left" w:pos="1485"/>
                <w:tab w:val="center" w:pos="4113"/>
              </w:tabs>
              <w:ind w:firstLine="0" w:firstLineChars="0"/>
              <w:rPr>
                <w:rFonts w:hint="default" w:ascii="Times New Roman" w:hAnsi="Times New Roman" w:eastAsia="宋体" w:cs="Times New Roman"/>
                <w:bCs/>
                <w:snapToGrid w:val="0"/>
                <w:color w:val="auto"/>
                <w:kern w:val="21"/>
                <w:sz w:val="24"/>
                <w:szCs w:val="24"/>
                <w:lang w:val="en-US" w:eastAsia="zh-CN"/>
              </w:rPr>
            </w:pPr>
            <w:r>
              <w:rPr>
                <w:rFonts w:hint="default" w:ascii="Times New Roman" w:hAnsi="Times New Roman" w:eastAsia="宋体" w:cs="Times New Roman"/>
                <w:b w:val="0"/>
                <w:bCs/>
                <w:snapToGrid w:val="0"/>
                <w:color w:val="auto"/>
                <w:kern w:val="21"/>
                <w:sz w:val="24"/>
                <w:szCs w:val="24"/>
                <w:lang w:val="en-US" w:eastAsia="zh-CN"/>
              </w:rPr>
              <w:t>0.017</w:t>
            </w:r>
            <w:r>
              <w:rPr>
                <w:rFonts w:hint="default" w:ascii="Times New Roman" w:hAnsi="Times New Roman" w:eastAsia="宋体" w:cs="Times New Roman"/>
                <w:b w:val="0"/>
                <w:bCs/>
                <w:snapToGrid w:val="0"/>
                <w:color w:val="auto"/>
                <w:kern w:val="21"/>
                <w:sz w:val="24"/>
                <w:szCs w:val="24"/>
              </w:rPr>
              <w:t>t/a</w:t>
            </w:r>
          </w:p>
        </w:tc>
        <w:tc>
          <w:tcPr>
            <w:tcW w:w="1281" w:type="dxa"/>
            <w:tcBorders>
              <w:top w:val="single" w:color="auto" w:sz="4" w:space="0"/>
              <w:bottom w:val="single" w:color="auto" w:sz="4" w:space="0"/>
            </w:tcBorders>
            <w:vAlign w:val="center"/>
          </w:tcPr>
          <w:p w14:paraId="07C24ADE">
            <w:pPr>
              <w:pStyle w:val="62"/>
              <w:tabs>
                <w:tab w:val="left" w:pos="1485"/>
                <w:tab w:val="center" w:pos="4113"/>
              </w:tabs>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43BEDEEB">
            <w:pPr>
              <w:pStyle w:val="62"/>
              <w:tabs>
                <w:tab w:val="left" w:pos="1485"/>
                <w:tab w:val="center" w:pos="4113"/>
              </w:tabs>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0.017</w:t>
            </w:r>
            <w:r>
              <w:rPr>
                <w:rFonts w:hint="default" w:ascii="Times New Roman" w:hAnsi="Times New Roman" w:eastAsia="宋体" w:cs="Times New Roman"/>
                <w:b w:val="0"/>
                <w:bCs/>
                <w:snapToGrid w:val="0"/>
                <w:color w:val="auto"/>
                <w:kern w:val="21"/>
                <w:sz w:val="24"/>
                <w:szCs w:val="24"/>
              </w:rPr>
              <w:t>t/a</w:t>
            </w:r>
          </w:p>
        </w:tc>
        <w:tc>
          <w:tcPr>
            <w:tcW w:w="1680" w:type="dxa"/>
            <w:tcBorders>
              <w:top w:val="single" w:color="auto" w:sz="4" w:space="0"/>
              <w:bottom w:val="single" w:color="auto" w:sz="4" w:space="0"/>
              <w:right w:val="single" w:color="auto" w:sz="12" w:space="0"/>
            </w:tcBorders>
            <w:vAlign w:val="center"/>
          </w:tcPr>
          <w:p w14:paraId="0C7AC706">
            <w:pPr>
              <w:pStyle w:val="62"/>
              <w:tabs>
                <w:tab w:val="left" w:pos="1485"/>
                <w:tab w:val="center" w:pos="4113"/>
              </w:tabs>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lang w:val="en-US" w:eastAsia="zh-CN"/>
              </w:rPr>
              <w:t>+0.017</w:t>
            </w:r>
            <w:r>
              <w:rPr>
                <w:rFonts w:hint="default" w:ascii="Times New Roman" w:hAnsi="Times New Roman" w:eastAsia="宋体" w:cs="Times New Roman"/>
                <w:b w:val="0"/>
                <w:bCs/>
                <w:snapToGrid w:val="0"/>
                <w:color w:val="auto"/>
                <w:kern w:val="21"/>
                <w:sz w:val="24"/>
                <w:szCs w:val="24"/>
              </w:rPr>
              <w:t>t/a</w:t>
            </w:r>
          </w:p>
        </w:tc>
      </w:tr>
      <w:tr w14:paraId="0461C4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293" w:type="dxa"/>
            <w:vMerge w:val="restart"/>
            <w:tcBorders>
              <w:top w:val="single" w:color="auto" w:sz="4" w:space="0"/>
              <w:left w:val="single" w:color="auto" w:sz="12" w:space="0"/>
            </w:tcBorders>
            <w:vAlign w:val="center"/>
          </w:tcPr>
          <w:p w14:paraId="5EC48B33">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一般工业</w:t>
            </w:r>
          </w:p>
          <w:p w14:paraId="351D1A71">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固体废物</w:t>
            </w:r>
          </w:p>
        </w:tc>
        <w:tc>
          <w:tcPr>
            <w:tcW w:w="1836" w:type="dxa"/>
            <w:tcBorders>
              <w:top w:val="single" w:color="auto" w:sz="4" w:space="0"/>
              <w:bottom w:val="single" w:color="auto" w:sz="4" w:space="0"/>
            </w:tcBorders>
            <w:vAlign w:val="center"/>
          </w:tcPr>
          <w:p w14:paraId="388C1EA5">
            <w:pPr>
              <w:adjustRightInd w:val="0"/>
              <w:snapToGrid w:val="0"/>
              <w:spacing w:line="240" w:lineRule="auto"/>
              <w:ind w:firstLine="0" w:firstLineChars="0"/>
              <w:jc w:val="center"/>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生活垃圾</w:t>
            </w:r>
          </w:p>
        </w:tc>
        <w:tc>
          <w:tcPr>
            <w:tcW w:w="1559" w:type="dxa"/>
            <w:tcBorders>
              <w:top w:val="single" w:color="auto" w:sz="4" w:space="0"/>
              <w:bottom w:val="single" w:color="auto" w:sz="4" w:space="0"/>
            </w:tcBorders>
            <w:vAlign w:val="center"/>
          </w:tcPr>
          <w:p w14:paraId="72805F41">
            <w:pPr>
              <w:pStyle w:val="196"/>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snapToGrid w:val="0"/>
                <w:color w:val="auto"/>
                <w:kern w:val="21"/>
                <w:sz w:val="24"/>
                <w:szCs w:val="24"/>
              </w:rPr>
              <w:t>-</w:t>
            </w:r>
          </w:p>
        </w:tc>
        <w:tc>
          <w:tcPr>
            <w:tcW w:w="1271" w:type="dxa"/>
            <w:tcBorders>
              <w:top w:val="single" w:color="auto" w:sz="4" w:space="0"/>
              <w:bottom w:val="single" w:color="auto" w:sz="4" w:space="0"/>
            </w:tcBorders>
            <w:vAlign w:val="center"/>
          </w:tcPr>
          <w:p w14:paraId="41D32D1C">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5D76659C">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2224F4BB">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8.0</w:t>
            </w:r>
            <w:r>
              <w:rPr>
                <w:rFonts w:hint="default" w:ascii="Times New Roman" w:hAnsi="Times New Roman" w:eastAsia="宋体" w:cs="Times New Roman"/>
                <w:bCs/>
                <w:color w:val="auto"/>
                <w:sz w:val="24"/>
                <w:szCs w:val="24"/>
              </w:rPr>
              <w:t>t/a</w:t>
            </w:r>
          </w:p>
        </w:tc>
        <w:tc>
          <w:tcPr>
            <w:tcW w:w="1281" w:type="dxa"/>
            <w:tcBorders>
              <w:top w:val="single" w:color="auto" w:sz="4" w:space="0"/>
              <w:bottom w:val="single" w:color="auto" w:sz="4" w:space="0"/>
            </w:tcBorders>
            <w:vAlign w:val="center"/>
          </w:tcPr>
          <w:p w14:paraId="7ECD625A">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28430E48">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8.0</w:t>
            </w:r>
            <w:r>
              <w:rPr>
                <w:rFonts w:hint="default" w:ascii="Times New Roman" w:hAnsi="Times New Roman" w:eastAsia="宋体" w:cs="Times New Roman"/>
                <w:bCs/>
                <w:color w:val="auto"/>
                <w:sz w:val="24"/>
                <w:szCs w:val="24"/>
              </w:rPr>
              <w:t>t/a</w:t>
            </w:r>
          </w:p>
        </w:tc>
        <w:tc>
          <w:tcPr>
            <w:tcW w:w="1680" w:type="dxa"/>
            <w:tcBorders>
              <w:top w:val="single" w:color="auto" w:sz="4" w:space="0"/>
              <w:bottom w:val="single" w:color="auto" w:sz="4" w:space="0"/>
              <w:right w:val="single" w:color="auto" w:sz="12" w:space="0"/>
            </w:tcBorders>
            <w:vAlign w:val="center"/>
          </w:tcPr>
          <w:p w14:paraId="2F87B61A">
            <w:pPr>
              <w:pStyle w:val="196"/>
              <w:wordWrap w:val="0"/>
              <w:adjustRightInd w:val="0"/>
              <w:snapToGrid w:val="0"/>
              <w:spacing w:line="240" w:lineRule="auto"/>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color w:val="auto"/>
                <w:sz w:val="24"/>
                <w:szCs w:val="24"/>
                <w:lang w:val="en-US" w:eastAsia="zh-CN"/>
              </w:rPr>
              <w:t>+8.0</w:t>
            </w:r>
            <w:r>
              <w:rPr>
                <w:rFonts w:hint="default" w:ascii="Times New Roman" w:hAnsi="Times New Roman" w:eastAsia="宋体" w:cs="Times New Roman"/>
                <w:bCs/>
                <w:color w:val="auto"/>
                <w:sz w:val="24"/>
                <w:szCs w:val="24"/>
              </w:rPr>
              <w:t>t/a</w:t>
            </w:r>
          </w:p>
        </w:tc>
      </w:tr>
      <w:tr w14:paraId="7ED514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93" w:type="dxa"/>
            <w:vMerge w:val="continue"/>
            <w:tcBorders>
              <w:left w:val="single" w:color="auto" w:sz="12" w:space="0"/>
            </w:tcBorders>
            <w:vAlign w:val="center"/>
          </w:tcPr>
          <w:p w14:paraId="35AA56C6">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62CFCB09">
            <w:pPr>
              <w:adjustRightInd w:val="0"/>
              <w:snapToGrid w:val="0"/>
              <w:spacing w:line="240" w:lineRule="auto"/>
              <w:ind w:firstLine="0" w:firstLineChars="0"/>
              <w:jc w:val="center"/>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废金属</w:t>
            </w:r>
          </w:p>
        </w:tc>
        <w:tc>
          <w:tcPr>
            <w:tcW w:w="1559" w:type="dxa"/>
            <w:tcBorders>
              <w:top w:val="single" w:color="auto" w:sz="4" w:space="0"/>
              <w:bottom w:val="single" w:color="auto" w:sz="4" w:space="0"/>
            </w:tcBorders>
            <w:vAlign w:val="center"/>
          </w:tcPr>
          <w:p w14:paraId="58AD01B1">
            <w:pPr>
              <w:pStyle w:val="196"/>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snapToGrid w:val="0"/>
                <w:color w:val="auto"/>
                <w:kern w:val="21"/>
                <w:sz w:val="24"/>
                <w:szCs w:val="24"/>
              </w:rPr>
              <w:t>-</w:t>
            </w:r>
          </w:p>
        </w:tc>
        <w:tc>
          <w:tcPr>
            <w:tcW w:w="1271" w:type="dxa"/>
            <w:tcBorders>
              <w:top w:val="single" w:color="auto" w:sz="4" w:space="0"/>
              <w:bottom w:val="single" w:color="auto" w:sz="4" w:space="0"/>
            </w:tcBorders>
            <w:vAlign w:val="center"/>
          </w:tcPr>
          <w:p w14:paraId="0026D2F3">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6C775A1D">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39C90053">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750</w:t>
            </w:r>
            <w:r>
              <w:rPr>
                <w:rFonts w:hint="default" w:ascii="Times New Roman" w:hAnsi="Times New Roman" w:eastAsia="宋体" w:cs="Times New Roman"/>
                <w:bCs/>
                <w:color w:val="auto"/>
                <w:sz w:val="24"/>
                <w:szCs w:val="24"/>
              </w:rPr>
              <w:t>t/a</w:t>
            </w:r>
          </w:p>
        </w:tc>
        <w:tc>
          <w:tcPr>
            <w:tcW w:w="1281" w:type="dxa"/>
            <w:tcBorders>
              <w:top w:val="single" w:color="auto" w:sz="4" w:space="0"/>
              <w:bottom w:val="single" w:color="auto" w:sz="4" w:space="0"/>
            </w:tcBorders>
            <w:vAlign w:val="center"/>
          </w:tcPr>
          <w:p w14:paraId="6F1E46B1">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778AECA2">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750</w:t>
            </w:r>
            <w:r>
              <w:rPr>
                <w:rFonts w:hint="default" w:ascii="Times New Roman" w:hAnsi="Times New Roman" w:eastAsia="宋体" w:cs="Times New Roman"/>
                <w:bCs/>
                <w:color w:val="auto"/>
                <w:sz w:val="24"/>
                <w:szCs w:val="24"/>
              </w:rPr>
              <w:t>t/a</w:t>
            </w:r>
          </w:p>
        </w:tc>
        <w:tc>
          <w:tcPr>
            <w:tcW w:w="1680" w:type="dxa"/>
            <w:tcBorders>
              <w:top w:val="single" w:color="auto" w:sz="4" w:space="0"/>
              <w:bottom w:val="single" w:color="auto" w:sz="4" w:space="0"/>
              <w:right w:val="single" w:color="auto" w:sz="12" w:space="0"/>
            </w:tcBorders>
            <w:vAlign w:val="center"/>
          </w:tcPr>
          <w:p w14:paraId="27A4F844">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+750</w:t>
            </w:r>
            <w:r>
              <w:rPr>
                <w:rFonts w:hint="default" w:ascii="Times New Roman" w:hAnsi="Times New Roman" w:eastAsia="宋体" w:cs="Times New Roman"/>
                <w:bCs/>
                <w:color w:val="auto"/>
                <w:sz w:val="24"/>
                <w:szCs w:val="24"/>
              </w:rPr>
              <w:t>t/a</w:t>
            </w:r>
          </w:p>
        </w:tc>
      </w:tr>
      <w:tr w14:paraId="6E196B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93" w:type="dxa"/>
            <w:vMerge w:val="continue"/>
            <w:tcBorders>
              <w:left w:val="single" w:color="auto" w:sz="12" w:space="0"/>
            </w:tcBorders>
            <w:vAlign w:val="center"/>
          </w:tcPr>
          <w:p w14:paraId="57B5B711">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713CF47E">
            <w:pPr>
              <w:adjustRightInd w:val="0"/>
              <w:snapToGrid w:val="0"/>
              <w:spacing w:line="240" w:lineRule="auto"/>
              <w:ind w:firstLine="0" w:firstLineChars="0"/>
              <w:jc w:val="center"/>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废塑料</w:t>
            </w:r>
          </w:p>
        </w:tc>
        <w:tc>
          <w:tcPr>
            <w:tcW w:w="1559" w:type="dxa"/>
            <w:tcBorders>
              <w:top w:val="single" w:color="auto" w:sz="4" w:space="0"/>
              <w:bottom w:val="single" w:color="auto" w:sz="4" w:space="0"/>
            </w:tcBorders>
            <w:vAlign w:val="center"/>
          </w:tcPr>
          <w:p w14:paraId="4A7C8680">
            <w:pPr>
              <w:pStyle w:val="196"/>
              <w:adjustRightInd w:val="0"/>
              <w:snapToGrid w:val="0"/>
              <w:spacing w:line="240" w:lineRule="auto"/>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rPr>
              <w:t>-</w:t>
            </w:r>
          </w:p>
        </w:tc>
        <w:tc>
          <w:tcPr>
            <w:tcW w:w="1271" w:type="dxa"/>
            <w:tcBorders>
              <w:top w:val="single" w:color="auto" w:sz="4" w:space="0"/>
              <w:bottom w:val="single" w:color="auto" w:sz="4" w:space="0"/>
            </w:tcBorders>
            <w:vAlign w:val="center"/>
          </w:tcPr>
          <w:p w14:paraId="2640B8BD">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1BFBF524">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2BF82EAF">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350</w:t>
            </w:r>
            <w:r>
              <w:rPr>
                <w:rFonts w:hint="default" w:ascii="Times New Roman" w:hAnsi="Times New Roman" w:eastAsia="宋体" w:cs="Times New Roman"/>
                <w:bCs/>
                <w:color w:val="auto"/>
                <w:sz w:val="24"/>
                <w:szCs w:val="24"/>
              </w:rPr>
              <w:t>t/a</w:t>
            </w:r>
          </w:p>
        </w:tc>
        <w:tc>
          <w:tcPr>
            <w:tcW w:w="1281" w:type="dxa"/>
            <w:tcBorders>
              <w:top w:val="single" w:color="auto" w:sz="4" w:space="0"/>
              <w:bottom w:val="single" w:color="auto" w:sz="4" w:space="0"/>
            </w:tcBorders>
            <w:vAlign w:val="center"/>
          </w:tcPr>
          <w:p w14:paraId="6B23C9C9">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57011888">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350</w:t>
            </w:r>
            <w:r>
              <w:rPr>
                <w:rFonts w:hint="default" w:ascii="Times New Roman" w:hAnsi="Times New Roman" w:eastAsia="宋体" w:cs="Times New Roman"/>
                <w:bCs/>
                <w:color w:val="auto"/>
                <w:sz w:val="24"/>
                <w:szCs w:val="24"/>
              </w:rPr>
              <w:t>t/a</w:t>
            </w:r>
          </w:p>
        </w:tc>
        <w:tc>
          <w:tcPr>
            <w:tcW w:w="1680" w:type="dxa"/>
            <w:tcBorders>
              <w:top w:val="single" w:color="auto" w:sz="4" w:space="0"/>
              <w:bottom w:val="single" w:color="auto" w:sz="4" w:space="0"/>
              <w:right w:val="single" w:color="auto" w:sz="12" w:space="0"/>
            </w:tcBorders>
            <w:vAlign w:val="center"/>
          </w:tcPr>
          <w:p w14:paraId="601704A1">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+300</w:t>
            </w:r>
            <w:r>
              <w:rPr>
                <w:rFonts w:hint="default" w:ascii="Times New Roman" w:hAnsi="Times New Roman" w:eastAsia="宋体" w:cs="Times New Roman"/>
                <w:bCs/>
                <w:color w:val="auto"/>
                <w:sz w:val="24"/>
                <w:szCs w:val="24"/>
              </w:rPr>
              <w:t>t/a</w:t>
            </w:r>
          </w:p>
        </w:tc>
      </w:tr>
      <w:tr w14:paraId="6AE671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93" w:type="dxa"/>
            <w:vMerge w:val="continue"/>
            <w:tcBorders>
              <w:left w:val="single" w:color="auto" w:sz="12" w:space="0"/>
            </w:tcBorders>
            <w:vAlign w:val="center"/>
          </w:tcPr>
          <w:p w14:paraId="4D8E9C1E">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0C79A3F1">
            <w:pPr>
              <w:adjustRightInd w:val="0"/>
              <w:snapToGrid w:val="0"/>
              <w:spacing w:line="240" w:lineRule="auto"/>
              <w:ind w:firstLine="0" w:firstLineChars="0"/>
              <w:jc w:val="center"/>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渣土</w:t>
            </w:r>
          </w:p>
        </w:tc>
        <w:tc>
          <w:tcPr>
            <w:tcW w:w="1559" w:type="dxa"/>
            <w:tcBorders>
              <w:top w:val="single" w:color="auto" w:sz="4" w:space="0"/>
              <w:bottom w:val="single" w:color="auto" w:sz="4" w:space="0"/>
            </w:tcBorders>
            <w:vAlign w:val="center"/>
          </w:tcPr>
          <w:p w14:paraId="30D036FA">
            <w:pPr>
              <w:pStyle w:val="196"/>
              <w:adjustRightInd w:val="0"/>
              <w:snapToGrid w:val="0"/>
              <w:spacing w:line="240" w:lineRule="auto"/>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rPr>
              <w:t>-</w:t>
            </w:r>
          </w:p>
        </w:tc>
        <w:tc>
          <w:tcPr>
            <w:tcW w:w="1271" w:type="dxa"/>
            <w:tcBorders>
              <w:top w:val="single" w:color="auto" w:sz="4" w:space="0"/>
              <w:bottom w:val="single" w:color="auto" w:sz="4" w:space="0"/>
            </w:tcBorders>
            <w:vAlign w:val="center"/>
          </w:tcPr>
          <w:p w14:paraId="6427B9A0">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11BCC800">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22ACEDD8">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50000</w:t>
            </w:r>
            <w:r>
              <w:rPr>
                <w:rFonts w:hint="default" w:ascii="Times New Roman" w:hAnsi="Times New Roman" w:eastAsia="宋体" w:cs="Times New Roman"/>
                <w:bCs/>
                <w:color w:val="auto"/>
                <w:sz w:val="24"/>
                <w:szCs w:val="24"/>
              </w:rPr>
              <w:t>t/a</w:t>
            </w:r>
          </w:p>
        </w:tc>
        <w:tc>
          <w:tcPr>
            <w:tcW w:w="1281" w:type="dxa"/>
            <w:tcBorders>
              <w:top w:val="single" w:color="auto" w:sz="4" w:space="0"/>
              <w:bottom w:val="single" w:color="auto" w:sz="4" w:space="0"/>
            </w:tcBorders>
            <w:vAlign w:val="center"/>
          </w:tcPr>
          <w:p w14:paraId="604C575B">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746FC0BA">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50000</w:t>
            </w:r>
            <w:r>
              <w:rPr>
                <w:rFonts w:hint="default" w:ascii="Times New Roman" w:hAnsi="Times New Roman" w:eastAsia="宋体" w:cs="Times New Roman"/>
                <w:bCs/>
                <w:color w:val="auto"/>
                <w:sz w:val="24"/>
                <w:szCs w:val="24"/>
              </w:rPr>
              <w:t>t/a</w:t>
            </w:r>
          </w:p>
        </w:tc>
        <w:tc>
          <w:tcPr>
            <w:tcW w:w="1680" w:type="dxa"/>
            <w:tcBorders>
              <w:top w:val="single" w:color="auto" w:sz="4" w:space="0"/>
              <w:bottom w:val="single" w:color="auto" w:sz="4" w:space="0"/>
              <w:right w:val="single" w:color="auto" w:sz="12" w:space="0"/>
            </w:tcBorders>
            <w:vAlign w:val="center"/>
          </w:tcPr>
          <w:p w14:paraId="570C3837">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+50000</w:t>
            </w:r>
            <w:r>
              <w:rPr>
                <w:rFonts w:hint="default" w:ascii="Times New Roman" w:hAnsi="Times New Roman" w:eastAsia="宋体" w:cs="Times New Roman"/>
                <w:bCs/>
                <w:color w:val="auto"/>
                <w:sz w:val="24"/>
                <w:szCs w:val="24"/>
              </w:rPr>
              <w:t>t/a</w:t>
            </w:r>
          </w:p>
        </w:tc>
      </w:tr>
      <w:tr w14:paraId="686B13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93" w:type="dxa"/>
            <w:vMerge w:val="continue"/>
            <w:tcBorders>
              <w:left w:val="single" w:color="auto" w:sz="12" w:space="0"/>
            </w:tcBorders>
            <w:vAlign w:val="center"/>
          </w:tcPr>
          <w:p w14:paraId="51BF9268">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5230B74E">
            <w:pPr>
              <w:adjustRightInd w:val="0"/>
              <w:snapToGrid w:val="0"/>
              <w:spacing w:line="240" w:lineRule="auto"/>
              <w:ind w:firstLine="0" w:firstLineChars="0"/>
              <w:jc w:val="center"/>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除尘灰</w:t>
            </w:r>
          </w:p>
        </w:tc>
        <w:tc>
          <w:tcPr>
            <w:tcW w:w="1559" w:type="dxa"/>
            <w:tcBorders>
              <w:top w:val="single" w:color="auto" w:sz="4" w:space="0"/>
              <w:bottom w:val="single" w:color="auto" w:sz="4" w:space="0"/>
            </w:tcBorders>
            <w:vAlign w:val="center"/>
          </w:tcPr>
          <w:p w14:paraId="53EE9C80">
            <w:pPr>
              <w:pStyle w:val="196"/>
              <w:adjustRightInd w:val="0"/>
              <w:snapToGrid w:val="0"/>
              <w:spacing w:line="240" w:lineRule="auto"/>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rPr>
              <w:t>-</w:t>
            </w:r>
          </w:p>
        </w:tc>
        <w:tc>
          <w:tcPr>
            <w:tcW w:w="1271" w:type="dxa"/>
            <w:tcBorders>
              <w:top w:val="single" w:color="auto" w:sz="4" w:space="0"/>
              <w:bottom w:val="single" w:color="auto" w:sz="4" w:space="0"/>
            </w:tcBorders>
            <w:vAlign w:val="center"/>
          </w:tcPr>
          <w:p w14:paraId="180485CB">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2998EE83">
            <w:pPr>
              <w:pStyle w:val="196"/>
              <w:adjustRightInd w:val="0"/>
              <w:snapToGrid w:val="0"/>
              <w:spacing w:line="240" w:lineRule="auto"/>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Cs/>
                <w:snapToGrid w:val="0"/>
                <w:color w:val="auto"/>
                <w:kern w:val="21"/>
                <w:sz w:val="24"/>
                <w:szCs w:val="24"/>
              </w:rPr>
              <w:t>-</w:t>
            </w:r>
          </w:p>
        </w:tc>
        <w:tc>
          <w:tcPr>
            <w:tcW w:w="1553" w:type="dxa"/>
            <w:tcBorders>
              <w:top w:val="single" w:color="auto" w:sz="4" w:space="0"/>
              <w:bottom w:val="single" w:color="auto" w:sz="4" w:space="0"/>
            </w:tcBorders>
            <w:vAlign w:val="center"/>
          </w:tcPr>
          <w:p w14:paraId="3CDF287D">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648.02</w:t>
            </w:r>
            <w:r>
              <w:rPr>
                <w:rFonts w:hint="default" w:ascii="Times New Roman" w:hAnsi="Times New Roman" w:eastAsia="宋体" w:cs="Times New Roman"/>
                <w:bCs/>
                <w:color w:val="auto"/>
                <w:sz w:val="24"/>
                <w:szCs w:val="24"/>
              </w:rPr>
              <w:t>t/a</w:t>
            </w:r>
          </w:p>
        </w:tc>
        <w:tc>
          <w:tcPr>
            <w:tcW w:w="1281" w:type="dxa"/>
            <w:tcBorders>
              <w:top w:val="single" w:color="auto" w:sz="4" w:space="0"/>
              <w:bottom w:val="single" w:color="auto" w:sz="4" w:space="0"/>
            </w:tcBorders>
            <w:vAlign w:val="center"/>
          </w:tcPr>
          <w:p w14:paraId="0454224A">
            <w:pPr>
              <w:pStyle w:val="62"/>
              <w:tabs>
                <w:tab w:val="left" w:pos="1485"/>
                <w:tab w:val="center" w:pos="4113"/>
              </w:tabs>
              <w:ind w:firstLine="0" w:firstLineChars="0"/>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236746EF">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648.02</w:t>
            </w:r>
            <w:r>
              <w:rPr>
                <w:rFonts w:hint="default" w:ascii="Times New Roman" w:hAnsi="Times New Roman" w:eastAsia="宋体" w:cs="Times New Roman"/>
                <w:bCs/>
                <w:color w:val="auto"/>
                <w:sz w:val="24"/>
                <w:szCs w:val="24"/>
              </w:rPr>
              <w:t>t/a</w:t>
            </w:r>
          </w:p>
        </w:tc>
        <w:tc>
          <w:tcPr>
            <w:tcW w:w="1680" w:type="dxa"/>
            <w:tcBorders>
              <w:top w:val="single" w:color="auto" w:sz="4" w:space="0"/>
              <w:bottom w:val="single" w:color="auto" w:sz="4" w:space="0"/>
              <w:right w:val="single" w:color="auto" w:sz="12" w:space="0"/>
            </w:tcBorders>
            <w:vAlign w:val="center"/>
          </w:tcPr>
          <w:p w14:paraId="4912CF5D">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+648.02</w:t>
            </w:r>
            <w:r>
              <w:rPr>
                <w:rFonts w:hint="default" w:ascii="Times New Roman" w:hAnsi="Times New Roman" w:eastAsia="宋体" w:cs="Times New Roman"/>
                <w:bCs/>
                <w:color w:val="auto"/>
                <w:sz w:val="24"/>
                <w:szCs w:val="24"/>
              </w:rPr>
              <w:t>t/a</w:t>
            </w:r>
          </w:p>
        </w:tc>
      </w:tr>
      <w:tr w14:paraId="249C4F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93" w:type="dxa"/>
            <w:vMerge w:val="continue"/>
            <w:tcBorders>
              <w:left w:val="single" w:color="auto" w:sz="12" w:space="0"/>
            </w:tcBorders>
            <w:vAlign w:val="center"/>
          </w:tcPr>
          <w:p w14:paraId="552ACA5C">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p>
        </w:tc>
        <w:tc>
          <w:tcPr>
            <w:tcW w:w="1836" w:type="dxa"/>
            <w:tcBorders>
              <w:top w:val="single" w:color="auto" w:sz="4" w:space="0"/>
              <w:bottom w:val="single" w:color="auto" w:sz="4" w:space="0"/>
            </w:tcBorders>
            <w:vAlign w:val="center"/>
          </w:tcPr>
          <w:p w14:paraId="12BEE2F3">
            <w:pPr>
              <w:adjustRightInd w:val="0"/>
              <w:snapToGrid w:val="0"/>
              <w:spacing w:line="240" w:lineRule="auto"/>
              <w:ind w:firstLine="0" w:firstLineChars="0"/>
              <w:jc w:val="center"/>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废玻璃</w:t>
            </w:r>
          </w:p>
        </w:tc>
        <w:tc>
          <w:tcPr>
            <w:tcW w:w="1559" w:type="dxa"/>
            <w:tcBorders>
              <w:top w:val="single" w:color="auto" w:sz="4" w:space="0"/>
              <w:bottom w:val="single" w:color="auto" w:sz="4" w:space="0"/>
            </w:tcBorders>
            <w:vAlign w:val="center"/>
          </w:tcPr>
          <w:p w14:paraId="40154B9C">
            <w:pPr>
              <w:pStyle w:val="196"/>
              <w:adjustRightInd w:val="0"/>
              <w:snapToGrid w:val="0"/>
              <w:spacing w:line="240" w:lineRule="auto"/>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snapToGrid w:val="0"/>
                <w:color w:val="auto"/>
                <w:kern w:val="21"/>
                <w:sz w:val="24"/>
                <w:szCs w:val="24"/>
              </w:rPr>
              <w:t>-</w:t>
            </w:r>
          </w:p>
        </w:tc>
        <w:tc>
          <w:tcPr>
            <w:tcW w:w="1271" w:type="dxa"/>
            <w:tcBorders>
              <w:top w:val="single" w:color="auto" w:sz="4" w:space="0"/>
              <w:bottom w:val="single" w:color="auto" w:sz="4" w:space="0"/>
            </w:tcBorders>
            <w:vAlign w:val="center"/>
          </w:tcPr>
          <w:p w14:paraId="0C027684">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55896D6F">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1438201B">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350</w:t>
            </w:r>
            <w:r>
              <w:rPr>
                <w:rFonts w:hint="default" w:ascii="Times New Roman" w:hAnsi="Times New Roman" w:eastAsia="宋体" w:cs="Times New Roman"/>
                <w:bCs/>
                <w:color w:val="auto"/>
                <w:sz w:val="24"/>
                <w:szCs w:val="24"/>
              </w:rPr>
              <w:t>t/a</w:t>
            </w:r>
          </w:p>
        </w:tc>
        <w:tc>
          <w:tcPr>
            <w:tcW w:w="1281" w:type="dxa"/>
            <w:tcBorders>
              <w:top w:val="single" w:color="auto" w:sz="4" w:space="0"/>
              <w:bottom w:val="single" w:color="auto" w:sz="4" w:space="0"/>
            </w:tcBorders>
            <w:vAlign w:val="center"/>
          </w:tcPr>
          <w:p w14:paraId="48346B0C">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1DFB90E4">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350</w:t>
            </w:r>
            <w:r>
              <w:rPr>
                <w:rFonts w:hint="default" w:ascii="Times New Roman" w:hAnsi="Times New Roman" w:eastAsia="宋体" w:cs="Times New Roman"/>
                <w:bCs/>
                <w:color w:val="auto"/>
                <w:sz w:val="24"/>
                <w:szCs w:val="24"/>
              </w:rPr>
              <w:t>t/a</w:t>
            </w:r>
          </w:p>
        </w:tc>
        <w:tc>
          <w:tcPr>
            <w:tcW w:w="1680" w:type="dxa"/>
            <w:tcBorders>
              <w:top w:val="single" w:color="auto" w:sz="4" w:space="0"/>
              <w:bottom w:val="single" w:color="auto" w:sz="4" w:space="0"/>
              <w:right w:val="single" w:color="auto" w:sz="12" w:space="0"/>
            </w:tcBorders>
            <w:vAlign w:val="center"/>
          </w:tcPr>
          <w:p w14:paraId="56F23306">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val="en-US" w:eastAsia="zh-CN"/>
              </w:rPr>
              <w:t>+300</w:t>
            </w:r>
            <w:r>
              <w:rPr>
                <w:rFonts w:hint="default" w:ascii="Times New Roman" w:hAnsi="Times New Roman" w:eastAsia="宋体" w:cs="Times New Roman"/>
                <w:bCs/>
                <w:color w:val="auto"/>
                <w:sz w:val="24"/>
                <w:szCs w:val="24"/>
              </w:rPr>
              <w:t>t/a</w:t>
            </w:r>
          </w:p>
        </w:tc>
      </w:tr>
      <w:tr w14:paraId="503534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293" w:type="dxa"/>
            <w:tcBorders>
              <w:left w:val="single" w:color="auto" w:sz="12" w:space="0"/>
            </w:tcBorders>
            <w:vAlign w:val="center"/>
          </w:tcPr>
          <w:p w14:paraId="1BB08D3B">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危险废物</w:t>
            </w:r>
          </w:p>
        </w:tc>
        <w:tc>
          <w:tcPr>
            <w:tcW w:w="1836" w:type="dxa"/>
            <w:tcBorders>
              <w:top w:val="single" w:color="auto" w:sz="4" w:space="0"/>
              <w:bottom w:val="single" w:color="auto" w:sz="4" w:space="0"/>
            </w:tcBorders>
            <w:vAlign w:val="center"/>
          </w:tcPr>
          <w:p w14:paraId="5F26CFE5">
            <w:pPr>
              <w:pStyle w:val="196"/>
              <w:wordWrap w:val="0"/>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废机油、废油桶</w:t>
            </w:r>
          </w:p>
        </w:tc>
        <w:tc>
          <w:tcPr>
            <w:tcW w:w="1559" w:type="dxa"/>
            <w:tcBorders>
              <w:top w:val="single" w:color="auto" w:sz="4" w:space="0"/>
              <w:bottom w:val="single" w:color="auto" w:sz="4" w:space="0"/>
            </w:tcBorders>
            <w:vAlign w:val="center"/>
          </w:tcPr>
          <w:p w14:paraId="6F027E9F">
            <w:pPr>
              <w:pStyle w:val="196"/>
              <w:adjustRightInd w:val="0"/>
              <w:snapToGrid w:val="0"/>
              <w:spacing w:line="240" w:lineRule="auto"/>
              <w:ind w:firstLine="0" w:firstLineChars="0"/>
              <w:rPr>
                <w:rFonts w:hint="default" w:ascii="Times New Roman" w:hAnsi="Times New Roman" w:eastAsia="宋体" w:cs="Times New Roman"/>
                <w:bCs/>
                <w:color w:val="auto"/>
                <w:sz w:val="24"/>
                <w:szCs w:val="24"/>
              </w:rPr>
            </w:pPr>
            <w:r>
              <w:rPr>
                <w:rFonts w:hint="default" w:ascii="Times New Roman" w:hAnsi="Times New Roman" w:eastAsia="宋体" w:cs="Times New Roman"/>
                <w:bCs/>
                <w:snapToGrid w:val="0"/>
                <w:color w:val="auto"/>
                <w:kern w:val="21"/>
                <w:sz w:val="24"/>
                <w:szCs w:val="24"/>
              </w:rPr>
              <w:t>-</w:t>
            </w:r>
          </w:p>
        </w:tc>
        <w:tc>
          <w:tcPr>
            <w:tcW w:w="1271" w:type="dxa"/>
            <w:tcBorders>
              <w:top w:val="single" w:color="auto" w:sz="4" w:space="0"/>
              <w:bottom w:val="single" w:color="auto" w:sz="4" w:space="0"/>
            </w:tcBorders>
            <w:vAlign w:val="center"/>
          </w:tcPr>
          <w:p w14:paraId="4DC09252">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694" w:type="dxa"/>
            <w:tcBorders>
              <w:top w:val="single" w:color="auto" w:sz="4" w:space="0"/>
              <w:bottom w:val="single" w:color="auto" w:sz="4" w:space="0"/>
            </w:tcBorders>
            <w:vAlign w:val="center"/>
          </w:tcPr>
          <w:p w14:paraId="6FBA37AA">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53" w:type="dxa"/>
            <w:tcBorders>
              <w:top w:val="single" w:color="auto" w:sz="4" w:space="0"/>
              <w:bottom w:val="single" w:color="auto" w:sz="4" w:space="0"/>
            </w:tcBorders>
            <w:vAlign w:val="center"/>
          </w:tcPr>
          <w:p w14:paraId="55F679D4">
            <w:pPr>
              <w:pStyle w:val="196"/>
              <w:wordWrap w:val="0"/>
              <w:adjustRightInd w:val="0"/>
              <w:snapToGrid w:val="0"/>
              <w:spacing w:line="240" w:lineRule="auto"/>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color w:val="auto"/>
                <w:sz w:val="24"/>
                <w:szCs w:val="24"/>
                <w:lang w:val="en-US" w:eastAsia="zh-CN"/>
              </w:rPr>
              <w:t>0.05</w:t>
            </w:r>
            <w:r>
              <w:rPr>
                <w:rFonts w:hint="default" w:ascii="Times New Roman" w:hAnsi="Times New Roman" w:eastAsia="宋体" w:cs="Times New Roman"/>
                <w:bCs/>
                <w:color w:val="auto"/>
                <w:sz w:val="24"/>
                <w:szCs w:val="24"/>
              </w:rPr>
              <w:t>t/a</w:t>
            </w:r>
          </w:p>
        </w:tc>
        <w:tc>
          <w:tcPr>
            <w:tcW w:w="1281" w:type="dxa"/>
            <w:tcBorders>
              <w:top w:val="single" w:color="auto" w:sz="4" w:space="0"/>
              <w:bottom w:val="single" w:color="auto" w:sz="4" w:space="0"/>
            </w:tcBorders>
            <w:vAlign w:val="center"/>
          </w:tcPr>
          <w:p w14:paraId="6BACAAA1">
            <w:pPr>
              <w:pStyle w:val="62"/>
              <w:tabs>
                <w:tab w:val="left" w:pos="1485"/>
                <w:tab w:val="center" w:pos="4113"/>
              </w:tabs>
              <w:rPr>
                <w:rFonts w:hint="default" w:ascii="Times New Roman" w:hAnsi="Times New Roman" w:eastAsia="宋体" w:cs="Times New Roman"/>
                <w:b w:val="0"/>
                <w:bCs/>
                <w:snapToGrid w:val="0"/>
                <w:color w:val="auto"/>
                <w:kern w:val="21"/>
                <w:sz w:val="24"/>
                <w:szCs w:val="24"/>
              </w:rPr>
            </w:pPr>
            <w:r>
              <w:rPr>
                <w:rFonts w:hint="default" w:ascii="Times New Roman" w:hAnsi="Times New Roman" w:eastAsia="宋体" w:cs="Times New Roman"/>
                <w:b w:val="0"/>
                <w:bCs/>
                <w:snapToGrid w:val="0"/>
                <w:color w:val="auto"/>
                <w:kern w:val="21"/>
                <w:sz w:val="24"/>
                <w:szCs w:val="24"/>
              </w:rPr>
              <w:t>-</w:t>
            </w:r>
          </w:p>
        </w:tc>
        <w:tc>
          <w:tcPr>
            <w:tcW w:w="1568" w:type="dxa"/>
            <w:tcBorders>
              <w:top w:val="single" w:color="auto" w:sz="4" w:space="0"/>
              <w:bottom w:val="single" w:color="auto" w:sz="4" w:space="0"/>
            </w:tcBorders>
            <w:vAlign w:val="center"/>
          </w:tcPr>
          <w:p w14:paraId="5A1AE2EA">
            <w:pPr>
              <w:pStyle w:val="196"/>
              <w:wordWrap w:val="0"/>
              <w:adjustRightInd w:val="0"/>
              <w:snapToGrid w:val="0"/>
              <w:spacing w:line="240" w:lineRule="auto"/>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color w:val="auto"/>
                <w:sz w:val="24"/>
                <w:szCs w:val="24"/>
                <w:lang w:val="en-US" w:eastAsia="zh-CN"/>
              </w:rPr>
              <w:t>0.05</w:t>
            </w:r>
            <w:r>
              <w:rPr>
                <w:rFonts w:hint="default" w:ascii="Times New Roman" w:hAnsi="Times New Roman" w:eastAsia="宋体" w:cs="Times New Roman"/>
                <w:bCs/>
                <w:color w:val="auto"/>
                <w:sz w:val="24"/>
                <w:szCs w:val="24"/>
              </w:rPr>
              <w:t>t/a</w:t>
            </w:r>
          </w:p>
        </w:tc>
        <w:tc>
          <w:tcPr>
            <w:tcW w:w="1680" w:type="dxa"/>
            <w:tcBorders>
              <w:top w:val="single" w:color="auto" w:sz="4" w:space="0"/>
              <w:bottom w:val="single" w:color="auto" w:sz="4" w:space="0"/>
              <w:right w:val="single" w:color="auto" w:sz="12" w:space="0"/>
            </w:tcBorders>
            <w:vAlign w:val="center"/>
          </w:tcPr>
          <w:p w14:paraId="548011BC">
            <w:pPr>
              <w:pStyle w:val="196"/>
              <w:wordWrap w:val="0"/>
              <w:adjustRightInd w:val="0"/>
              <w:snapToGrid w:val="0"/>
              <w:spacing w:line="240" w:lineRule="auto"/>
              <w:ind w:firstLine="0" w:firstLineChars="0"/>
              <w:rPr>
                <w:rFonts w:hint="default" w:ascii="Times New Roman" w:hAnsi="Times New Roman" w:eastAsia="宋体" w:cs="Times New Roman"/>
                <w:bCs/>
                <w:snapToGrid w:val="0"/>
                <w:color w:val="auto"/>
                <w:kern w:val="21"/>
                <w:sz w:val="24"/>
                <w:szCs w:val="24"/>
              </w:rPr>
            </w:pPr>
            <w:r>
              <w:rPr>
                <w:rFonts w:hint="default" w:ascii="Times New Roman" w:hAnsi="Times New Roman" w:eastAsia="宋体" w:cs="Times New Roman"/>
                <w:bCs/>
                <w:color w:val="auto"/>
                <w:sz w:val="24"/>
                <w:szCs w:val="24"/>
                <w:lang w:val="en-US" w:eastAsia="zh-CN"/>
              </w:rPr>
              <w:t>+0.05</w:t>
            </w:r>
            <w:r>
              <w:rPr>
                <w:rFonts w:hint="default" w:ascii="Times New Roman" w:hAnsi="Times New Roman" w:eastAsia="宋体" w:cs="Times New Roman"/>
                <w:bCs/>
                <w:color w:val="auto"/>
                <w:sz w:val="24"/>
                <w:szCs w:val="24"/>
              </w:rPr>
              <w:t>t/a</w:t>
            </w:r>
          </w:p>
        </w:tc>
      </w:tr>
    </w:tbl>
    <w:p w14:paraId="6297BEB6">
      <w:pPr>
        <w:pStyle w:val="62"/>
        <w:spacing w:before="192" w:beforeLines="80" w:after="24" w:line="360" w:lineRule="auto"/>
        <w:jc w:val="left"/>
        <w:rPr>
          <w:snapToGrid w:val="0"/>
          <w:color w:val="auto"/>
          <w:spacing w:val="-6"/>
          <w:kern w:val="21"/>
          <w:szCs w:val="21"/>
        </w:rPr>
      </w:pPr>
      <w:r>
        <w:rPr>
          <w:snapToGrid w:val="0"/>
          <w:color w:val="auto"/>
          <w:kern w:val="21"/>
          <w:szCs w:val="21"/>
        </w:rPr>
        <w:t>注：</w:t>
      </w:r>
      <w:r>
        <w:rPr>
          <w:snapToGrid w:val="0"/>
          <w:color w:val="auto"/>
          <w:spacing w:val="-16"/>
          <w:kern w:val="21"/>
          <w:szCs w:val="21"/>
        </w:rPr>
        <w:fldChar w:fldCharType="begin"/>
      </w:r>
      <w:r>
        <w:rPr>
          <w:snapToGrid w:val="0"/>
          <w:color w:val="auto"/>
          <w:spacing w:val="-16"/>
          <w:kern w:val="21"/>
          <w:szCs w:val="21"/>
        </w:rPr>
        <w:instrText xml:space="preserve"> = 6 \* GB3 \* MERGEFORMAT </w:instrText>
      </w:r>
      <w:r>
        <w:rPr>
          <w:snapToGrid w:val="0"/>
          <w:color w:val="auto"/>
          <w:spacing w:val="-16"/>
          <w:kern w:val="21"/>
          <w:szCs w:val="21"/>
        </w:rPr>
        <w:fldChar w:fldCharType="separate"/>
      </w:r>
      <w:r>
        <w:rPr>
          <w:rFonts w:hint="eastAsia" w:ascii="宋体" w:hAnsi="宋体" w:cs="宋体"/>
          <w:color w:val="auto"/>
          <w:szCs w:val="21"/>
        </w:rPr>
        <w:t>⑥</w:t>
      </w:r>
      <w:r>
        <w:rPr>
          <w:snapToGrid w:val="0"/>
          <w:color w:val="auto"/>
          <w:spacing w:val="-16"/>
          <w:kern w:val="21"/>
          <w:szCs w:val="21"/>
        </w:rPr>
        <w:fldChar w:fldCharType="end"/>
      </w:r>
      <w:r>
        <w:rPr>
          <w:snapToGrid w:val="0"/>
          <w:color w:val="auto"/>
          <w:spacing w:val="-16"/>
          <w:kern w:val="21"/>
          <w:szCs w:val="21"/>
        </w:rPr>
        <w:t>=</w:t>
      </w:r>
      <w:r>
        <w:rPr>
          <w:snapToGrid w:val="0"/>
          <w:color w:val="auto"/>
          <w:spacing w:val="-6"/>
          <w:kern w:val="21"/>
          <w:szCs w:val="21"/>
        </w:rPr>
        <w:fldChar w:fldCharType="begin"/>
      </w:r>
      <w:r>
        <w:rPr>
          <w:snapToGrid w:val="0"/>
          <w:color w:val="auto"/>
          <w:spacing w:val="-6"/>
          <w:kern w:val="21"/>
          <w:szCs w:val="21"/>
        </w:rPr>
        <w:instrText xml:space="preserve"> = 1 \* GB3 \* MERGEFORMAT </w:instrText>
      </w:r>
      <w:r>
        <w:rPr>
          <w:snapToGrid w:val="0"/>
          <w:color w:val="auto"/>
          <w:spacing w:val="-6"/>
          <w:kern w:val="21"/>
          <w:szCs w:val="21"/>
        </w:rPr>
        <w:fldChar w:fldCharType="separate"/>
      </w:r>
      <w:r>
        <w:rPr>
          <w:rFonts w:hint="eastAsia" w:ascii="宋体" w:hAnsi="宋体" w:cs="宋体"/>
          <w:color w:val="auto"/>
          <w:szCs w:val="21"/>
        </w:rPr>
        <w:t>①</w:t>
      </w:r>
      <w:r>
        <w:rPr>
          <w:snapToGrid w:val="0"/>
          <w:color w:val="auto"/>
          <w:spacing w:val="-6"/>
          <w:kern w:val="21"/>
          <w:szCs w:val="21"/>
        </w:rPr>
        <w:fldChar w:fldCharType="end"/>
      </w:r>
      <w:r>
        <w:rPr>
          <w:snapToGrid w:val="0"/>
          <w:color w:val="auto"/>
          <w:spacing w:val="-6"/>
          <w:kern w:val="21"/>
          <w:szCs w:val="21"/>
        </w:rPr>
        <w:t>+</w:t>
      </w:r>
      <w:r>
        <w:rPr>
          <w:snapToGrid w:val="0"/>
          <w:color w:val="auto"/>
          <w:spacing w:val="-6"/>
          <w:kern w:val="21"/>
          <w:szCs w:val="21"/>
        </w:rPr>
        <w:fldChar w:fldCharType="begin"/>
      </w:r>
      <w:r>
        <w:rPr>
          <w:snapToGrid w:val="0"/>
          <w:color w:val="auto"/>
          <w:spacing w:val="-6"/>
          <w:kern w:val="21"/>
          <w:szCs w:val="21"/>
        </w:rPr>
        <w:instrText xml:space="preserve"> = 3 \* GB3 \* MERGEFORMAT </w:instrText>
      </w:r>
      <w:r>
        <w:rPr>
          <w:snapToGrid w:val="0"/>
          <w:color w:val="auto"/>
          <w:spacing w:val="-6"/>
          <w:kern w:val="21"/>
          <w:szCs w:val="21"/>
        </w:rPr>
        <w:fldChar w:fldCharType="separate"/>
      </w:r>
      <w:r>
        <w:rPr>
          <w:rFonts w:hint="eastAsia" w:ascii="宋体" w:hAnsi="宋体" w:cs="宋体"/>
          <w:color w:val="auto"/>
          <w:szCs w:val="21"/>
        </w:rPr>
        <w:t>③</w:t>
      </w:r>
      <w:r>
        <w:rPr>
          <w:snapToGrid w:val="0"/>
          <w:color w:val="auto"/>
          <w:spacing w:val="-6"/>
          <w:kern w:val="21"/>
          <w:szCs w:val="21"/>
        </w:rPr>
        <w:fldChar w:fldCharType="end"/>
      </w:r>
      <w:r>
        <w:rPr>
          <w:snapToGrid w:val="0"/>
          <w:color w:val="auto"/>
          <w:spacing w:val="-6"/>
          <w:kern w:val="21"/>
          <w:szCs w:val="21"/>
        </w:rPr>
        <w:t>+</w:t>
      </w:r>
      <w:r>
        <w:rPr>
          <w:snapToGrid w:val="0"/>
          <w:color w:val="auto"/>
          <w:spacing w:val="-6"/>
          <w:kern w:val="21"/>
          <w:szCs w:val="21"/>
        </w:rPr>
        <w:fldChar w:fldCharType="begin"/>
      </w:r>
      <w:r>
        <w:rPr>
          <w:snapToGrid w:val="0"/>
          <w:color w:val="auto"/>
          <w:spacing w:val="-6"/>
          <w:kern w:val="21"/>
          <w:szCs w:val="21"/>
        </w:rPr>
        <w:instrText xml:space="preserve"> = 4 \* GB3 \* MERGEFORMAT </w:instrText>
      </w:r>
      <w:r>
        <w:rPr>
          <w:snapToGrid w:val="0"/>
          <w:color w:val="auto"/>
          <w:spacing w:val="-6"/>
          <w:kern w:val="21"/>
          <w:szCs w:val="21"/>
        </w:rPr>
        <w:fldChar w:fldCharType="separate"/>
      </w:r>
      <w:r>
        <w:rPr>
          <w:rFonts w:hint="eastAsia" w:ascii="宋体" w:hAnsi="宋体" w:cs="宋体"/>
          <w:color w:val="auto"/>
          <w:szCs w:val="21"/>
        </w:rPr>
        <w:t>④</w:t>
      </w:r>
      <w:r>
        <w:rPr>
          <w:snapToGrid w:val="0"/>
          <w:color w:val="auto"/>
          <w:spacing w:val="-6"/>
          <w:kern w:val="21"/>
          <w:szCs w:val="21"/>
        </w:rPr>
        <w:fldChar w:fldCharType="end"/>
      </w:r>
      <w:r>
        <w:rPr>
          <w:snapToGrid w:val="0"/>
          <w:color w:val="auto"/>
          <w:spacing w:val="-6"/>
          <w:kern w:val="21"/>
          <w:szCs w:val="21"/>
        </w:rPr>
        <w:t>-</w:t>
      </w:r>
      <w:r>
        <w:rPr>
          <w:snapToGrid w:val="0"/>
          <w:color w:val="auto"/>
          <w:spacing w:val="-16"/>
          <w:kern w:val="21"/>
          <w:szCs w:val="21"/>
        </w:rPr>
        <w:fldChar w:fldCharType="begin"/>
      </w:r>
      <w:r>
        <w:rPr>
          <w:snapToGrid w:val="0"/>
          <w:color w:val="auto"/>
          <w:spacing w:val="-16"/>
          <w:kern w:val="21"/>
          <w:szCs w:val="21"/>
        </w:rPr>
        <w:instrText xml:space="preserve"> = 5 \* GB3 \* MERGEFORMAT </w:instrText>
      </w:r>
      <w:r>
        <w:rPr>
          <w:snapToGrid w:val="0"/>
          <w:color w:val="auto"/>
          <w:spacing w:val="-16"/>
          <w:kern w:val="21"/>
          <w:szCs w:val="21"/>
        </w:rPr>
        <w:fldChar w:fldCharType="separate"/>
      </w:r>
      <w:r>
        <w:rPr>
          <w:rFonts w:hint="eastAsia" w:ascii="宋体" w:hAnsi="宋体" w:cs="宋体"/>
          <w:color w:val="auto"/>
          <w:szCs w:val="21"/>
        </w:rPr>
        <w:t>⑤</w:t>
      </w:r>
      <w:r>
        <w:rPr>
          <w:snapToGrid w:val="0"/>
          <w:color w:val="auto"/>
          <w:spacing w:val="-16"/>
          <w:kern w:val="21"/>
          <w:szCs w:val="21"/>
        </w:rPr>
        <w:fldChar w:fldCharType="end"/>
      </w:r>
      <w:r>
        <w:rPr>
          <w:snapToGrid w:val="0"/>
          <w:color w:val="auto"/>
          <w:spacing w:val="-16"/>
          <w:kern w:val="21"/>
          <w:szCs w:val="21"/>
        </w:rPr>
        <w:t>；</w:t>
      </w:r>
      <w:r>
        <w:rPr>
          <w:snapToGrid w:val="0"/>
          <w:color w:val="auto"/>
          <w:spacing w:val="-6"/>
          <w:kern w:val="21"/>
          <w:szCs w:val="21"/>
        </w:rPr>
        <w:fldChar w:fldCharType="begin"/>
      </w:r>
      <w:r>
        <w:rPr>
          <w:snapToGrid w:val="0"/>
          <w:color w:val="auto"/>
          <w:spacing w:val="-6"/>
          <w:kern w:val="21"/>
          <w:szCs w:val="21"/>
        </w:rPr>
        <w:instrText xml:space="preserve"> = 7 \* GB3 \* MERGEFORMAT </w:instrText>
      </w:r>
      <w:r>
        <w:rPr>
          <w:snapToGrid w:val="0"/>
          <w:color w:val="auto"/>
          <w:spacing w:val="-6"/>
          <w:kern w:val="21"/>
          <w:szCs w:val="21"/>
        </w:rPr>
        <w:fldChar w:fldCharType="separate"/>
      </w:r>
      <w:r>
        <w:rPr>
          <w:rFonts w:hint="eastAsia" w:ascii="宋体" w:hAnsi="宋体" w:cs="宋体"/>
          <w:color w:val="auto"/>
          <w:szCs w:val="21"/>
        </w:rPr>
        <w:t>⑦</w:t>
      </w:r>
      <w:r>
        <w:rPr>
          <w:snapToGrid w:val="0"/>
          <w:color w:val="auto"/>
          <w:spacing w:val="-6"/>
          <w:kern w:val="21"/>
          <w:szCs w:val="21"/>
        </w:rPr>
        <w:fldChar w:fldCharType="end"/>
      </w:r>
      <w:r>
        <w:rPr>
          <w:snapToGrid w:val="0"/>
          <w:color w:val="auto"/>
          <w:spacing w:val="-6"/>
          <w:kern w:val="21"/>
          <w:szCs w:val="21"/>
        </w:rPr>
        <w:t>=</w:t>
      </w:r>
      <w:r>
        <w:rPr>
          <w:snapToGrid w:val="0"/>
          <w:color w:val="auto"/>
          <w:spacing w:val="-16"/>
          <w:kern w:val="21"/>
          <w:szCs w:val="21"/>
        </w:rPr>
        <w:fldChar w:fldCharType="begin"/>
      </w:r>
      <w:r>
        <w:rPr>
          <w:snapToGrid w:val="0"/>
          <w:color w:val="auto"/>
          <w:spacing w:val="-16"/>
          <w:kern w:val="21"/>
          <w:szCs w:val="21"/>
        </w:rPr>
        <w:instrText xml:space="preserve"> = 6 \* GB3 \* MERGEFORMAT </w:instrText>
      </w:r>
      <w:r>
        <w:rPr>
          <w:snapToGrid w:val="0"/>
          <w:color w:val="auto"/>
          <w:spacing w:val="-16"/>
          <w:kern w:val="21"/>
          <w:szCs w:val="21"/>
        </w:rPr>
        <w:fldChar w:fldCharType="separate"/>
      </w:r>
      <w:r>
        <w:rPr>
          <w:rFonts w:hint="eastAsia" w:ascii="宋体" w:hAnsi="宋体" w:cs="宋体"/>
          <w:color w:val="auto"/>
          <w:szCs w:val="21"/>
        </w:rPr>
        <w:t>⑥</w:t>
      </w:r>
      <w:r>
        <w:rPr>
          <w:snapToGrid w:val="0"/>
          <w:color w:val="auto"/>
          <w:spacing w:val="-16"/>
          <w:kern w:val="21"/>
          <w:szCs w:val="21"/>
        </w:rPr>
        <w:fldChar w:fldCharType="end"/>
      </w:r>
      <w:r>
        <w:rPr>
          <w:snapToGrid w:val="0"/>
          <w:color w:val="auto"/>
          <w:spacing w:val="-16"/>
          <w:kern w:val="21"/>
          <w:szCs w:val="21"/>
        </w:rPr>
        <w:t>-</w:t>
      </w:r>
      <w:r>
        <w:rPr>
          <w:snapToGrid w:val="0"/>
          <w:color w:val="auto"/>
          <w:spacing w:val="-6"/>
          <w:kern w:val="21"/>
          <w:szCs w:val="21"/>
        </w:rPr>
        <w:fldChar w:fldCharType="begin"/>
      </w:r>
      <w:r>
        <w:rPr>
          <w:snapToGrid w:val="0"/>
          <w:color w:val="auto"/>
          <w:spacing w:val="-6"/>
          <w:kern w:val="21"/>
          <w:szCs w:val="21"/>
        </w:rPr>
        <w:instrText xml:space="preserve"> = 1 \* GB3 \* MERGEFORMAT </w:instrText>
      </w:r>
      <w:r>
        <w:rPr>
          <w:snapToGrid w:val="0"/>
          <w:color w:val="auto"/>
          <w:spacing w:val="-6"/>
          <w:kern w:val="21"/>
          <w:szCs w:val="21"/>
        </w:rPr>
        <w:fldChar w:fldCharType="separate"/>
      </w:r>
      <w:r>
        <w:rPr>
          <w:rFonts w:hint="eastAsia" w:ascii="宋体" w:hAnsi="宋体" w:cs="宋体"/>
          <w:color w:val="auto"/>
          <w:szCs w:val="21"/>
        </w:rPr>
        <w:t>①</w:t>
      </w:r>
      <w:r>
        <w:rPr>
          <w:snapToGrid w:val="0"/>
          <w:color w:val="auto"/>
          <w:spacing w:val="-6"/>
          <w:kern w:val="21"/>
          <w:szCs w:val="21"/>
        </w:rPr>
        <w:fldChar w:fldCharType="end"/>
      </w:r>
    </w:p>
    <w:p w14:paraId="0439BD81">
      <w:pPr>
        <w:ind w:left="0" w:leftChars="0" w:firstLine="0" w:firstLineChars="0"/>
        <w:rPr>
          <w:color w:val="auto"/>
        </w:rPr>
      </w:pPr>
    </w:p>
    <w:sectPr>
      <w:footerReference r:id="rId14" w:type="default"/>
      <w:pgSz w:w="16838" w:h="11906" w:orient="landscape"/>
      <w:pgMar w:top="1417" w:right="1587" w:bottom="1417" w:left="1587" w:header="851" w:footer="851" w:gutter="0"/>
      <w:pgBorders>
        <w:top w:val="none" w:sz="0" w:space="0"/>
        <w:left w:val="none" w:sz="0" w:space="0"/>
        <w:bottom w:val="none" w:sz="0" w:space="0"/>
        <w:right w:val="none" w:sz="0" w:space="0"/>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Brush Script MT">
    <w:altName w:val="Mongolian Baiti"/>
    <w:panose1 w:val="03060802040406070304"/>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TimesNewRomanPSMT">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Calibri Light">
    <w:panose1 w:val="020F03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0B103">
    <w:pPr>
      <w:tabs>
        <w:tab w:val="center" w:pos="4153"/>
        <w:tab w:val="right" w:pos="8306"/>
      </w:tabs>
      <w:ind w:right="360"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933C4">
    <w:pPr>
      <w:framePr w:wrap="around" w:vAnchor="text" w:hAnchor="margin" w:xAlign="center" w:y="1"/>
      <w:tabs>
        <w:tab w:val="center" w:pos="4153"/>
        <w:tab w:val="right" w:pos="8306"/>
      </w:tabs>
      <w:ind w:firstLine="480"/>
    </w:pPr>
    <w:r>
      <w:fldChar w:fldCharType="begin"/>
    </w:r>
    <w:r>
      <w:instrText xml:space="preserve">PAGE  </w:instrText>
    </w:r>
    <w:r>
      <w:fldChar w:fldCharType="end"/>
    </w:r>
  </w:p>
  <w:p w14:paraId="5B53C270">
    <w:pPr>
      <w:tabs>
        <w:tab w:val="center" w:pos="4153"/>
        <w:tab w:val="right" w:pos="8306"/>
      </w:tabs>
      <w:ind w:right="360" w:firstLine="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8BE44">
    <w:pPr>
      <w:pStyle w:val="2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AA08C">
    <w:pPr>
      <w:tabs>
        <w:tab w:val="center" w:pos="4153"/>
        <w:tab w:val="right" w:pos="8306"/>
      </w:tabs>
      <w:ind w:right="360" w:firstLine="48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ACC45">
    <w:pPr>
      <w:tabs>
        <w:tab w:val="center" w:pos="4153"/>
        <w:tab w:val="right" w:pos="8306"/>
      </w:tabs>
      <w:ind w:right="360" w:firstLine="48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DB356">
    <w:pPr>
      <w:tabs>
        <w:tab w:val="right" w:pos="8306"/>
      </w:tabs>
      <w:ind w:right="360" w:firstLine="48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9DED2">
                          <w:pPr>
                            <w:pStyle w:val="23"/>
                            <w:ind w:firstLine="360"/>
                          </w:pPr>
                          <w:r>
                            <w:fldChar w:fldCharType="begin"/>
                          </w:r>
                          <w:r>
                            <w:instrText xml:space="preserve"> PAGE  \* MERGEFORMAT </w:instrText>
                          </w:r>
                          <w:r>
                            <w:fldChar w:fldCharType="separate"/>
                          </w:r>
                          <w:r>
                            <w:t>１</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B29DED2">
                    <w:pPr>
                      <w:pStyle w:val="23"/>
                      <w:ind w:firstLine="360"/>
                    </w:pPr>
                    <w:r>
                      <w:fldChar w:fldCharType="begin"/>
                    </w:r>
                    <w:r>
                      <w:instrText xml:space="preserve"> PAGE  \* MERGEFORMAT </w:instrText>
                    </w:r>
                    <w:r>
                      <w:fldChar w:fldCharType="separate"/>
                    </w:r>
                    <w:r>
                      <w:t>１</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D8BC0">
    <w:pPr>
      <w:tabs>
        <w:tab w:val="center" w:pos="4153"/>
        <w:tab w:val="right" w:pos="8306"/>
      </w:tabs>
      <w:ind w:right="360" w:firstLine="48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0C75FC">
                          <w:pPr>
                            <w:pStyle w:val="23"/>
                            <w:ind w:firstLine="360"/>
                          </w:pPr>
                          <w:r>
                            <w:fldChar w:fldCharType="begin"/>
                          </w:r>
                          <w:r>
                            <w:instrText xml:space="preserve"> PAGE  \* MERGEFORMAT </w:instrText>
                          </w:r>
                          <w:r>
                            <w:fldChar w:fldCharType="separate"/>
                          </w:r>
                          <w:r>
                            <w:t>７５</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80C75FC">
                    <w:pPr>
                      <w:pStyle w:val="23"/>
                      <w:ind w:firstLine="360"/>
                    </w:pPr>
                    <w:r>
                      <w:fldChar w:fldCharType="begin"/>
                    </w:r>
                    <w:r>
                      <w:instrText xml:space="preserve"> PAGE  \* MERGEFORMAT </w:instrText>
                    </w:r>
                    <w:r>
                      <w:fldChar w:fldCharType="separate"/>
                    </w:r>
                    <w:r>
                      <w:t>７５</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64C36">
    <w:pPr>
      <w:ind w:left="48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1DD9">
    <w:pPr>
      <w:pStyle w:val="2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3707C">
    <w:pPr>
      <w:pStyle w:val="2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8BB23C"/>
    <w:multiLevelType w:val="multilevel"/>
    <w:tmpl w:val="958BB23C"/>
    <w:lvl w:ilvl="0" w:tentative="0">
      <w:start w:val="1"/>
      <w:numFmt w:val="decimal"/>
      <w:pStyle w:val="105"/>
      <w:isLgl/>
      <w:lvlText w:val="%1"/>
      <w:lvlJc w:val="left"/>
      <w:pPr>
        <w:tabs>
          <w:tab w:val="left" w:pos="432"/>
        </w:tabs>
        <w:ind w:left="0" w:firstLine="0"/>
      </w:pPr>
      <w:rPr>
        <w:rFonts w:hint="default" w:ascii="Times New Roman" w:hAnsi="Times New Roman" w:cs="Times New Roman"/>
        <w:color w:val="000000"/>
      </w:rPr>
    </w:lvl>
    <w:lvl w:ilvl="1" w:tentative="0">
      <w:start w:val="1"/>
      <w:numFmt w:val="decimal"/>
      <w:lvlText w:val="%1.%2"/>
      <w:lvlJc w:val="left"/>
      <w:pPr>
        <w:tabs>
          <w:tab w:val="left" w:pos="756"/>
        </w:tabs>
        <w:ind w:left="756" w:hanging="576"/>
      </w:pPr>
      <w:rPr>
        <w:rFonts w:hint="default" w:ascii="Times New Roman" w:hAnsi="Times New Roman" w:cs="Times New Roman"/>
        <w:color w:val="000000"/>
        <w:sz w:val="28"/>
        <w:szCs w:val="28"/>
      </w:rPr>
    </w:lvl>
    <w:lvl w:ilvl="2" w:tentative="0">
      <w:start w:val="1"/>
      <w:numFmt w:val="decimal"/>
      <w:lvlText w:val="%1.%2.%3"/>
      <w:lvlJc w:val="left"/>
      <w:pPr>
        <w:tabs>
          <w:tab w:val="left" w:pos="0"/>
        </w:tabs>
        <w:ind w:left="0" w:firstLine="0"/>
      </w:pPr>
      <w:rPr>
        <w:rFonts w:hint="default" w:ascii="Times New Roman" w:hAnsi="Times New Roman" w:cs="Times New Roman"/>
        <w:b/>
        <w:bCs w:val="0"/>
        <w:i w:val="0"/>
        <w:iCs w:val="0"/>
        <w:caps w:val="0"/>
        <w:smallCaps w:val="0"/>
        <w:strike w:val="0"/>
        <w:dstrike w:val="0"/>
        <w:vanish w:val="0"/>
        <w:color w:val="000000"/>
        <w:spacing w:val="0"/>
        <w:kern w:val="0"/>
        <w:position w:val="0"/>
        <w:sz w:val="24"/>
        <w:szCs w:val="24"/>
        <w:u w:val="none"/>
        <w:vertAlign w:val="baseline"/>
      </w:rPr>
    </w:lvl>
    <w:lvl w:ilvl="3" w:tentative="0">
      <w:start w:val="1"/>
      <w:numFmt w:val="decimal"/>
      <w:lvlText w:val="%1.%2.%3.%4"/>
      <w:lvlJc w:val="left"/>
      <w:pPr>
        <w:tabs>
          <w:tab w:val="left" w:pos="1404"/>
        </w:tabs>
        <w:ind w:left="1404" w:hanging="864"/>
      </w:pPr>
      <w:rPr>
        <w:rFonts w:hint="default" w:ascii="Times New Roman" w:hAnsi="Times New Roman" w:cs="Times New Roman"/>
        <w:b w:val="0"/>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DFFD0E9"/>
    <w:multiLevelType w:val="singleLevel"/>
    <w:tmpl w:val="CDFFD0E9"/>
    <w:lvl w:ilvl="0" w:tentative="0">
      <w:start w:val="1"/>
      <w:numFmt w:val="decimal"/>
      <w:suff w:val="nothing"/>
      <w:lvlText w:val="（%1）"/>
      <w:lvlJc w:val="left"/>
    </w:lvl>
  </w:abstractNum>
  <w:abstractNum w:abstractNumId="2">
    <w:nsid w:val="CE742B3B"/>
    <w:multiLevelType w:val="singleLevel"/>
    <w:tmpl w:val="CE742B3B"/>
    <w:lvl w:ilvl="0" w:tentative="0">
      <w:start w:val="3"/>
      <w:numFmt w:val="decimal"/>
      <w:suff w:val="nothing"/>
      <w:lvlText w:val="%1）"/>
      <w:lvlJc w:val="left"/>
    </w:lvl>
  </w:abstractNum>
  <w:abstractNum w:abstractNumId="3">
    <w:nsid w:val="D555B003"/>
    <w:multiLevelType w:val="singleLevel"/>
    <w:tmpl w:val="D555B003"/>
    <w:lvl w:ilvl="0" w:tentative="0">
      <w:start w:val="5"/>
      <w:numFmt w:val="decimal"/>
      <w:suff w:val="nothing"/>
      <w:lvlText w:val="%1、"/>
      <w:lvlJc w:val="left"/>
    </w:lvl>
  </w:abstractNum>
  <w:abstractNum w:abstractNumId="4">
    <w:nsid w:val="F4448CF9"/>
    <w:multiLevelType w:val="singleLevel"/>
    <w:tmpl w:val="F4448CF9"/>
    <w:lvl w:ilvl="0" w:tentative="0">
      <w:start w:val="1"/>
      <w:numFmt w:val="decimal"/>
      <w:suff w:val="nothing"/>
      <w:lvlText w:val="（%1）"/>
      <w:lvlJc w:val="left"/>
    </w:lvl>
  </w:abstractNum>
  <w:abstractNum w:abstractNumId="5">
    <w:nsid w:val="0A19179A"/>
    <w:multiLevelType w:val="singleLevel"/>
    <w:tmpl w:val="0A19179A"/>
    <w:lvl w:ilvl="0" w:tentative="0">
      <w:start w:val="3"/>
      <w:numFmt w:val="decimal"/>
      <w:lvlText w:val="%1."/>
      <w:lvlJc w:val="left"/>
      <w:pPr>
        <w:tabs>
          <w:tab w:val="left" w:pos="312"/>
        </w:tabs>
      </w:pPr>
    </w:lvl>
  </w:abstractNum>
  <w:abstractNum w:abstractNumId="6">
    <w:nsid w:val="0D00FFA1"/>
    <w:multiLevelType w:val="singleLevel"/>
    <w:tmpl w:val="0D00FFA1"/>
    <w:lvl w:ilvl="0" w:tentative="0">
      <w:start w:val="13"/>
      <w:numFmt w:val="decimal"/>
      <w:suff w:val="nothing"/>
      <w:lvlText w:val="（%1）"/>
      <w:lvlJc w:val="left"/>
    </w:lvl>
  </w:abstractNum>
  <w:abstractNum w:abstractNumId="7">
    <w:nsid w:val="3E3C5775"/>
    <w:multiLevelType w:val="singleLevel"/>
    <w:tmpl w:val="3E3C5775"/>
    <w:lvl w:ilvl="0" w:tentative="0">
      <w:start w:val="1"/>
      <w:numFmt w:val="decimal"/>
      <w:lvlText w:val="%1."/>
      <w:lvlJc w:val="left"/>
      <w:pPr>
        <w:tabs>
          <w:tab w:val="left" w:pos="312"/>
        </w:tabs>
      </w:pPr>
    </w:lvl>
  </w:abstractNum>
  <w:abstractNum w:abstractNumId="8">
    <w:nsid w:val="784D1F68"/>
    <w:multiLevelType w:val="singleLevel"/>
    <w:tmpl w:val="784D1F68"/>
    <w:lvl w:ilvl="0" w:tentative="0">
      <w:start w:val="2"/>
      <w:numFmt w:val="decimal"/>
      <w:suff w:val="nothing"/>
      <w:lvlText w:val="（%1）"/>
      <w:lvlJc w:val="left"/>
    </w:lvl>
  </w:abstractNum>
  <w:num w:numId="1">
    <w:abstractNumId w:val="0"/>
  </w:num>
  <w:num w:numId="2">
    <w:abstractNumId w:val="7"/>
  </w:num>
  <w:num w:numId="3">
    <w:abstractNumId w:val="6"/>
  </w:num>
  <w:num w:numId="4">
    <w:abstractNumId w:val="8"/>
  </w:num>
  <w:num w:numId="5">
    <w:abstractNumId w:val="5"/>
  </w:num>
  <w:num w:numId="6">
    <w:abstractNumId w:val="2"/>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isplayHorizontalDrawingGridEvery w:val="1"/>
  <w:displayVerticalDrawingGridEvery w:val="1"/>
  <w:noPunctuationKerning w:val="1"/>
  <w:characterSpacingControl w:val="doNotCompress"/>
  <w:noLineBreaksAfter w:lang="zh-CN" w:val="([{·‘“〈《「『【〔〖（．［｛￡￥"/>
  <w:noLineBreaksBefore w:lang="zh-CN" w:val="!),.:;?]}¨·ˇˉ―‖’”…∶、。〃々〉》」』】〕〗！＂＇），．：；？］｀｜｝～￠"/>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ZiY2FmZjc4OGQzY2Y3MWQ2MzE5ODNkOWU5NTUwMzYifQ=="/>
  </w:docVars>
  <w:rsids>
    <w:rsidRoot w:val="00172A27"/>
    <w:rsid w:val="00000B25"/>
    <w:rsid w:val="00002DED"/>
    <w:rsid w:val="00005C88"/>
    <w:rsid w:val="000060B3"/>
    <w:rsid w:val="00012CAF"/>
    <w:rsid w:val="00020575"/>
    <w:rsid w:val="0002279B"/>
    <w:rsid w:val="00022F3F"/>
    <w:rsid w:val="0002561E"/>
    <w:rsid w:val="00027409"/>
    <w:rsid w:val="00041863"/>
    <w:rsid w:val="0004364B"/>
    <w:rsid w:val="0005526C"/>
    <w:rsid w:val="00060408"/>
    <w:rsid w:val="00061B1F"/>
    <w:rsid w:val="0006304F"/>
    <w:rsid w:val="00066D07"/>
    <w:rsid w:val="000703AF"/>
    <w:rsid w:val="00070F1E"/>
    <w:rsid w:val="000733C4"/>
    <w:rsid w:val="00074783"/>
    <w:rsid w:val="00076A32"/>
    <w:rsid w:val="0008070B"/>
    <w:rsid w:val="000810AC"/>
    <w:rsid w:val="00081A02"/>
    <w:rsid w:val="00082231"/>
    <w:rsid w:val="0008391A"/>
    <w:rsid w:val="00083F45"/>
    <w:rsid w:val="00086585"/>
    <w:rsid w:val="0008681A"/>
    <w:rsid w:val="00090013"/>
    <w:rsid w:val="000903DB"/>
    <w:rsid w:val="00092D38"/>
    <w:rsid w:val="0009377B"/>
    <w:rsid w:val="000A0A4A"/>
    <w:rsid w:val="000A20C9"/>
    <w:rsid w:val="000A648E"/>
    <w:rsid w:val="000A697C"/>
    <w:rsid w:val="000B058F"/>
    <w:rsid w:val="000B4467"/>
    <w:rsid w:val="000B4DB9"/>
    <w:rsid w:val="000B51CF"/>
    <w:rsid w:val="000B5361"/>
    <w:rsid w:val="000B568D"/>
    <w:rsid w:val="000C09AC"/>
    <w:rsid w:val="000C1E4B"/>
    <w:rsid w:val="000C373D"/>
    <w:rsid w:val="000C3C90"/>
    <w:rsid w:val="000C526D"/>
    <w:rsid w:val="000C767F"/>
    <w:rsid w:val="000D2A30"/>
    <w:rsid w:val="000D2F95"/>
    <w:rsid w:val="000D5447"/>
    <w:rsid w:val="000D5A44"/>
    <w:rsid w:val="000E0659"/>
    <w:rsid w:val="000E3ED2"/>
    <w:rsid w:val="0010116E"/>
    <w:rsid w:val="00101238"/>
    <w:rsid w:val="001022D2"/>
    <w:rsid w:val="0010322D"/>
    <w:rsid w:val="00106E97"/>
    <w:rsid w:val="00110811"/>
    <w:rsid w:val="00121196"/>
    <w:rsid w:val="001265E5"/>
    <w:rsid w:val="00126AA0"/>
    <w:rsid w:val="001277CE"/>
    <w:rsid w:val="001319AE"/>
    <w:rsid w:val="00131F42"/>
    <w:rsid w:val="00134C95"/>
    <w:rsid w:val="001357F1"/>
    <w:rsid w:val="00136492"/>
    <w:rsid w:val="00136D94"/>
    <w:rsid w:val="0013798A"/>
    <w:rsid w:val="00140073"/>
    <w:rsid w:val="00140FA8"/>
    <w:rsid w:val="0014170D"/>
    <w:rsid w:val="00142237"/>
    <w:rsid w:val="00142A4D"/>
    <w:rsid w:val="00142D85"/>
    <w:rsid w:val="00142FEB"/>
    <w:rsid w:val="00143A2D"/>
    <w:rsid w:val="001441D4"/>
    <w:rsid w:val="00145A41"/>
    <w:rsid w:val="0015143E"/>
    <w:rsid w:val="00151675"/>
    <w:rsid w:val="001526DC"/>
    <w:rsid w:val="001533D2"/>
    <w:rsid w:val="001548A9"/>
    <w:rsid w:val="00154D1F"/>
    <w:rsid w:val="00157435"/>
    <w:rsid w:val="00160E91"/>
    <w:rsid w:val="00164985"/>
    <w:rsid w:val="00170D03"/>
    <w:rsid w:val="00172A27"/>
    <w:rsid w:val="0017504D"/>
    <w:rsid w:val="00175686"/>
    <w:rsid w:val="001760CB"/>
    <w:rsid w:val="0017671A"/>
    <w:rsid w:val="00177422"/>
    <w:rsid w:val="00180001"/>
    <w:rsid w:val="00184590"/>
    <w:rsid w:val="00185DA5"/>
    <w:rsid w:val="001870D1"/>
    <w:rsid w:val="0018781E"/>
    <w:rsid w:val="00191003"/>
    <w:rsid w:val="00191AEF"/>
    <w:rsid w:val="0019262D"/>
    <w:rsid w:val="001A1B35"/>
    <w:rsid w:val="001A29CC"/>
    <w:rsid w:val="001A48A2"/>
    <w:rsid w:val="001A49A3"/>
    <w:rsid w:val="001A4E50"/>
    <w:rsid w:val="001A6F61"/>
    <w:rsid w:val="001B0E70"/>
    <w:rsid w:val="001B4129"/>
    <w:rsid w:val="001B72B8"/>
    <w:rsid w:val="001C0189"/>
    <w:rsid w:val="001C048E"/>
    <w:rsid w:val="001C69B3"/>
    <w:rsid w:val="001D5595"/>
    <w:rsid w:val="001D6718"/>
    <w:rsid w:val="001D7874"/>
    <w:rsid w:val="001D7F22"/>
    <w:rsid w:val="001E27A2"/>
    <w:rsid w:val="001E6947"/>
    <w:rsid w:val="001E7FB0"/>
    <w:rsid w:val="001F02A5"/>
    <w:rsid w:val="001F0F17"/>
    <w:rsid w:val="001F1AFD"/>
    <w:rsid w:val="001F2C19"/>
    <w:rsid w:val="001F3347"/>
    <w:rsid w:val="001F5283"/>
    <w:rsid w:val="001F69E4"/>
    <w:rsid w:val="00200C9A"/>
    <w:rsid w:val="00202653"/>
    <w:rsid w:val="00202D22"/>
    <w:rsid w:val="002125B4"/>
    <w:rsid w:val="002131EC"/>
    <w:rsid w:val="002155B8"/>
    <w:rsid w:val="002211B8"/>
    <w:rsid w:val="002227D4"/>
    <w:rsid w:val="00224322"/>
    <w:rsid w:val="00224839"/>
    <w:rsid w:val="002249B2"/>
    <w:rsid w:val="00225519"/>
    <w:rsid w:val="002260E6"/>
    <w:rsid w:val="00226574"/>
    <w:rsid w:val="002278EC"/>
    <w:rsid w:val="0023280E"/>
    <w:rsid w:val="002377D1"/>
    <w:rsid w:val="00241ADF"/>
    <w:rsid w:val="00243E16"/>
    <w:rsid w:val="002506BC"/>
    <w:rsid w:val="00254345"/>
    <w:rsid w:val="00257190"/>
    <w:rsid w:val="0025748D"/>
    <w:rsid w:val="00264115"/>
    <w:rsid w:val="00264557"/>
    <w:rsid w:val="002672B2"/>
    <w:rsid w:val="00271E51"/>
    <w:rsid w:val="00274BBF"/>
    <w:rsid w:val="002805AB"/>
    <w:rsid w:val="00281850"/>
    <w:rsid w:val="00282287"/>
    <w:rsid w:val="00284204"/>
    <w:rsid w:val="0028448D"/>
    <w:rsid w:val="002852BC"/>
    <w:rsid w:val="002866D9"/>
    <w:rsid w:val="0029138A"/>
    <w:rsid w:val="00291773"/>
    <w:rsid w:val="0029793C"/>
    <w:rsid w:val="00297C0D"/>
    <w:rsid w:val="002A168C"/>
    <w:rsid w:val="002A19C3"/>
    <w:rsid w:val="002A3DC7"/>
    <w:rsid w:val="002A4B28"/>
    <w:rsid w:val="002A58DB"/>
    <w:rsid w:val="002A7DD1"/>
    <w:rsid w:val="002B49E2"/>
    <w:rsid w:val="002B7B00"/>
    <w:rsid w:val="002B7C44"/>
    <w:rsid w:val="002C2B17"/>
    <w:rsid w:val="002C2FE1"/>
    <w:rsid w:val="002C51B5"/>
    <w:rsid w:val="002C55A7"/>
    <w:rsid w:val="002D121F"/>
    <w:rsid w:val="002D1497"/>
    <w:rsid w:val="002D383C"/>
    <w:rsid w:val="002D3DD0"/>
    <w:rsid w:val="002E1F3A"/>
    <w:rsid w:val="002E298A"/>
    <w:rsid w:val="002E2F1E"/>
    <w:rsid w:val="002E744F"/>
    <w:rsid w:val="002F128A"/>
    <w:rsid w:val="002F19F9"/>
    <w:rsid w:val="002F1F01"/>
    <w:rsid w:val="002F1FC8"/>
    <w:rsid w:val="002F2716"/>
    <w:rsid w:val="002F7061"/>
    <w:rsid w:val="002F78DE"/>
    <w:rsid w:val="0030136A"/>
    <w:rsid w:val="00301978"/>
    <w:rsid w:val="0030332C"/>
    <w:rsid w:val="00304574"/>
    <w:rsid w:val="003051C2"/>
    <w:rsid w:val="00311CD9"/>
    <w:rsid w:val="00312296"/>
    <w:rsid w:val="00314EC4"/>
    <w:rsid w:val="00314F0E"/>
    <w:rsid w:val="00315F7A"/>
    <w:rsid w:val="00321D8E"/>
    <w:rsid w:val="00325928"/>
    <w:rsid w:val="003262CD"/>
    <w:rsid w:val="00330CFC"/>
    <w:rsid w:val="00332863"/>
    <w:rsid w:val="00334D92"/>
    <w:rsid w:val="0033684D"/>
    <w:rsid w:val="00337B42"/>
    <w:rsid w:val="00340F7A"/>
    <w:rsid w:val="00341B42"/>
    <w:rsid w:val="0034210D"/>
    <w:rsid w:val="0034348F"/>
    <w:rsid w:val="00346DCD"/>
    <w:rsid w:val="0034733D"/>
    <w:rsid w:val="00350E35"/>
    <w:rsid w:val="003550AC"/>
    <w:rsid w:val="00356653"/>
    <w:rsid w:val="003570A5"/>
    <w:rsid w:val="0035743F"/>
    <w:rsid w:val="00357BE2"/>
    <w:rsid w:val="00361584"/>
    <w:rsid w:val="0036170C"/>
    <w:rsid w:val="00365E96"/>
    <w:rsid w:val="003667C2"/>
    <w:rsid w:val="00366E0F"/>
    <w:rsid w:val="00370764"/>
    <w:rsid w:val="00370928"/>
    <w:rsid w:val="00373222"/>
    <w:rsid w:val="00381A72"/>
    <w:rsid w:val="00384676"/>
    <w:rsid w:val="00384C94"/>
    <w:rsid w:val="00386896"/>
    <w:rsid w:val="00390857"/>
    <w:rsid w:val="00390B76"/>
    <w:rsid w:val="00391A1E"/>
    <w:rsid w:val="0039669F"/>
    <w:rsid w:val="003A34D2"/>
    <w:rsid w:val="003A4BF3"/>
    <w:rsid w:val="003A596A"/>
    <w:rsid w:val="003A6047"/>
    <w:rsid w:val="003A66F1"/>
    <w:rsid w:val="003A7881"/>
    <w:rsid w:val="003A795D"/>
    <w:rsid w:val="003B420D"/>
    <w:rsid w:val="003B6643"/>
    <w:rsid w:val="003B7D2C"/>
    <w:rsid w:val="003C0B72"/>
    <w:rsid w:val="003C132E"/>
    <w:rsid w:val="003C46DA"/>
    <w:rsid w:val="003C6C16"/>
    <w:rsid w:val="003D14E5"/>
    <w:rsid w:val="003D48A3"/>
    <w:rsid w:val="003D6994"/>
    <w:rsid w:val="003D794D"/>
    <w:rsid w:val="003E2C07"/>
    <w:rsid w:val="003E3058"/>
    <w:rsid w:val="003E36B4"/>
    <w:rsid w:val="003E76A9"/>
    <w:rsid w:val="003F0809"/>
    <w:rsid w:val="003F240B"/>
    <w:rsid w:val="003F2AE0"/>
    <w:rsid w:val="003F6A8C"/>
    <w:rsid w:val="003F755C"/>
    <w:rsid w:val="004028B2"/>
    <w:rsid w:val="00402908"/>
    <w:rsid w:val="00404AAF"/>
    <w:rsid w:val="00406F01"/>
    <w:rsid w:val="004139BA"/>
    <w:rsid w:val="00414D9F"/>
    <w:rsid w:val="00416D50"/>
    <w:rsid w:val="00416F0B"/>
    <w:rsid w:val="00416FD5"/>
    <w:rsid w:val="00417489"/>
    <w:rsid w:val="00417772"/>
    <w:rsid w:val="0042026B"/>
    <w:rsid w:val="00420E6A"/>
    <w:rsid w:val="00424D62"/>
    <w:rsid w:val="00425A9E"/>
    <w:rsid w:val="00426C26"/>
    <w:rsid w:val="00426D6B"/>
    <w:rsid w:val="00431E6C"/>
    <w:rsid w:val="00433CE7"/>
    <w:rsid w:val="00452738"/>
    <w:rsid w:val="00456091"/>
    <w:rsid w:val="00461AF3"/>
    <w:rsid w:val="00462217"/>
    <w:rsid w:val="00466321"/>
    <w:rsid w:val="00472E48"/>
    <w:rsid w:val="00473241"/>
    <w:rsid w:val="004748AE"/>
    <w:rsid w:val="00482B7E"/>
    <w:rsid w:val="00484B9B"/>
    <w:rsid w:val="004855F6"/>
    <w:rsid w:val="0048661E"/>
    <w:rsid w:val="00486A99"/>
    <w:rsid w:val="0049082D"/>
    <w:rsid w:val="00490FEF"/>
    <w:rsid w:val="00494670"/>
    <w:rsid w:val="004A125B"/>
    <w:rsid w:val="004A3823"/>
    <w:rsid w:val="004A73BE"/>
    <w:rsid w:val="004B750A"/>
    <w:rsid w:val="004B7CD7"/>
    <w:rsid w:val="004C3A4A"/>
    <w:rsid w:val="004C4170"/>
    <w:rsid w:val="004C50DA"/>
    <w:rsid w:val="004D1F9C"/>
    <w:rsid w:val="004D636F"/>
    <w:rsid w:val="004E5498"/>
    <w:rsid w:val="004E6946"/>
    <w:rsid w:val="004E7771"/>
    <w:rsid w:val="004F1AD8"/>
    <w:rsid w:val="005039CB"/>
    <w:rsid w:val="0050558F"/>
    <w:rsid w:val="00506286"/>
    <w:rsid w:val="00510813"/>
    <w:rsid w:val="00510B69"/>
    <w:rsid w:val="0051166C"/>
    <w:rsid w:val="00511990"/>
    <w:rsid w:val="00511DE0"/>
    <w:rsid w:val="00512E7D"/>
    <w:rsid w:val="00514870"/>
    <w:rsid w:val="00514B9B"/>
    <w:rsid w:val="00516F04"/>
    <w:rsid w:val="00517C94"/>
    <w:rsid w:val="00517F02"/>
    <w:rsid w:val="00524303"/>
    <w:rsid w:val="005258A2"/>
    <w:rsid w:val="0053494B"/>
    <w:rsid w:val="00537C28"/>
    <w:rsid w:val="005401AE"/>
    <w:rsid w:val="00540965"/>
    <w:rsid w:val="00542E07"/>
    <w:rsid w:val="005441F5"/>
    <w:rsid w:val="00545424"/>
    <w:rsid w:val="005535E9"/>
    <w:rsid w:val="0055439F"/>
    <w:rsid w:val="005545D4"/>
    <w:rsid w:val="00554A7B"/>
    <w:rsid w:val="0055572C"/>
    <w:rsid w:val="0056106A"/>
    <w:rsid w:val="00562E7F"/>
    <w:rsid w:val="005652D1"/>
    <w:rsid w:val="00566AD0"/>
    <w:rsid w:val="0056707E"/>
    <w:rsid w:val="00570387"/>
    <w:rsid w:val="00571361"/>
    <w:rsid w:val="005720AE"/>
    <w:rsid w:val="00573460"/>
    <w:rsid w:val="0057466E"/>
    <w:rsid w:val="005746C9"/>
    <w:rsid w:val="00574A00"/>
    <w:rsid w:val="00581CCD"/>
    <w:rsid w:val="0058396E"/>
    <w:rsid w:val="00590143"/>
    <w:rsid w:val="00592374"/>
    <w:rsid w:val="00594726"/>
    <w:rsid w:val="00594D77"/>
    <w:rsid w:val="005969E4"/>
    <w:rsid w:val="005A06B7"/>
    <w:rsid w:val="005A1759"/>
    <w:rsid w:val="005A68A7"/>
    <w:rsid w:val="005A73C3"/>
    <w:rsid w:val="005B2F16"/>
    <w:rsid w:val="005B357B"/>
    <w:rsid w:val="005B3D6C"/>
    <w:rsid w:val="005B51D5"/>
    <w:rsid w:val="005B7E70"/>
    <w:rsid w:val="005C36E1"/>
    <w:rsid w:val="005D36AB"/>
    <w:rsid w:val="005D4D3C"/>
    <w:rsid w:val="005D57BD"/>
    <w:rsid w:val="005D69D3"/>
    <w:rsid w:val="005D6E43"/>
    <w:rsid w:val="005E061C"/>
    <w:rsid w:val="005E3F25"/>
    <w:rsid w:val="00600143"/>
    <w:rsid w:val="0060068B"/>
    <w:rsid w:val="00605C21"/>
    <w:rsid w:val="0061017B"/>
    <w:rsid w:val="006145D1"/>
    <w:rsid w:val="006161FE"/>
    <w:rsid w:val="00617CC3"/>
    <w:rsid w:val="006303A9"/>
    <w:rsid w:val="006306C6"/>
    <w:rsid w:val="006377A6"/>
    <w:rsid w:val="00637A3D"/>
    <w:rsid w:val="00637E2D"/>
    <w:rsid w:val="006411EF"/>
    <w:rsid w:val="006426E1"/>
    <w:rsid w:val="00646152"/>
    <w:rsid w:val="0065011C"/>
    <w:rsid w:val="00652D97"/>
    <w:rsid w:val="0066649D"/>
    <w:rsid w:val="00667B9E"/>
    <w:rsid w:val="00667C60"/>
    <w:rsid w:val="006748B8"/>
    <w:rsid w:val="0067665F"/>
    <w:rsid w:val="006775C3"/>
    <w:rsid w:val="006837D4"/>
    <w:rsid w:val="00691F42"/>
    <w:rsid w:val="0069290A"/>
    <w:rsid w:val="00695EEF"/>
    <w:rsid w:val="00696ABE"/>
    <w:rsid w:val="0069743F"/>
    <w:rsid w:val="0069775A"/>
    <w:rsid w:val="00697813"/>
    <w:rsid w:val="006A3EE8"/>
    <w:rsid w:val="006A6D59"/>
    <w:rsid w:val="006A72BF"/>
    <w:rsid w:val="006B03F2"/>
    <w:rsid w:val="006B0D53"/>
    <w:rsid w:val="006B1B53"/>
    <w:rsid w:val="006B37DC"/>
    <w:rsid w:val="006B4F68"/>
    <w:rsid w:val="006B575E"/>
    <w:rsid w:val="006C0592"/>
    <w:rsid w:val="006C1B41"/>
    <w:rsid w:val="006C272E"/>
    <w:rsid w:val="006C3A3B"/>
    <w:rsid w:val="006C5479"/>
    <w:rsid w:val="006C5801"/>
    <w:rsid w:val="006D0267"/>
    <w:rsid w:val="006D02B5"/>
    <w:rsid w:val="006D13B5"/>
    <w:rsid w:val="006D5DDC"/>
    <w:rsid w:val="006D76C0"/>
    <w:rsid w:val="006E12FF"/>
    <w:rsid w:val="006E607E"/>
    <w:rsid w:val="006F1CFC"/>
    <w:rsid w:val="006F5025"/>
    <w:rsid w:val="006F5AEA"/>
    <w:rsid w:val="007024E9"/>
    <w:rsid w:val="00704256"/>
    <w:rsid w:val="00706C5D"/>
    <w:rsid w:val="00707365"/>
    <w:rsid w:val="00714614"/>
    <w:rsid w:val="0072193C"/>
    <w:rsid w:val="00724673"/>
    <w:rsid w:val="00725994"/>
    <w:rsid w:val="00726DE5"/>
    <w:rsid w:val="00727763"/>
    <w:rsid w:val="00732922"/>
    <w:rsid w:val="00736B86"/>
    <w:rsid w:val="0075162E"/>
    <w:rsid w:val="007527DC"/>
    <w:rsid w:val="00754034"/>
    <w:rsid w:val="007564EA"/>
    <w:rsid w:val="00756556"/>
    <w:rsid w:val="007618C4"/>
    <w:rsid w:val="007650E1"/>
    <w:rsid w:val="00767980"/>
    <w:rsid w:val="00770B19"/>
    <w:rsid w:val="0077463F"/>
    <w:rsid w:val="00775718"/>
    <w:rsid w:val="007766C1"/>
    <w:rsid w:val="007836EA"/>
    <w:rsid w:val="00784CDA"/>
    <w:rsid w:val="007906C4"/>
    <w:rsid w:val="0079116A"/>
    <w:rsid w:val="00793F2A"/>
    <w:rsid w:val="007940EA"/>
    <w:rsid w:val="007967E8"/>
    <w:rsid w:val="007A0902"/>
    <w:rsid w:val="007A2170"/>
    <w:rsid w:val="007A22BF"/>
    <w:rsid w:val="007A3198"/>
    <w:rsid w:val="007A3323"/>
    <w:rsid w:val="007A5FCC"/>
    <w:rsid w:val="007B72B8"/>
    <w:rsid w:val="007B7827"/>
    <w:rsid w:val="007B7A58"/>
    <w:rsid w:val="007C1A98"/>
    <w:rsid w:val="007C21B5"/>
    <w:rsid w:val="007D1427"/>
    <w:rsid w:val="007E4BD2"/>
    <w:rsid w:val="007E5605"/>
    <w:rsid w:val="007E6589"/>
    <w:rsid w:val="007F0F6D"/>
    <w:rsid w:val="007F1F96"/>
    <w:rsid w:val="007F28FF"/>
    <w:rsid w:val="007F2EEE"/>
    <w:rsid w:val="007F2F1D"/>
    <w:rsid w:val="007F798D"/>
    <w:rsid w:val="00801393"/>
    <w:rsid w:val="00802F88"/>
    <w:rsid w:val="0081293E"/>
    <w:rsid w:val="00815465"/>
    <w:rsid w:val="00817512"/>
    <w:rsid w:val="00817E9A"/>
    <w:rsid w:val="00823E05"/>
    <w:rsid w:val="008257ED"/>
    <w:rsid w:val="008306BD"/>
    <w:rsid w:val="00830729"/>
    <w:rsid w:val="00831A80"/>
    <w:rsid w:val="00833743"/>
    <w:rsid w:val="008339FD"/>
    <w:rsid w:val="008340A4"/>
    <w:rsid w:val="008406D6"/>
    <w:rsid w:val="00840CA4"/>
    <w:rsid w:val="0084520C"/>
    <w:rsid w:val="00846A47"/>
    <w:rsid w:val="00851E8F"/>
    <w:rsid w:val="00855A15"/>
    <w:rsid w:val="00863BAC"/>
    <w:rsid w:val="0087090F"/>
    <w:rsid w:val="0087135F"/>
    <w:rsid w:val="00871741"/>
    <w:rsid w:val="00872D94"/>
    <w:rsid w:val="0087632C"/>
    <w:rsid w:val="00880364"/>
    <w:rsid w:val="00881287"/>
    <w:rsid w:val="00891592"/>
    <w:rsid w:val="00891E9E"/>
    <w:rsid w:val="00894649"/>
    <w:rsid w:val="008962DA"/>
    <w:rsid w:val="008A1DC8"/>
    <w:rsid w:val="008A2F68"/>
    <w:rsid w:val="008A682B"/>
    <w:rsid w:val="008B4FA6"/>
    <w:rsid w:val="008B5282"/>
    <w:rsid w:val="008B7C17"/>
    <w:rsid w:val="008C2D01"/>
    <w:rsid w:val="008C40E6"/>
    <w:rsid w:val="008C622D"/>
    <w:rsid w:val="008D0F7A"/>
    <w:rsid w:val="008D4036"/>
    <w:rsid w:val="008D48DF"/>
    <w:rsid w:val="008D68E4"/>
    <w:rsid w:val="008E0506"/>
    <w:rsid w:val="008E0CFF"/>
    <w:rsid w:val="008E542A"/>
    <w:rsid w:val="008E5D6B"/>
    <w:rsid w:val="008E63C9"/>
    <w:rsid w:val="008E72D4"/>
    <w:rsid w:val="008E76F0"/>
    <w:rsid w:val="008F15FE"/>
    <w:rsid w:val="008F2D29"/>
    <w:rsid w:val="008F5187"/>
    <w:rsid w:val="008F5ABC"/>
    <w:rsid w:val="008F60D8"/>
    <w:rsid w:val="008F74A1"/>
    <w:rsid w:val="00902727"/>
    <w:rsid w:val="0090312B"/>
    <w:rsid w:val="00906F95"/>
    <w:rsid w:val="00912797"/>
    <w:rsid w:val="00913BE8"/>
    <w:rsid w:val="0091736D"/>
    <w:rsid w:val="00920F50"/>
    <w:rsid w:val="0093037A"/>
    <w:rsid w:val="00932318"/>
    <w:rsid w:val="00937A07"/>
    <w:rsid w:val="0094154D"/>
    <w:rsid w:val="0094174C"/>
    <w:rsid w:val="009423F1"/>
    <w:rsid w:val="00942C7D"/>
    <w:rsid w:val="0095052F"/>
    <w:rsid w:val="009505B9"/>
    <w:rsid w:val="0095155F"/>
    <w:rsid w:val="00954429"/>
    <w:rsid w:val="009563CE"/>
    <w:rsid w:val="009703BA"/>
    <w:rsid w:val="0097160C"/>
    <w:rsid w:val="00971A1C"/>
    <w:rsid w:val="00972082"/>
    <w:rsid w:val="009736C3"/>
    <w:rsid w:val="0097393E"/>
    <w:rsid w:val="0097446C"/>
    <w:rsid w:val="009748A3"/>
    <w:rsid w:val="00976328"/>
    <w:rsid w:val="0097658A"/>
    <w:rsid w:val="0097680D"/>
    <w:rsid w:val="009809AE"/>
    <w:rsid w:val="00982438"/>
    <w:rsid w:val="00983C21"/>
    <w:rsid w:val="0098404C"/>
    <w:rsid w:val="00985283"/>
    <w:rsid w:val="00987C42"/>
    <w:rsid w:val="009929EB"/>
    <w:rsid w:val="00994BED"/>
    <w:rsid w:val="00995992"/>
    <w:rsid w:val="00995C34"/>
    <w:rsid w:val="009A0038"/>
    <w:rsid w:val="009A03E5"/>
    <w:rsid w:val="009A0F3B"/>
    <w:rsid w:val="009A1BB4"/>
    <w:rsid w:val="009A2628"/>
    <w:rsid w:val="009A3200"/>
    <w:rsid w:val="009A4C4D"/>
    <w:rsid w:val="009A5C02"/>
    <w:rsid w:val="009A6131"/>
    <w:rsid w:val="009A632B"/>
    <w:rsid w:val="009B0897"/>
    <w:rsid w:val="009B3DBB"/>
    <w:rsid w:val="009B3DE4"/>
    <w:rsid w:val="009B687F"/>
    <w:rsid w:val="009B7BD9"/>
    <w:rsid w:val="009C141E"/>
    <w:rsid w:val="009C65C3"/>
    <w:rsid w:val="009C7DD5"/>
    <w:rsid w:val="009D0C82"/>
    <w:rsid w:val="009D3D72"/>
    <w:rsid w:val="009D4FB8"/>
    <w:rsid w:val="009D61EA"/>
    <w:rsid w:val="009D69C3"/>
    <w:rsid w:val="009D6CCC"/>
    <w:rsid w:val="009E227D"/>
    <w:rsid w:val="009E5019"/>
    <w:rsid w:val="00A010BF"/>
    <w:rsid w:val="00A046E2"/>
    <w:rsid w:val="00A04F1B"/>
    <w:rsid w:val="00A0501B"/>
    <w:rsid w:val="00A1492F"/>
    <w:rsid w:val="00A14947"/>
    <w:rsid w:val="00A17E7D"/>
    <w:rsid w:val="00A30DB4"/>
    <w:rsid w:val="00A32A83"/>
    <w:rsid w:val="00A35578"/>
    <w:rsid w:val="00A368DB"/>
    <w:rsid w:val="00A41BF6"/>
    <w:rsid w:val="00A423AA"/>
    <w:rsid w:val="00A451C0"/>
    <w:rsid w:val="00A53EC6"/>
    <w:rsid w:val="00A5484C"/>
    <w:rsid w:val="00A55C0F"/>
    <w:rsid w:val="00A57F71"/>
    <w:rsid w:val="00A66F16"/>
    <w:rsid w:val="00A7163E"/>
    <w:rsid w:val="00A72B5A"/>
    <w:rsid w:val="00A73E1F"/>
    <w:rsid w:val="00A76050"/>
    <w:rsid w:val="00A76A09"/>
    <w:rsid w:val="00A76F70"/>
    <w:rsid w:val="00A85AE0"/>
    <w:rsid w:val="00A8713F"/>
    <w:rsid w:val="00A906D2"/>
    <w:rsid w:val="00A90BA1"/>
    <w:rsid w:val="00A91568"/>
    <w:rsid w:val="00A963EE"/>
    <w:rsid w:val="00A96B73"/>
    <w:rsid w:val="00A971A3"/>
    <w:rsid w:val="00A97A9A"/>
    <w:rsid w:val="00AA0671"/>
    <w:rsid w:val="00AA2081"/>
    <w:rsid w:val="00AA2531"/>
    <w:rsid w:val="00AA6BE4"/>
    <w:rsid w:val="00AA7548"/>
    <w:rsid w:val="00AB1E09"/>
    <w:rsid w:val="00AB2718"/>
    <w:rsid w:val="00AB4F58"/>
    <w:rsid w:val="00AB5330"/>
    <w:rsid w:val="00AB7747"/>
    <w:rsid w:val="00AC0664"/>
    <w:rsid w:val="00AC10DA"/>
    <w:rsid w:val="00AC14CE"/>
    <w:rsid w:val="00AC2A56"/>
    <w:rsid w:val="00AC3F45"/>
    <w:rsid w:val="00AC4386"/>
    <w:rsid w:val="00AC771F"/>
    <w:rsid w:val="00AC7FB4"/>
    <w:rsid w:val="00AD055E"/>
    <w:rsid w:val="00AD47A7"/>
    <w:rsid w:val="00AE2E8F"/>
    <w:rsid w:val="00AE4E5B"/>
    <w:rsid w:val="00AF0CBF"/>
    <w:rsid w:val="00AF257F"/>
    <w:rsid w:val="00AF2E80"/>
    <w:rsid w:val="00AF33CF"/>
    <w:rsid w:val="00AF3F12"/>
    <w:rsid w:val="00AF4D50"/>
    <w:rsid w:val="00AF6179"/>
    <w:rsid w:val="00B079F6"/>
    <w:rsid w:val="00B1295A"/>
    <w:rsid w:val="00B13BF0"/>
    <w:rsid w:val="00B1511D"/>
    <w:rsid w:val="00B20A45"/>
    <w:rsid w:val="00B20E66"/>
    <w:rsid w:val="00B22C5C"/>
    <w:rsid w:val="00B24F30"/>
    <w:rsid w:val="00B31ABF"/>
    <w:rsid w:val="00B33BE3"/>
    <w:rsid w:val="00B3675A"/>
    <w:rsid w:val="00B36E15"/>
    <w:rsid w:val="00B40CCA"/>
    <w:rsid w:val="00B53B5D"/>
    <w:rsid w:val="00B6055E"/>
    <w:rsid w:val="00B60A8D"/>
    <w:rsid w:val="00B6317D"/>
    <w:rsid w:val="00B63363"/>
    <w:rsid w:val="00B63842"/>
    <w:rsid w:val="00B65978"/>
    <w:rsid w:val="00B65D42"/>
    <w:rsid w:val="00B701B7"/>
    <w:rsid w:val="00B70B07"/>
    <w:rsid w:val="00B7723F"/>
    <w:rsid w:val="00B80534"/>
    <w:rsid w:val="00B8191E"/>
    <w:rsid w:val="00B83B34"/>
    <w:rsid w:val="00B8433C"/>
    <w:rsid w:val="00B87491"/>
    <w:rsid w:val="00B93673"/>
    <w:rsid w:val="00B94E96"/>
    <w:rsid w:val="00BA150C"/>
    <w:rsid w:val="00BA29E9"/>
    <w:rsid w:val="00BA7142"/>
    <w:rsid w:val="00BB0722"/>
    <w:rsid w:val="00BB237C"/>
    <w:rsid w:val="00BB41A3"/>
    <w:rsid w:val="00BB5393"/>
    <w:rsid w:val="00BB770D"/>
    <w:rsid w:val="00BC32DC"/>
    <w:rsid w:val="00BC35B6"/>
    <w:rsid w:val="00BC55CC"/>
    <w:rsid w:val="00BD0953"/>
    <w:rsid w:val="00BD1B51"/>
    <w:rsid w:val="00BD1EFE"/>
    <w:rsid w:val="00BD4596"/>
    <w:rsid w:val="00BD45E0"/>
    <w:rsid w:val="00BD5D33"/>
    <w:rsid w:val="00BE0BEB"/>
    <w:rsid w:val="00BE1405"/>
    <w:rsid w:val="00BE312D"/>
    <w:rsid w:val="00BE46CF"/>
    <w:rsid w:val="00BF1C20"/>
    <w:rsid w:val="00BF22A2"/>
    <w:rsid w:val="00BF51B5"/>
    <w:rsid w:val="00BF613B"/>
    <w:rsid w:val="00BF7875"/>
    <w:rsid w:val="00C015F6"/>
    <w:rsid w:val="00C044FF"/>
    <w:rsid w:val="00C069CA"/>
    <w:rsid w:val="00C10578"/>
    <w:rsid w:val="00C135BC"/>
    <w:rsid w:val="00C15821"/>
    <w:rsid w:val="00C15C95"/>
    <w:rsid w:val="00C2596A"/>
    <w:rsid w:val="00C25D17"/>
    <w:rsid w:val="00C27537"/>
    <w:rsid w:val="00C31CE0"/>
    <w:rsid w:val="00C328FE"/>
    <w:rsid w:val="00C3311E"/>
    <w:rsid w:val="00C33507"/>
    <w:rsid w:val="00C34A40"/>
    <w:rsid w:val="00C430EC"/>
    <w:rsid w:val="00C4409D"/>
    <w:rsid w:val="00C44E72"/>
    <w:rsid w:val="00C455AB"/>
    <w:rsid w:val="00C45A06"/>
    <w:rsid w:val="00C47E5B"/>
    <w:rsid w:val="00C551B4"/>
    <w:rsid w:val="00C5527F"/>
    <w:rsid w:val="00C56865"/>
    <w:rsid w:val="00C610E0"/>
    <w:rsid w:val="00C61E4B"/>
    <w:rsid w:val="00C64BD1"/>
    <w:rsid w:val="00C64BFF"/>
    <w:rsid w:val="00C677F2"/>
    <w:rsid w:val="00C704E9"/>
    <w:rsid w:val="00C73D95"/>
    <w:rsid w:val="00C763C9"/>
    <w:rsid w:val="00C769F5"/>
    <w:rsid w:val="00C7709D"/>
    <w:rsid w:val="00C80057"/>
    <w:rsid w:val="00C82232"/>
    <w:rsid w:val="00C82913"/>
    <w:rsid w:val="00C86F28"/>
    <w:rsid w:val="00C8745C"/>
    <w:rsid w:val="00C972B1"/>
    <w:rsid w:val="00CA2CCE"/>
    <w:rsid w:val="00CA43FD"/>
    <w:rsid w:val="00CA4A8B"/>
    <w:rsid w:val="00CA525D"/>
    <w:rsid w:val="00CA52F9"/>
    <w:rsid w:val="00CA7EF8"/>
    <w:rsid w:val="00CB154A"/>
    <w:rsid w:val="00CB3617"/>
    <w:rsid w:val="00CC3151"/>
    <w:rsid w:val="00CC367F"/>
    <w:rsid w:val="00CC489B"/>
    <w:rsid w:val="00CC491E"/>
    <w:rsid w:val="00CC5113"/>
    <w:rsid w:val="00CC674A"/>
    <w:rsid w:val="00CD2BCD"/>
    <w:rsid w:val="00CD3A4C"/>
    <w:rsid w:val="00CE0FDE"/>
    <w:rsid w:val="00CE10E9"/>
    <w:rsid w:val="00CE2910"/>
    <w:rsid w:val="00CE5393"/>
    <w:rsid w:val="00CE6AA3"/>
    <w:rsid w:val="00CE7C08"/>
    <w:rsid w:val="00CF320B"/>
    <w:rsid w:val="00CF36BE"/>
    <w:rsid w:val="00CF6000"/>
    <w:rsid w:val="00D003F3"/>
    <w:rsid w:val="00D0343E"/>
    <w:rsid w:val="00D0364F"/>
    <w:rsid w:val="00D0416C"/>
    <w:rsid w:val="00D06834"/>
    <w:rsid w:val="00D10E14"/>
    <w:rsid w:val="00D11A71"/>
    <w:rsid w:val="00D13318"/>
    <w:rsid w:val="00D13D0D"/>
    <w:rsid w:val="00D17077"/>
    <w:rsid w:val="00D178AB"/>
    <w:rsid w:val="00D228C0"/>
    <w:rsid w:val="00D308ED"/>
    <w:rsid w:val="00D36D86"/>
    <w:rsid w:val="00D428AA"/>
    <w:rsid w:val="00D46581"/>
    <w:rsid w:val="00D4695E"/>
    <w:rsid w:val="00D47035"/>
    <w:rsid w:val="00D50A34"/>
    <w:rsid w:val="00D521A1"/>
    <w:rsid w:val="00D52D97"/>
    <w:rsid w:val="00D53EFA"/>
    <w:rsid w:val="00D575DC"/>
    <w:rsid w:val="00D61385"/>
    <w:rsid w:val="00D6256A"/>
    <w:rsid w:val="00D62AD9"/>
    <w:rsid w:val="00D6674F"/>
    <w:rsid w:val="00D70859"/>
    <w:rsid w:val="00D71A1F"/>
    <w:rsid w:val="00D73BF4"/>
    <w:rsid w:val="00D75E7E"/>
    <w:rsid w:val="00D778E3"/>
    <w:rsid w:val="00D80107"/>
    <w:rsid w:val="00D80B99"/>
    <w:rsid w:val="00D84808"/>
    <w:rsid w:val="00D94A7C"/>
    <w:rsid w:val="00D95896"/>
    <w:rsid w:val="00D97205"/>
    <w:rsid w:val="00DA3119"/>
    <w:rsid w:val="00DA31B3"/>
    <w:rsid w:val="00DA4C67"/>
    <w:rsid w:val="00DA781D"/>
    <w:rsid w:val="00DB2983"/>
    <w:rsid w:val="00DB2DAF"/>
    <w:rsid w:val="00DB437B"/>
    <w:rsid w:val="00DB4B63"/>
    <w:rsid w:val="00DC1257"/>
    <w:rsid w:val="00DC3DC0"/>
    <w:rsid w:val="00DC5B2B"/>
    <w:rsid w:val="00DD0F81"/>
    <w:rsid w:val="00DD219F"/>
    <w:rsid w:val="00DD318D"/>
    <w:rsid w:val="00DD31F2"/>
    <w:rsid w:val="00DE1D1A"/>
    <w:rsid w:val="00DF10BD"/>
    <w:rsid w:val="00DF2E12"/>
    <w:rsid w:val="00DF4F17"/>
    <w:rsid w:val="00DF514A"/>
    <w:rsid w:val="00DF6690"/>
    <w:rsid w:val="00DF6804"/>
    <w:rsid w:val="00DF6E4E"/>
    <w:rsid w:val="00E0358D"/>
    <w:rsid w:val="00E04323"/>
    <w:rsid w:val="00E070A2"/>
    <w:rsid w:val="00E20267"/>
    <w:rsid w:val="00E206E3"/>
    <w:rsid w:val="00E231C5"/>
    <w:rsid w:val="00E236F1"/>
    <w:rsid w:val="00E24321"/>
    <w:rsid w:val="00E2656A"/>
    <w:rsid w:val="00E30FAC"/>
    <w:rsid w:val="00E3206E"/>
    <w:rsid w:val="00E3763A"/>
    <w:rsid w:val="00E37BFE"/>
    <w:rsid w:val="00E40880"/>
    <w:rsid w:val="00E412D0"/>
    <w:rsid w:val="00E44F34"/>
    <w:rsid w:val="00E5075D"/>
    <w:rsid w:val="00E56322"/>
    <w:rsid w:val="00E60770"/>
    <w:rsid w:val="00E60982"/>
    <w:rsid w:val="00E62C62"/>
    <w:rsid w:val="00E654C1"/>
    <w:rsid w:val="00E65D97"/>
    <w:rsid w:val="00E70078"/>
    <w:rsid w:val="00E72A5A"/>
    <w:rsid w:val="00E73354"/>
    <w:rsid w:val="00E837A1"/>
    <w:rsid w:val="00E84DCE"/>
    <w:rsid w:val="00E9164B"/>
    <w:rsid w:val="00E9242D"/>
    <w:rsid w:val="00E93686"/>
    <w:rsid w:val="00EA08DC"/>
    <w:rsid w:val="00EA0DED"/>
    <w:rsid w:val="00EA58EB"/>
    <w:rsid w:val="00EA5EC3"/>
    <w:rsid w:val="00EB100C"/>
    <w:rsid w:val="00EB14E1"/>
    <w:rsid w:val="00EB5255"/>
    <w:rsid w:val="00EB5C47"/>
    <w:rsid w:val="00EC086F"/>
    <w:rsid w:val="00EC16BA"/>
    <w:rsid w:val="00EC3DBD"/>
    <w:rsid w:val="00ED0639"/>
    <w:rsid w:val="00ED2250"/>
    <w:rsid w:val="00EE7AAE"/>
    <w:rsid w:val="00EF4755"/>
    <w:rsid w:val="00EF5ED3"/>
    <w:rsid w:val="00EF7135"/>
    <w:rsid w:val="00F0167B"/>
    <w:rsid w:val="00F027DB"/>
    <w:rsid w:val="00F02C07"/>
    <w:rsid w:val="00F03098"/>
    <w:rsid w:val="00F11F58"/>
    <w:rsid w:val="00F14171"/>
    <w:rsid w:val="00F14A7A"/>
    <w:rsid w:val="00F153EF"/>
    <w:rsid w:val="00F22985"/>
    <w:rsid w:val="00F23A3E"/>
    <w:rsid w:val="00F25B5D"/>
    <w:rsid w:val="00F2700C"/>
    <w:rsid w:val="00F32BF2"/>
    <w:rsid w:val="00F3383E"/>
    <w:rsid w:val="00F40A2C"/>
    <w:rsid w:val="00F465A7"/>
    <w:rsid w:val="00F50B7C"/>
    <w:rsid w:val="00F5214F"/>
    <w:rsid w:val="00F54C62"/>
    <w:rsid w:val="00F550E6"/>
    <w:rsid w:val="00F55D84"/>
    <w:rsid w:val="00F61BC7"/>
    <w:rsid w:val="00F6322F"/>
    <w:rsid w:val="00F64599"/>
    <w:rsid w:val="00F66869"/>
    <w:rsid w:val="00F733E2"/>
    <w:rsid w:val="00F73CE7"/>
    <w:rsid w:val="00F74345"/>
    <w:rsid w:val="00F770E8"/>
    <w:rsid w:val="00F80A0A"/>
    <w:rsid w:val="00F82B19"/>
    <w:rsid w:val="00F83472"/>
    <w:rsid w:val="00F9212D"/>
    <w:rsid w:val="00F93B2E"/>
    <w:rsid w:val="00F95C8A"/>
    <w:rsid w:val="00F965DA"/>
    <w:rsid w:val="00F9702E"/>
    <w:rsid w:val="00FA2FF2"/>
    <w:rsid w:val="00FA406A"/>
    <w:rsid w:val="00FA725C"/>
    <w:rsid w:val="00FB15B1"/>
    <w:rsid w:val="00FB48C8"/>
    <w:rsid w:val="00FB503A"/>
    <w:rsid w:val="00FB516C"/>
    <w:rsid w:val="00FB64AF"/>
    <w:rsid w:val="00FC2A21"/>
    <w:rsid w:val="00FD0050"/>
    <w:rsid w:val="00FD0236"/>
    <w:rsid w:val="00FD077C"/>
    <w:rsid w:val="00FD18C6"/>
    <w:rsid w:val="00FD18F4"/>
    <w:rsid w:val="00FD1CA1"/>
    <w:rsid w:val="00FD54DB"/>
    <w:rsid w:val="00FD619F"/>
    <w:rsid w:val="00FF6B12"/>
    <w:rsid w:val="01012321"/>
    <w:rsid w:val="010A6538"/>
    <w:rsid w:val="01290F7E"/>
    <w:rsid w:val="012C3C86"/>
    <w:rsid w:val="012F57A5"/>
    <w:rsid w:val="01382025"/>
    <w:rsid w:val="01390AE4"/>
    <w:rsid w:val="014B08FF"/>
    <w:rsid w:val="01536131"/>
    <w:rsid w:val="015D1E09"/>
    <w:rsid w:val="017E0CD4"/>
    <w:rsid w:val="01891B53"/>
    <w:rsid w:val="018C6405"/>
    <w:rsid w:val="01AC3A93"/>
    <w:rsid w:val="01D6466C"/>
    <w:rsid w:val="01F402BB"/>
    <w:rsid w:val="01F66ABD"/>
    <w:rsid w:val="02162833"/>
    <w:rsid w:val="0216715F"/>
    <w:rsid w:val="021D04ED"/>
    <w:rsid w:val="022C24DE"/>
    <w:rsid w:val="022C301C"/>
    <w:rsid w:val="02377801"/>
    <w:rsid w:val="02532161"/>
    <w:rsid w:val="025832E7"/>
    <w:rsid w:val="026003DA"/>
    <w:rsid w:val="02697903"/>
    <w:rsid w:val="027D2D3A"/>
    <w:rsid w:val="028D5673"/>
    <w:rsid w:val="02B862A2"/>
    <w:rsid w:val="02C866AB"/>
    <w:rsid w:val="02E24F13"/>
    <w:rsid w:val="02F96569"/>
    <w:rsid w:val="030F6088"/>
    <w:rsid w:val="0321400D"/>
    <w:rsid w:val="032532EA"/>
    <w:rsid w:val="033F5B12"/>
    <w:rsid w:val="03433F84"/>
    <w:rsid w:val="036D2DAF"/>
    <w:rsid w:val="037A0373"/>
    <w:rsid w:val="037E5AF9"/>
    <w:rsid w:val="03920A67"/>
    <w:rsid w:val="0399270A"/>
    <w:rsid w:val="03B0730A"/>
    <w:rsid w:val="03B421F8"/>
    <w:rsid w:val="03C51ED5"/>
    <w:rsid w:val="03CD1A9F"/>
    <w:rsid w:val="03D472D2"/>
    <w:rsid w:val="03DA48E8"/>
    <w:rsid w:val="03EA7B21"/>
    <w:rsid w:val="03F84D6E"/>
    <w:rsid w:val="03F95BF6"/>
    <w:rsid w:val="04115E30"/>
    <w:rsid w:val="04232D2F"/>
    <w:rsid w:val="0449381C"/>
    <w:rsid w:val="044A30F0"/>
    <w:rsid w:val="044C5DE0"/>
    <w:rsid w:val="045126D0"/>
    <w:rsid w:val="04706FFA"/>
    <w:rsid w:val="047F632B"/>
    <w:rsid w:val="04814D63"/>
    <w:rsid w:val="048F7E09"/>
    <w:rsid w:val="0490144A"/>
    <w:rsid w:val="04A42800"/>
    <w:rsid w:val="04B24C31"/>
    <w:rsid w:val="04B6211E"/>
    <w:rsid w:val="04C2342A"/>
    <w:rsid w:val="04CD7FA9"/>
    <w:rsid w:val="04EA6DAD"/>
    <w:rsid w:val="04F35535"/>
    <w:rsid w:val="04FE4606"/>
    <w:rsid w:val="05054EAB"/>
    <w:rsid w:val="051F632A"/>
    <w:rsid w:val="05260FA2"/>
    <w:rsid w:val="052610C3"/>
    <w:rsid w:val="054520B5"/>
    <w:rsid w:val="054E4F1D"/>
    <w:rsid w:val="055204AE"/>
    <w:rsid w:val="056806C4"/>
    <w:rsid w:val="05797C60"/>
    <w:rsid w:val="05914399"/>
    <w:rsid w:val="05EB3E47"/>
    <w:rsid w:val="05F83EAE"/>
    <w:rsid w:val="060A7D8B"/>
    <w:rsid w:val="06176D57"/>
    <w:rsid w:val="06231193"/>
    <w:rsid w:val="063E7D85"/>
    <w:rsid w:val="06400C4E"/>
    <w:rsid w:val="06451DC1"/>
    <w:rsid w:val="06485A45"/>
    <w:rsid w:val="06565D7C"/>
    <w:rsid w:val="065D35AE"/>
    <w:rsid w:val="06605667"/>
    <w:rsid w:val="068B1EC9"/>
    <w:rsid w:val="06936FD0"/>
    <w:rsid w:val="069D673C"/>
    <w:rsid w:val="06AA65B8"/>
    <w:rsid w:val="06C278B5"/>
    <w:rsid w:val="06DA1F0F"/>
    <w:rsid w:val="06DE6A89"/>
    <w:rsid w:val="070751B2"/>
    <w:rsid w:val="071A508D"/>
    <w:rsid w:val="07293586"/>
    <w:rsid w:val="07295285"/>
    <w:rsid w:val="072D11D3"/>
    <w:rsid w:val="07312100"/>
    <w:rsid w:val="073A2B80"/>
    <w:rsid w:val="07636392"/>
    <w:rsid w:val="07705DA9"/>
    <w:rsid w:val="07707311"/>
    <w:rsid w:val="07770C56"/>
    <w:rsid w:val="077E533E"/>
    <w:rsid w:val="07A01F66"/>
    <w:rsid w:val="07A528FC"/>
    <w:rsid w:val="08327BFF"/>
    <w:rsid w:val="083D71F3"/>
    <w:rsid w:val="084F406E"/>
    <w:rsid w:val="085474D9"/>
    <w:rsid w:val="085D1644"/>
    <w:rsid w:val="08955281"/>
    <w:rsid w:val="089963F4"/>
    <w:rsid w:val="08D6506B"/>
    <w:rsid w:val="08DB1887"/>
    <w:rsid w:val="08E104C7"/>
    <w:rsid w:val="08E51639"/>
    <w:rsid w:val="08F050D8"/>
    <w:rsid w:val="08F655F4"/>
    <w:rsid w:val="08FE42DF"/>
    <w:rsid w:val="09023F99"/>
    <w:rsid w:val="09061CDB"/>
    <w:rsid w:val="091C14FF"/>
    <w:rsid w:val="092217DD"/>
    <w:rsid w:val="09352492"/>
    <w:rsid w:val="093A7294"/>
    <w:rsid w:val="0967474C"/>
    <w:rsid w:val="09840E52"/>
    <w:rsid w:val="098B21E0"/>
    <w:rsid w:val="09AE767E"/>
    <w:rsid w:val="09B16C02"/>
    <w:rsid w:val="09DE5FC9"/>
    <w:rsid w:val="09E16F32"/>
    <w:rsid w:val="09E3201C"/>
    <w:rsid w:val="09F357DE"/>
    <w:rsid w:val="09F565CA"/>
    <w:rsid w:val="09F71624"/>
    <w:rsid w:val="0A081A83"/>
    <w:rsid w:val="0A1246B0"/>
    <w:rsid w:val="0A1E20C3"/>
    <w:rsid w:val="0A263993"/>
    <w:rsid w:val="0A2D3AC2"/>
    <w:rsid w:val="0A2F7710"/>
    <w:rsid w:val="0A310FDA"/>
    <w:rsid w:val="0A527884"/>
    <w:rsid w:val="0A8519EA"/>
    <w:rsid w:val="0AA755DF"/>
    <w:rsid w:val="0AAC27BF"/>
    <w:rsid w:val="0AAC68B2"/>
    <w:rsid w:val="0AB47515"/>
    <w:rsid w:val="0ABB4D47"/>
    <w:rsid w:val="0AC21C32"/>
    <w:rsid w:val="0AD57BB7"/>
    <w:rsid w:val="0ADD6AE9"/>
    <w:rsid w:val="0AE75B3C"/>
    <w:rsid w:val="0AF838A6"/>
    <w:rsid w:val="0AFF6209"/>
    <w:rsid w:val="0B120D44"/>
    <w:rsid w:val="0B420143"/>
    <w:rsid w:val="0B456FEE"/>
    <w:rsid w:val="0B4C599F"/>
    <w:rsid w:val="0B4E5CC9"/>
    <w:rsid w:val="0B770C6E"/>
    <w:rsid w:val="0B863D31"/>
    <w:rsid w:val="0B8A79CD"/>
    <w:rsid w:val="0BC62DDB"/>
    <w:rsid w:val="0BC77819"/>
    <w:rsid w:val="0BD27BF6"/>
    <w:rsid w:val="0BD51851"/>
    <w:rsid w:val="0BDC6D23"/>
    <w:rsid w:val="0BE0489D"/>
    <w:rsid w:val="0BE16B7B"/>
    <w:rsid w:val="0BE70B0F"/>
    <w:rsid w:val="0C0369A6"/>
    <w:rsid w:val="0C126BE9"/>
    <w:rsid w:val="0C1B68CC"/>
    <w:rsid w:val="0C2801BA"/>
    <w:rsid w:val="0C3464FA"/>
    <w:rsid w:val="0C3B3C7D"/>
    <w:rsid w:val="0C3E7A39"/>
    <w:rsid w:val="0C4A6383"/>
    <w:rsid w:val="0C4B03FD"/>
    <w:rsid w:val="0C564D28"/>
    <w:rsid w:val="0C5E1FFB"/>
    <w:rsid w:val="0C623402"/>
    <w:rsid w:val="0C7B6A3C"/>
    <w:rsid w:val="0CA473FE"/>
    <w:rsid w:val="0CAB2EAE"/>
    <w:rsid w:val="0CB11F5E"/>
    <w:rsid w:val="0CB930F5"/>
    <w:rsid w:val="0CC40FA9"/>
    <w:rsid w:val="0CC57D6C"/>
    <w:rsid w:val="0CD674C0"/>
    <w:rsid w:val="0D0E115E"/>
    <w:rsid w:val="0D1129FD"/>
    <w:rsid w:val="0D3861DB"/>
    <w:rsid w:val="0D3C4A79"/>
    <w:rsid w:val="0D414C78"/>
    <w:rsid w:val="0D4B4161"/>
    <w:rsid w:val="0D621C7D"/>
    <w:rsid w:val="0D9A50E8"/>
    <w:rsid w:val="0DC363ED"/>
    <w:rsid w:val="0DDA3736"/>
    <w:rsid w:val="0DDE544D"/>
    <w:rsid w:val="0DF1042D"/>
    <w:rsid w:val="0E0733D6"/>
    <w:rsid w:val="0E091132"/>
    <w:rsid w:val="0E1A5534"/>
    <w:rsid w:val="0E1E543B"/>
    <w:rsid w:val="0E2625AC"/>
    <w:rsid w:val="0E35096D"/>
    <w:rsid w:val="0E422022"/>
    <w:rsid w:val="0E4312DC"/>
    <w:rsid w:val="0E5139F9"/>
    <w:rsid w:val="0E6179B4"/>
    <w:rsid w:val="0E664FCA"/>
    <w:rsid w:val="0E73034D"/>
    <w:rsid w:val="0E8518F4"/>
    <w:rsid w:val="0E90582A"/>
    <w:rsid w:val="0EB43D8E"/>
    <w:rsid w:val="0ECC049F"/>
    <w:rsid w:val="0ED9579C"/>
    <w:rsid w:val="0EE3138A"/>
    <w:rsid w:val="0EF34AB0"/>
    <w:rsid w:val="0EFC2E95"/>
    <w:rsid w:val="0F0942D3"/>
    <w:rsid w:val="0F0F7410"/>
    <w:rsid w:val="0F13775A"/>
    <w:rsid w:val="0F2A1DB8"/>
    <w:rsid w:val="0F376CE6"/>
    <w:rsid w:val="0F5F45FE"/>
    <w:rsid w:val="0F64150A"/>
    <w:rsid w:val="0F7A6F7F"/>
    <w:rsid w:val="0F8E2A2A"/>
    <w:rsid w:val="0F914F31"/>
    <w:rsid w:val="0F9A112B"/>
    <w:rsid w:val="0F9C6997"/>
    <w:rsid w:val="0FAB3375"/>
    <w:rsid w:val="0FBD6E6C"/>
    <w:rsid w:val="0FD3668F"/>
    <w:rsid w:val="0FE869C7"/>
    <w:rsid w:val="0FFC5D01"/>
    <w:rsid w:val="10046849"/>
    <w:rsid w:val="10120F66"/>
    <w:rsid w:val="10126657"/>
    <w:rsid w:val="10261DEC"/>
    <w:rsid w:val="10284C2D"/>
    <w:rsid w:val="10423CC4"/>
    <w:rsid w:val="104B4477"/>
    <w:rsid w:val="10686EC2"/>
    <w:rsid w:val="106D2F64"/>
    <w:rsid w:val="108B0D18"/>
    <w:rsid w:val="10B63710"/>
    <w:rsid w:val="10D4446D"/>
    <w:rsid w:val="10E225C7"/>
    <w:rsid w:val="10EC5C5A"/>
    <w:rsid w:val="10F10820"/>
    <w:rsid w:val="10F44B0F"/>
    <w:rsid w:val="10F8474E"/>
    <w:rsid w:val="10FF0E16"/>
    <w:rsid w:val="1119164B"/>
    <w:rsid w:val="111C2F7A"/>
    <w:rsid w:val="111D7BC2"/>
    <w:rsid w:val="111E1B8C"/>
    <w:rsid w:val="112142D3"/>
    <w:rsid w:val="11227E08"/>
    <w:rsid w:val="112D15C0"/>
    <w:rsid w:val="113E5248"/>
    <w:rsid w:val="11401B02"/>
    <w:rsid w:val="114F1D45"/>
    <w:rsid w:val="115F642C"/>
    <w:rsid w:val="11643A43"/>
    <w:rsid w:val="11665CA1"/>
    <w:rsid w:val="1191018F"/>
    <w:rsid w:val="11916802"/>
    <w:rsid w:val="11C72224"/>
    <w:rsid w:val="11D27B3A"/>
    <w:rsid w:val="11D34725"/>
    <w:rsid w:val="11D44B50"/>
    <w:rsid w:val="11E47F7B"/>
    <w:rsid w:val="120A3E1B"/>
    <w:rsid w:val="121B4E85"/>
    <w:rsid w:val="12413D84"/>
    <w:rsid w:val="12505D75"/>
    <w:rsid w:val="1255782F"/>
    <w:rsid w:val="12704669"/>
    <w:rsid w:val="127F089F"/>
    <w:rsid w:val="12B465CD"/>
    <w:rsid w:val="12CD5618"/>
    <w:rsid w:val="12D45613"/>
    <w:rsid w:val="12F11074"/>
    <w:rsid w:val="13031039"/>
    <w:rsid w:val="1324792E"/>
    <w:rsid w:val="1332191F"/>
    <w:rsid w:val="134140A1"/>
    <w:rsid w:val="134D0C5E"/>
    <w:rsid w:val="134E4AA7"/>
    <w:rsid w:val="137B1518"/>
    <w:rsid w:val="13824654"/>
    <w:rsid w:val="138F0B1F"/>
    <w:rsid w:val="13951726"/>
    <w:rsid w:val="139D4FEA"/>
    <w:rsid w:val="13AE71F7"/>
    <w:rsid w:val="13E40E6B"/>
    <w:rsid w:val="13EE3A98"/>
    <w:rsid w:val="14117786"/>
    <w:rsid w:val="1424759A"/>
    <w:rsid w:val="14352F04"/>
    <w:rsid w:val="14354D65"/>
    <w:rsid w:val="14396509"/>
    <w:rsid w:val="14496849"/>
    <w:rsid w:val="14524026"/>
    <w:rsid w:val="14667AD2"/>
    <w:rsid w:val="14786413"/>
    <w:rsid w:val="14795A57"/>
    <w:rsid w:val="147C5547"/>
    <w:rsid w:val="149F3FC7"/>
    <w:rsid w:val="14A92D17"/>
    <w:rsid w:val="14AB28BA"/>
    <w:rsid w:val="14AE46DC"/>
    <w:rsid w:val="14BA0C80"/>
    <w:rsid w:val="14BB6070"/>
    <w:rsid w:val="14D65B6A"/>
    <w:rsid w:val="14DD2C3C"/>
    <w:rsid w:val="14E05AD6"/>
    <w:rsid w:val="14F944F9"/>
    <w:rsid w:val="150B2427"/>
    <w:rsid w:val="15131F65"/>
    <w:rsid w:val="151E215B"/>
    <w:rsid w:val="152B4F50"/>
    <w:rsid w:val="15427BDC"/>
    <w:rsid w:val="15604521"/>
    <w:rsid w:val="156948EE"/>
    <w:rsid w:val="1585042C"/>
    <w:rsid w:val="15A166DB"/>
    <w:rsid w:val="15A72150"/>
    <w:rsid w:val="15C34AB0"/>
    <w:rsid w:val="15E340B2"/>
    <w:rsid w:val="15F71E17"/>
    <w:rsid w:val="16087E1D"/>
    <w:rsid w:val="160B75A8"/>
    <w:rsid w:val="16107AB3"/>
    <w:rsid w:val="16113A6D"/>
    <w:rsid w:val="16221D47"/>
    <w:rsid w:val="16257519"/>
    <w:rsid w:val="162E0AC3"/>
    <w:rsid w:val="163A7468"/>
    <w:rsid w:val="165420B9"/>
    <w:rsid w:val="16783AEC"/>
    <w:rsid w:val="168801D3"/>
    <w:rsid w:val="169F7B22"/>
    <w:rsid w:val="16BC60CF"/>
    <w:rsid w:val="16E86EC4"/>
    <w:rsid w:val="171F0C57"/>
    <w:rsid w:val="172D6EAE"/>
    <w:rsid w:val="173E77BD"/>
    <w:rsid w:val="174B3549"/>
    <w:rsid w:val="17564400"/>
    <w:rsid w:val="175A7DFF"/>
    <w:rsid w:val="175C51BC"/>
    <w:rsid w:val="176F4EEF"/>
    <w:rsid w:val="17701838"/>
    <w:rsid w:val="17701D14"/>
    <w:rsid w:val="17735226"/>
    <w:rsid w:val="17794E73"/>
    <w:rsid w:val="17B5559F"/>
    <w:rsid w:val="17B80644"/>
    <w:rsid w:val="17BE17E4"/>
    <w:rsid w:val="17C3523B"/>
    <w:rsid w:val="17CB360D"/>
    <w:rsid w:val="17D2722C"/>
    <w:rsid w:val="17F07FF3"/>
    <w:rsid w:val="1800023D"/>
    <w:rsid w:val="180E6851"/>
    <w:rsid w:val="18147737"/>
    <w:rsid w:val="181B2A18"/>
    <w:rsid w:val="18360DD0"/>
    <w:rsid w:val="18534811"/>
    <w:rsid w:val="18553913"/>
    <w:rsid w:val="1864257A"/>
    <w:rsid w:val="187409C6"/>
    <w:rsid w:val="1881137E"/>
    <w:rsid w:val="189C7F66"/>
    <w:rsid w:val="189F624C"/>
    <w:rsid w:val="18BF4A06"/>
    <w:rsid w:val="18DF42F7"/>
    <w:rsid w:val="18E65F52"/>
    <w:rsid w:val="195E16BF"/>
    <w:rsid w:val="19600F94"/>
    <w:rsid w:val="19706CFD"/>
    <w:rsid w:val="1997072D"/>
    <w:rsid w:val="19A370D2"/>
    <w:rsid w:val="19AB6E72"/>
    <w:rsid w:val="19C77265"/>
    <w:rsid w:val="19CE29BE"/>
    <w:rsid w:val="19D5240A"/>
    <w:rsid w:val="19DA2A25"/>
    <w:rsid w:val="19DB4ABE"/>
    <w:rsid w:val="19E46C55"/>
    <w:rsid w:val="19F53DD2"/>
    <w:rsid w:val="19F6321A"/>
    <w:rsid w:val="1A0121C3"/>
    <w:rsid w:val="1A0B7ADA"/>
    <w:rsid w:val="1A0C710A"/>
    <w:rsid w:val="1A1A3838"/>
    <w:rsid w:val="1A1C66C0"/>
    <w:rsid w:val="1A333C63"/>
    <w:rsid w:val="1A3577AB"/>
    <w:rsid w:val="1A42393B"/>
    <w:rsid w:val="1A472B8C"/>
    <w:rsid w:val="1A7D3DD5"/>
    <w:rsid w:val="1A926116"/>
    <w:rsid w:val="1A9C249F"/>
    <w:rsid w:val="1AAD45DE"/>
    <w:rsid w:val="1AC00251"/>
    <w:rsid w:val="1AD27454"/>
    <w:rsid w:val="1AD5775F"/>
    <w:rsid w:val="1ADF54F6"/>
    <w:rsid w:val="1AEE25CF"/>
    <w:rsid w:val="1AFF658A"/>
    <w:rsid w:val="1B046F80"/>
    <w:rsid w:val="1B267FBB"/>
    <w:rsid w:val="1B3267B5"/>
    <w:rsid w:val="1B40161D"/>
    <w:rsid w:val="1B441859"/>
    <w:rsid w:val="1B6606B1"/>
    <w:rsid w:val="1B71131D"/>
    <w:rsid w:val="1B770817"/>
    <w:rsid w:val="1B83540D"/>
    <w:rsid w:val="1B914233"/>
    <w:rsid w:val="1BA86C22"/>
    <w:rsid w:val="1BAD5FE6"/>
    <w:rsid w:val="1BB70918"/>
    <w:rsid w:val="1BCD6688"/>
    <w:rsid w:val="1BD97158"/>
    <w:rsid w:val="1BDA0ADD"/>
    <w:rsid w:val="1BDC68CC"/>
    <w:rsid w:val="1BE9717C"/>
    <w:rsid w:val="1BF956CF"/>
    <w:rsid w:val="1BFE2CE6"/>
    <w:rsid w:val="1C0A168B"/>
    <w:rsid w:val="1C1B5646"/>
    <w:rsid w:val="1C335B7D"/>
    <w:rsid w:val="1C3404B6"/>
    <w:rsid w:val="1C381D54"/>
    <w:rsid w:val="1C4B24E2"/>
    <w:rsid w:val="1C521D1C"/>
    <w:rsid w:val="1C5E7925"/>
    <w:rsid w:val="1C5F19D6"/>
    <w:rsid w:val="1C8E7BC6"/>
    <w:rsid w:val="1CAF7818"/>
    <w:rsid w:val="1CB6044F"/>
    <w:rsid w:val="1CCB706C"/>
    <w:rsid w:val="1CCE26B8"/>
    <w:rsid w:val="1CD37CCF"/>
    <w:rsid w:val="1CFD070F"/>
    <w:rsid w:val="1CFF0AC4"/>
    <w:rsid w:val="1D0B43F2"/>
    <w:rsid w:val="1D1F1166"/>
    <w:rsid w:val="1D2422D8"/>
    <w:rsid w:val="1D294AD8"/>
    <w:rsid w:val="1D5801D4"/>
    <w:rsid w:val="1D5A03F0"/>
    <w:rsid w:val="1D5F6196"/>
    <w:rsid w:val="1D6132A5"/>
    <w:rsid w:val="1D7A4019"/>
    <w:rsid w:val="1D856646"/>
    <w:rsid w:val="1D8E56D5"/>
    <w:rsid w:val="1DAB3C46"/>
    <w:rsid w:val="1DAC3E1C"/>
    <w:rsid w:val="1DB47860"/>
    <w:rsid w:val="1DD0591E"/>
    <w:rsid w:val="1DF12B02"/>
    <w:rsid w:val="1DF61EC7"/>
    <w:rsid w:val="1DF779ED"/>
    <w:rsid w:val="1DFC3255"/>
    <w:rsid w:val="1E126780"/>
    <w:rsid w:val="1E165CBC"/>
    <w:rsid w:val="1E1C7453"/>
    <w:rsid w:val="1E236A34"/>
    <w:rsid w:val="1E2C7696"/>
    <w:rsid w:val="1E2D04C8"/>
    <w:rsid w:val="1E625744"/>
    <w:rsid w:val="1E7A43DA"/>
    <w:rsid w:val="1E811DDB"/>
    <w:rsid w:val="1E8307FC"/>
    <w:rsid w:val="1E8474D2"/>
    <w:rsid w:val="1E9753E3"/>
    <w:rsid w:val="1EA531BB"/>
    <w:rsid w:val="1EDB3303"/>
    <w:rsid w:val="1EE12B77"/>
    <w:rsid w:val="1F0E1492"/>
    <w:rsid w:val="1F1E52D1"/>
    <w:rsid w:val="1F354E97"/>
    <w:rsid w:val="1F4629DA"/>
    <w:rsid w:val="1F680F6B"/>
    <w:rsid w:val="1F686346"/>
    <w:rsid w:val="1F6C2221"/>
    <w:rsid w:val="1F7C794E"/>
    <w:rsid w:val="1F7D7C6A"/>
    <w:rsid w:val="1F8F19D4"/>
    <w:rsid w:val="1F950A5B"/>
    <w:rsid w:val="1F980D5B"/>
    <w:rsid w:val="1FBE6A14"/>
    <w:rsid w:val="1FD44489"/>
    <w:rsid w:val="1FDE551A"/>
    <w:rsid w:val="1FE50445"/>
    <w:rsid w:val="1FE7539E"/>
    <w:rsid w:val="1FEF703C"/>
    <w:rsid w:val="200603BB"/>
    <w:rsid w:val="201448AF"/>
    <w:rsid w:val="20146634"/>
    <w:rsid w:val="201725C8"/>
    <w:rsid w:val="201E74B3"/>
    <w:rsid w:val="204333BD"/>
    <w:rsid w:val="204E071D"/>
    <w:rsid w:val="20517B8B"/>
    <w:rsid w:val="20671BE0"/>
    <w:rsid w:val="207D067D"/>
    <w:rsid w:val="207F2395"/>
    <w:rsid w:val="20932201"/>
    <w:rsid w:val="20943C19"/>
    <w:rsid w:val="20963CB8"/>
    <w:rsid w:val="20A70B2E"/>
    <w:rsid w:val="20A81A1B"/>
    <w:rsid w:val="20B07FB6"/>
    <w:rsid w:val="20B646FB"/>
    <w:rsid w:val="20C11FC0"/>
    <w:rsid w:val="20D2236E"/>
    <w:rsid w:val="20D83B05"/>
    <w:rsid w:val="20F244B0"/>
    <w:rsid w:val="20F35268"/>
    <w:rsid w:val="210448FA"/>
    <w:rsid w:val="212B18F6"/>
    <w:rsid w:val="213B74B1"/>
    <w:rsid w:val="21442F49"/>
    <w:rsid w:val="215A2310"/>
    <w:rsid w:val="215C64E4"/>
    <w:rsid w:val="216B497A"/>
    <w:rsid w:val="21727FA2"/>
    <w:rsid w:val="21BC6790"/>
    <w:rsid w:val="21CB366A"/>
    <w:rsid w:val="21DA1AFF"/>
    <w:rsid w:val="21DE318A"/>
    <w:rsid w:val="21E43A63"/>
    <w:rsid w:val="21E64483"/>
    <w:rsid w:val="21EE1107"/>
    <w:rsid w:val="21EF5B80"/>
    <w:rsid w:val="21FD1AA5"/>
    <w:rsid w:val="222C2B70"/>
    <w:rsid w:val="222E74E1"/>
    <w:rsid w:val="223905D4"/>
    <w:rsid w:val="22477195"/>
    <w:rsid w:val="224F429B"/>
    <w:rsid w:val="22576990"/>
    <w:rsid w:val="226842B4"/>
    <w:rsid w:val="22806203"/>
    <w:rsid w:val="228D6B72"/>
    <w:rsid w:val="22C75AF9"/>
    <w:rsid w:val="22DF73CD"/>
    <w:rsid w:val="22E91B93"/>
    <w:rsid w:val="22F47480"/>
    <w:rsid w:val="23356B60"/>
    <w:rsid w:val="23384D2F"/>
    <w:rsid w:val="2348342F"/>
    <w:rsid w:val="2362407B"/>
    <w:rsid w:val="237C4C1C"/>
    <w:rsid w:val="237E664E"/>
    <w:rsid w:val="238E494F"/>
    <w:rsid w:val="23A83C63"/>
    <w:rsid w:val="23B31185"/>
    <w:rsid w:val="23CB6173"/>
    <w:rsid w:val="23DE1C48"/>
    <w:rsid w:val="23E9747E"/>
    <w:rsid w:val="240210CD"/>
    <w:rsid w:val="240D7C5B"/>
    <w:rsid w:val="245060A9"/>
    <w:rsid w:val="24520353"/>
    <w:rsid w:val="24612064"/>
    <w:rsid w:val="246E3E50"/>
    <w:rsid w:val="24773635"/>
    <w:rsid w:val="247A20EC"/>
    <w:rsid w:val="24AD3F42"/>
    <w:rsid w:val="24B65207"/>
    <w:rsid w:val="24BF09F7"/>
    <w:rsid w:val="24C90335"/>
    <w:rsid w:val="24C90D28"/>
    <w:rsid w:val="24ED38F7"/>
    <w:rsid w:val="25210B79"/>
    <w:rsid w:val="252B4C86"/>
    <w:rsid w:val="252D53FE"/>
    <w:rsid w:val="256736AA"/>
    <w:rsid w:val="257F09F3"/>
    <w:rsid w:val="258B2032"/>
    <w:rsid w:val="25952004"/>
    <w:rsid w:val="259626C2"/>
    <w:rsid w:val="25AD37B3"/>
    <w:rsid w:val="25BF24E7"/>
    <w:rsid w:val="25D572F4"/>
    <w:rsid w:val="25EB4074"/>
    <w:rsid w:val="25EB7E37"/>
    <w:rsid w:val="25EC2D81"/>
    <w:rsid w:val="25F56F08"/>
    <w:rsid w:val="260D66A9"/>
    <w:rsid w:val="261A696E"/>
    <w:rsid w:val="26282E39"/>
    <w:rsid w:val="26461511"/>
    <w:rsid w:val="265121EC"/>
    <w:rsid w:val="26645E9B"/>
    <w:rsid w:val="26681488"/>
    <w:rsid w:val="26AD4AE2"/>
    <w:rsid w:val="26BE19EF"/>
    <w:rsid w:val="26C910E8"/>
    <w:rsid w:val="26EB3E67"/>
    <w:rsid w:val="270D745B"/>
    <w:rsid w:val="272A0E33"/>
    <w:rsid w:val="27366D1B"/>
    <w:rsid w:val="274154D1"/>
    <w:rsid w:val="277057A2"/>
    <w:rsid w:val="277D2BF5"/>
    <w:rsid w:val="27A3318F"/>
    <w:rsid w:val="27AF426C"/>
    <w:rsid w:val="27B801ED"/>
    <w:rsid w:val="27BF157B"/>
    <w:rsid w:val="27CC5A46"/>
    <w:rsid w:val="27D8273E"/>
    <w:rsid w:val="27F668A6"/>
    <w:rsid w:val="280F0F4E"/>
    <w:rsid w:val="281B35DE"/>
    <w:rsid w:val="28243AD4"/>
    <w:rsid w:val="282633A8"/>
    <w:rsid w:val="28304227"/>
    <w:rsid w:val="28381506"/>
    <w:rsid w:val="283C53D3"/>
    <w:rsid w:val="284B1061"/>
    <w:rsid w:val="284B2E0F"/>
    <w:rsid w:val="285F68BA"/>
    <w:rsid w:val="287755BB"/>
    <w:rsid w:val="28897DCD"/>
    <w:rsid w:val="28952880"/>
    <w:rsid w:val="28A07166"/>
    <w:rsid w:val="28A349F9"/>
    <w:rsid w:val="28B5472C"/>
    <w:rsid w:val="28CA642A"/>
    <w:rsid w:val="28EA0ED2"/>
    <w:rsid w:val="29037A09"/>
    <w:rsid w:val="291C5793"/>
    <w:rsid w:val="29206EB8"/>
    <w:rsid w:val="29283150"/>
    <w:rsid w:val="29367C62"/>
    <w:rsid w:val="29570865"/>
    <w:rsid w:val="29595666"/>
    <w:rsid w:val="29657F00"/>
    <w:rsid w:val="296F634C"/>
    <w:rsid w:val="297921A2"/>
    <w:rsid w:val="297B5FB1"/>
    <w:rsid w:val="29874881"/>
    <w:rsid w:val="29B31D17"/>
    <w:rsid w:val="29B945E5"/>
    <w:rsid w:val="29C63095"/>
    <w:rsid w:val="29CB6465"/>
    <w:rsid w:val="29E325E0"/>
    <w:rsid w:val="2A0D3AE1"/>
    <w:rsid w:val="2A151926"/>
    <w:rsid w:val="2A2B739C"/>
    <w:rsid w:val="2A2D45A6"/>
    <w:rsid w:val="2A452503"/>
    <w:rsid w:val="2A4E57EC"/>
    <w:rsid w:val="2A75625B"/>
    <w:rsid w:val="2A810D6A"/>
    <w:rsid w:val="2A8E17A5"/>
    <w:rsid w:val="2AC944BF"/>
    <w:rsid w:val="2ACF41CB"/>
    <w:rsid w:val="2AD62379"/>
    <w:rsid w:val="2AD973F8"/>
    <w:rsid w:val="2ADB62F0"/>
    <w:rsid w:val="2AF302AF"/>
    <w:rsid w:val="2B2D2CA0"/>
    <w:rsid w:val="2B3A7BEC"/>
    <w:rsid w:val="2B6366C1"/>
    <w:rsid w:val="2B65068C"/>
    <w:rsid w:val="2B6761B2"/>
    <w:rsid w:val="2B772318"/>
    <w:rsid w:val="2B900040"/>
    <w:rsid w:val="2B9667E8"/>
    <w:rsid w:val="2B9D45A2"/>
    <w:rsid w:val="2BA936A8"/>
    <w:rsid w:val="2BAA6D97"/>
    <w:rsid w:val="2BAF0DC2"/>
    <w:rsid w:val="2BB23CEB"/>
    <w:rsid w:val="2BCB6DED"/>
    <w:rsid w:val="2BDE3F9A"/>
    <w:rsid w:val="2BE61D35"/>
    <w:rsid w:val="2BF11F1F"/>
    <w:rsid w:val="2C12099E"/>
    <w:rsid w:val="2C1B18E3"/>
    <w:rsid w:val="2C1C51EE"/>
    <w:rsid w:val="2C315A5A"/>
    <w:rsid w:val="2C4B1C25"/>
    <w:rsid w:val="2C4C53A8"/>
    <w:rsid w:val="2C7843EE"/>
    <w:rsid w:val="2C7B7553"/>
    <w:rsid w:val="2C8903AA"/>
    <w:rsid w:val="2CAA45E7"/>
    <w:rsid w:val="2CCD0296"/>
    <w:rsid w:val="2CFC03A4"/>
    <w:rsid w:val="2D10169D"/>
    <w:rsid w:val="2D1C2FCC"/>
    <w:rsid w:val="2D1C7470"/>
    <w:rsid w:val="2D1F062B"/>
    <w:rsid w:val="2D20392C"/>
    <w:rsid w:val="2D346BD8"/>
    <w:rsid w:val="2D480265"/>
    <w:rsid w:val="2D4D081F"/>
    <w:rsid w:val="2D5409B8"/>
    <w:rsid w:val="2D790D08"/>
    <w:rsid w:val="2D9E56F5"/>
    <w:rsid w:val="2DB12125"/>
    <w:rsid w:val="2DB31B82"/>
    <w:rsid w:val="2DDB79C4"/>
    <w:rsid w:val="2DEA4E78"/>
    <w:rsid w:val="2E383E35"/>
    <w:rsid w:val="2E3D58F0"/>
    <w:rsid w:val="2E3F51C4"/>
    <w:rsid w:val="2E4A2A0B"/>
    <w:rsid w:val="2E6005A3"/>
    <w:rsid w:val="2E667F96"/>
    <w:rsid w:val="2E8226AB"/>
    <w:rsid w:val="2E823302"/>
    <w:rsid w:val="2E83277B"/>
    <w:rsid w:val="2EC27E4D"/>
    <w:rsid w:val="2ECA33AD"/>
    <w:rsid w:val="2EE21ABF"/>
    <w:rsid w:val="2EE90D68"/>
    <w:rsid w:val="2EF17B53"/>
    <w:rsid w:val="2EF20DF8"/>
    <w:rsid w:val="2F000DF7"/>
    <w:rsid w:val="2F0B32F8"/>
    <w:rsid w:val="2F0D52C2"/>
    <w:rsid w:val="2F2B6E02"/>
    <w:rsid w:val="2F324D29"/>
    <w:rsid w:val="2F335CF5"/>
    <w:rsid w:val="2F3E66E6"/>
    <w:rsid w:val="2F4F11AC"/>
    <w:rsid w:val="2F740E9D"/>
    <w:rsid w:val="2F7610DD"/>
    <w:rsid w:val="2F843E35"/>
    <w:rsid w:val="2F854E58"/>
    <w:rsid w:val="2FAA4620"/>
    <w:rsid w:val="2FB4573E"/>
    <w:rsid w:val="2FD065E6"/>
    <w:rsid w:val="2FD177C5"/>
    <w:rsid w:val="2FD96870"/>
    <w:rsid w:val="2FE6381C"/>
    <w:rsid w:val="2FEE50F3"/>
    <w:rsid w:val="30125458"/>
    <w:rsid w:val="301306B6"/>
    <w:rsid w:val="30150A3B"/>
    <w:rsid w:val="302723B3"/>
    <w:rsid w:val="302C3DCB"/>
    <w:rsid w:val="302D729E"/>
    <w:rsid w:val="303E71D4"/>
    <w:rsid w:val="303F78AE"/>
    <w:rsid w:val="30420F9B"/>
    <w:rsid w:val="30580BC9"/>
    <w:rsid w:val="3069024A"/>
    <w:rsid w:val="30783F97"/>
    <w:rsid w:val="307F7AFA"/>
    <w:rsid w:val="30853084"/>
    <w:rsid w:val="30A76214"/>
    <w:rsid w:val="30ED7159"/>
    <w:rsid w:val="30F85AFE"/>
    <w:rsid w:val="31093735"/>
    <w:rsid w:val="31103171"/>
    <w:rsid w:val="3115220C"/>
    <w:rsid w:val="311E2ED7"/>
    <w:rsid w:val="312020B1"/>
    <w:rsid w:val="31466869"/>
    <w:rsid w:val="315619EE"/>
    <w:rsid w:val="315C449C"/>
    <w:rsid w:val="315C608D"/>
    <w:rsid w:val="316B4155"/>
    <w:rsid w:val="31774C75"/>
    <w:rsid w:val="3195334D"/>
    <w:rsid w:val="31A0798F"/>
    <w:rsid w:val="31B82709"/>
    <w:rsid w:val="31C679AA"/>
    <w:rsid w:val="31D05482"/>
    <w:rsid w:val="31FB3AF8"/>
    <w:rsid w:val="3218311B"/>
    <w:rsid w:val="32236F1A"/>
    <w:rsid w:val="32400B34"/>
    <w:rsid w:val="32460F9B"/>
    <w:rsid w:val="32470AEB"/>
    <w:rsid w:val="325167F3"/>
    <w:rsid w:val="32777E08"/>
    <w:rsid w:val="328A09D8"/>
    <w:rsid w:val="32916586"/>
    <w:rsid w:val="329E6876"/>
    <w:rsid w:val="32A47EE2"/>
    <w:rsid w:val="32E17242"/>
    <w:rsid w:val="32FB3683"/>
    <w:rsid w:val="3310712F"/>
    <w:rsid w:val="3311667F"/>
    <w:rsid w:val="332B0E41"/>
    <w:rsid w:val="333015F2"/>
    <w:rsid w:val="3344327C"/>
    <w:rsid w:val="334B6320"/>
    <w:rsid w:val="33860F86"/>
    <w:rsid w:val="338A5133"/>
    <w:rsid w:val="33A53BAB"/>
    <w:rsid w:val="33C55406"/>
    <w:rsid w:val="33D04B10"/>
    <w:rsid w:val="33D934D4"/>
    <w:rsid w:val="33EA0341"/>
    <w:rsid w:val="33EF31E8"/>
    <w:rsid w:val="33F7209D"/>
    <w:rsid w:val="33F94067"/>
    <w:rsid w:val="33FE2F6A"/>
    <w:rsid w:val="34072884"/>
    <w:rsid w:val="340D18C0"/>
    <w:rsid w:val="340E07E5"/>
    <w:rsid w:val="341D7D55"/>
    <w:rsid w:val="34235BF7"/>
    <w:rsid w:val="343A2A80"/>
    <w:rsid w:val="344C063B"/>
    <w:rsid w:val="345B03C6"/>
    <w:rsid w:val="346516FC"/>
    <w:rsid w:val="34753860"/>
    <w:rsid w:val="349B6ECC"/>
    <w:rsid w:val="349F4C0E"/>
    <w:rsid w:val="34A94C8A"/>
    <w:rsid w:val="34B566CE"/>
    <w:rsid w:val="34B56FB0"/>
    <w:rsid w:val="34D26706"/>
    <w:rsid w:val="34D56CA4"/>
    <w:rsid w:val="34DE6D4D"/>
    <w:rsid w:val="34E56399"/>
    <w:rsid w:val="34F9104F"/>
    <w:rsid w:val="35260E8C"/>
    <w:rsid w:val="35275CF0"/>
    <w:rsid w:val="35447564"/>
    <w:rsid w:val="355D2F03"/>
    <w:rsid w:val="35647C06"/>
    <w:rsid w:val="358C5FA8"/>
    <w:rsid w:val="358E6A31"/>
    <w:rsid w:val="3598340C"/>
    <w:rsid w:val="359F29EC"/>
    <w:rsid w:val="359F479A"/>
    <w:rsid w:val="35B1752B"/>
    <w:rsid w:val="35B44815"/>
    <w:rsid w:val="35BB2D34"/>
    <w:rsid w:val="35C15DF1"/>
    <w:rsid w:val="35C9256E"/>
    <w:rsid w:val="35CE7419"/>
    <w:rsid w:val="35D72186"/>
    <w:rsid w:val="35DE3514"/>
    <w:rsid w:val="35EC254E"/>
    <w:rsid w:val="36074A7F"/>
    <w:rsid w:val="36291CF1"/>
    <w:rsid w:val="3641572C"/>
    <w:rsid w:val="364315C9"/>
    <w:rsid w:val="365013B1"/>
    <w:rsid w:val="36523B43"/>
    <w:rsid w:val="365E46ED"/>
    <w:rsid w:val="36923549"/>
    <w:rsid w:val="36A300B3"/>
    <w:rsid w:val="36B75FBF"/>
    <w:rsid w:val="36BD0C45"/>
    <w:rsid w:val="36DE55E0"/>
    <w:rsid w:val="36E56DD2"/>
    <w:rsid w:val="36E60013"/>
    <w:rsid w:val="36E94723"/>
    <w:rsid w:val="36EC1C61"/>
    <w:rsid w:val="36FF3742"/>
    <w:rsid w:val="36FF7BE6"/>
    <w:rsid w:val="37081415"/>
    <w:rsid w:val="37170CCC"/>
    <w:rsid w:val="371A5EE3"/>
    <w:rsid w:val="37337890"/>
    <w:rsid w:val="37411FAD"/>
    <w:rsid w:val="374D6BA3"/>
    <w:rsid w:val="37545E2A"/>
    <w:rsid w:val="375B63C9"/>
    <w:rsid w:val="375C79EE"/>
    <w:rsid w:val="37692071"/>
    <w:rsid w:val="37702A65"/>
    <w:rsid w:val="37704640"/>
    <w:rsid w:val="37773C20"/>
    <w:rsid w:val="37797999"/>
    <w:rsid w:val="37805964"/>
    <w:rsid w:val="37C24C19"/>
    <w:rsid w:val="37CA6683"/>
    <w:rsid w:val="37D22C05"/>
    <w:rsid w:val="37D25B46"/>
    <w:rsid w:val="37E00298"/>
    <w:rsid w:val="38020CF1"/>
    <w:rsid w:val="38070AEF"/>
    <w:rsid w:val="38286CC9"/>
    <w:rsid w:val="3829314F"/>
    <w:rsid w:val="382A2A41"/>
    <w:rsid w:val="3830144F"/>
    <w:rsid w:val="385B52F0"/>
    <w:rsid w:val="38637010"/>
    <w:rsid w:val="38673C95"/>
    <w:rsid w:val="3883065A"/>
    <w:rsid w:val="388566B2"/>
    <w:rsid w:val="388C101A"/>
    <w:rsid w:val="38A00F55"/>
    <w:rsid w:val="38B302F9"/>
    <w:rsid w:val="38B93892"/>
    <w:rsid w:val="38C96577"/>
    <w:rsid w:val="38DC6AD8"/>
    <w:rsid w:val="38E61ACE"/>
    <w:rsid w:val="38F11583"/>
    <w:rsid w:val="38F12CD3"/>
    <w:rsid w:val="38F849C7"/>
    <w:rsid w:val="38F8669B"/>
    <w:rsid w:val="38F94775"/>
    <w:rsid w:val="39103A87"/>
    <w:rsid w:val="39152335"/>
    <w:rsid w:val="3919431F"/>
    <w:rsid w:val="392971ED"/>
    <w:rsid w:val="392F29FC"/>
    <w:rsid w:val="39325651"/>
    <w:rsid w:val="395F2BBE"/>
    <w:rsid w:val="396106E4"/>
    <w:rsid w:val="3968120C"/>
    <w:rsid w:val="39764E78"/>
    <w:rsid w:val="39900FC9"/>
    <w:rsid w:val="39A607ED"/>
    <w:rsid w:val="39A71E6F"/>
    <w:rsid w:val="39D8471E"/>
    <w:rsid w:val="39E06471"/>
    <w:rsid w:val="39FD57F1"/>
    <w:rsid w:val="3A21414A"/>
    <w:rsid w:val="3A650512"/>
    <w:rsid w:val="3A736B87"/>
    <w:rsid w:val="3A7B62DD"/>
    <w:rsid w:val="3A872856"/>
    <w:rsid w:val="3A9B19D4"/>
    <w:rsid w:val="3ACA223D"/>
    <w:rsid w:val="3ACE0B50"/>
    <w:rsid w:val="3AD97171"/>
    <w:rsid w:val="3ADD3695"/>
    <w:rsid w:val="3ADE5D64"/>
    <w:rsid w:val="3AFE10C6"/>
    <w:rsid w:val="3B002C12"/>
    <w:rsid w:val="3B3140E6"/>
    <w:rsid w:val="3B3763D1"/>
    <w:rsid w:val="3B3F4A55"/>
    <w:rsid w:val="3B440DF8"/>
    <w:rsid w:val="3B602C1D"/>
    <w:rsid w:val="3B781D15"/>
    <w:rsid w:val="3B8B7C9A"/>
    <w:rsid w:val="3B944365"/>
    <w:rsid w:val="3B9716C1"/>
    <w:rsid w:val="3B9D352A"/>
    <w:rsid w:val="3BB41927"/>
    <w:rsid w:val="3BC90ACE"/>
    <w:rsid w:val="3BDA4F6E"/>
    <w:rsid w:val="3BDD1CC3"/>
    <w:rsid w:val="3BDD426E"/>
    <w:rsid w:val="3BE402BD"/>
    <w:rsid w:val="3C131A3E"/>
    <w:rsid w:val="3C1415C1"/>
    <w:rsid w:val="3C2E060C"/>
    <w:rsid w:val="3C2F6E1E"/>
    <w:rsid w:val="3C3A346E"/>
    <w:rsid w:val="3C4147FD"/>
    <w:rsid w:val="3C4F64BA"/>
    <w:rsid w:val="3C5067EE"/>
    <w:rsid w:val="3C513799"/>
    <w:rsid w:val="3C5F1DE9"/>
    <w:rsid w:val="3C797AF3"/>
    <w:rsid w:val="3C9041A0"/>
    <w:rsid w:val="3CA01523"/>
    <w:rsid w:val="3CA20495"/>
    <w:rsid w:val="3CC05722"/>
    <w:rsid w:val="3CDA245A"/>
    <w:rsid w:val="3CE67855"/>
    <w:rsid w:val="3CEC4769"/>
    <w:rsid w:val="3CF9534A"/>
    <w:rsid w:val="3CFD6F01"/>
    <w:rsid w:val="3D001FC2"/>
    <w:rsid w:val="3D1837B0"/>
    <w:rsid w:val="3D1A3269"/>
    <w:rsid w:val="3D1E06B7"/>
    <w:rsid w:val="3D2D6B2F"/>
    <w:rsid w:val="3D3103CE"/>
    <w:rsid w:val="3D465FD8"/>
    <w:rsid w:val="3D4675D7"/>
    <w:rsid w:val="3D4A2B04"/>
    <w:rsid w:val="3D4C3459"/>
    <w:rsid w:val="3D6314F5"/>
    <w:rsid w:val="3D6764E5"/>
    <w:rsid w:val="3D6949AE"/>
    <w:rsid w:val="3D841743"/>
    <w:rsid w:val="3D963D3C"/>
    <w:rsid w:val="3DBD2779"/>
    <w:rsid w:val="3DBF7AA2"/>
    <w:rsid w:val="3DC92CFC"/>
    <w:rsid w:val="3DFE0BF8"/>
    <w:rsid w:val="3E0B35E6"/>
    <w:rsid w:val="3E0E5F48"/>
    <w:rsid w:val="3E1A6173"/>
    <w:rsid w:val="3E271F25"/>
    <w:rsid w:val="3E296E62"/>
    <w:rsid w:val="3E30136A"/>
    <w:rsid w:val="3E4660FB"/>
    <w:rsid w:val="3E4B1D3A"/>
    <w:rsid w:val="3E4C0761"/>
    <w:rsid w:val="3E4C25D8"/>
    <w:rsid w:val="3E7144B2"/>
    <w:rsid w:val="3E761820"/>
    <w:rsid w:val="3E8C49B3"/>
    <w:rsid w:val="3E9450B8"/>
    <w:rsid w:val="3EA572C5"/>
    <w:rsid w:val="3EA73D2A"/>
    <w:rsid w:val="3EB76FF8"/>
    <w:rsid w:val="3ED92ACB"/>
    <w:rsid w:val="3EDA0523"/>
    <w:rsid w:val="3EDE4585"/>
    <w:rsid w:val="3EEC4EF4"/>
    <w:rsid w:val="3F0062A9"/>
    <w:rsid w:val="3F067638"/>
    <w:rsid w:val="3F160DD8"/>
    <w:rsid w:val="3F4563B2"/>
    <w:rsid w:val="3F546091"/>
    <w:rsid w:val="3F6B2247"/>
    <w:rsid w:val="3F7722E4"/>
    <w:rsid w:val="3F8A4D7F"/>
    <w:rsid w:val="3FA0488E"/>
    <w:rsid w:val="3FA330D9"/>
    <w:rsid w:val="3FB3156E"/>
    <w:rsid w:val="3FBF070D"/>
    <w:rsid w:val="3FC052BA"/>
    <w:rsid w:val="3FD23E36"/>
    <w:rsid w:val="3FD6223F"/>
    <w:rsid w:val="3FDE2B00"/>
    <w:rsid w:val="3FEA152B"/>
    <w:rsid w:val="3FF73B50"/>
    <w:rsid w:val="400554DE"/>
    <w:rsid w:val="400E7EC1"/>
    <w:rsid w:val="401B2B06"/>
    <w:rsid w:val="401C6303"/>
    <w:rsid w:val="402406BD"/>
    <w:rsid w:val="404304B3"/>
    <w:rsid w:val="40520D87"/>
    <w:rsid w:val="40594D1B"/>
    <w:rsid w:val="4068265D"/>
    <w:rsid w:val="407A6407"/>
    <w:rsid w:val="40814539"/>
    <w:rsid w:val="408721A1"/>
    <w:rsid w:val="40905D53"/>
    <w:rsid w:val="40920B27"/>
    <w:rsid w:val="40B92561"/>
    <w:rsid w:val="40CD665F"/>
    <w:rsid w:val="40DA651D"/>
    <w:rsid w:val="40E165AE"/>
    <w:rsid w:val="40E80C92"/>
    <w:rsid w:val="41076015"/>
    <w:rsid w:val="411A0286"/>
    <w:rsid w:val="412169AB"/>
    <w:rsid w:val="41263FC1"/>
    <w:rsid w:val="413761CE"/>
    <w:rsid w:val="415052BD"/>
    <w:rsid w:val="415728D6"/>
    <w:rsid w:val="41A33A51"/>
    <w:rsid w:val="41E52305"/>
    <w:rsid w:val="41E93416"/>
    <w:rsid w:val="4200449D"/>
    <w:rsid w:val="420159BC"/>
    <w:rsid w:val="42293D69"/>
    <w:rsid w:val="422B5D33"/>
    <w:rsid w:val="42310E70"/>
    <w:rsid w:val="42360234"/>
    <w:rsid w:val="423A3BCC"/>
    <w:rsid w:val="424E57D2"/>
    <w:rsid w:val="42505972"/>
    <w:rsid w:val="425E3CEB"/>
    <w:rsid w:val="42925DB2"/>
    <w:rsid w:val="42A930FC"/>
    <w:rsid w:val="42B26C49"/>
    <w:rsid w:val="42CC26B3"/>
    <w:rsid w:val="430616E2"/>
    <w:rsid w:val="43065E58"/>
    <w:rsid w:val="432509D4"/>
    <w:rsid w:val="432B58BF"/>
    <w:rsid w:val="43372938"/>
    <w:rsid w:val="433A6FE6"/>
    <w:rsid w:val="433B01F8"/>
    <w:rsid w:val="43427D7C"/>
    <w:rsid w:val="43480868"/>
    <w:rsid w:val="4350713C"/>
    <w:rsid w:val="435E7A42"/>
    <w:rsid w:val="436653E0"/>
    <w:rsid w:val="43C4431A"/>
    <w:rsid w:val="43DE6CA2"/>
    <w:rsid w:val="44020D16"/>
    <w:rsid w:val="4431376C"/>
    <w:rsid w:val="444E733D"/>
    <w:rsid w:val="4475773A"/>
    <w:rsid w:val="449F7455"/>
    <w:rsid w:val="44AF712B"/>
    <w:rsid w:val="44B31DDE"/>
    <w:rsid w:val="44B951CC"/>
    <w:rsid w:val="44CD14E0"/>
    <w:rsid w:val="44E4302E"/>
    <w:rsid w:val="44F20B0B"/>
    <w:rsid w:val="45020528"/>
    <w:rsid w:val="451A5BEB"/>
    <w:rsid w:val="452E5F4C"/>
    <w:rsid w:val="453018B3"/>
    <w:rsid w:val="45322F35"/>
    <w:rsid w:val="45392515"/>
    <w:rsid w:val="45525385"/>
    <w:rsid w:val="455E3D2A"/>
    <w:rsid w:val="45612018"/>
    <w:rsid w:val="457116F6"/>
    <w:rsid w:val="45881163"/>
    <w:rsid w:val="458946E9"/>
    <w:rsid w:val="45A47C0E"/>
    <w:rsid w:val="45B44292"/>
    <w:rsid w:val="45D7074F"/>
    <w:rsid w:val="45DE30BD"/>
    <w:rsid w:val="45E36745"/>
    <w:rsid w:val="45E5269D"/>
    <w:rsid w:val="46084BE6"/>
    <w:rsid w:val="460A3EB2"/>
    <w:rsid w:val="46107E88"/>
    <w:rsid w:val="46160AA8"/>
    <w:rsid w:val="462E2664"/>
    <w:rsid w:val="4646138E"/>
    <w:rsid w:val="46577FD6"/>
    <w:rsid w:val="46581B00"/>
    <w:rsid w:val="46710E60"/>
    <w:rsid w:val="467B5F86"/>
    <w:rsid w:val="46803913"/>
    <w:rsid w:val="46892800"/>
    <w:rsid w:val="4690085B"/>
    <w:rsid w:val="46967D9E"/>
    <w:rsid w:val="46A30048"/>
    <w:rsid w:val="46A50E9C"/>
    <w:rsid w:val="46B63BAE"/>
    <w:rsid w:val="46C44060"/>
    <w:rsid w:val="46CE3131"/>
    <w:rsid w:val="46D955A7"/>
    <w:rsid w:val="46EA7015"/>
    <w:rsid w:val="46FF388E"/>
    <w:rsid w:val="4712301E"/>
    <w:rsid w:val="47133957"/>
    <w:rsid w:val="47152B0E"/>
    <w:rsid w:val="4715336F"/>
    <w:rsid w:val="474B4782"/>
    <w:rsid w:val="47511939"/>
    <w:rsid w:val="47515FAF"/>
    <w:rsid w:val="47596E9F"/>
    <w:rsid w:val="475C698F"/>
    <w:rsid w:val="47986E9D"/>
    <w:rsid w:val="479E48B1"/>
    <w:rsid w:val="47A07E0C"/>
    <w:rsid w:val="47A61A57"/>
    <w:rsid w:val="47A81BD4"/>
    <w:rsid w:val="47A85730"/>
    <w:rsid w:val="47B24801"/>
    <w:rsid w:val="47C60542"/>
    <w:rsid w:val="47E92308"/>
    <w:rsid w:val="47F84EE9"/>
    <w:rsid w:val="48180C45"/>
    <w:rsid w:val="48343468"/>
    <w:rsid w:val="486257E1"/>
    <w:rsid w:val="4870272E"/>
    <w:rsid w:val="48822425"/>
    <w:rsid w:val="488634F8"/>
    <w:rsid w:val="488C6E00"/>
    <w:rsid w:val="48A00AFD"/>
    <w:rsid w:val="48B00D40"/>
    <w:rsid w:val="48B06F92"/>
    <w:rsid w:val="48B24E1D"/>
    <w:rsid w:val="48C06AA9"/>
    <w:rsid w:val="48C9370A"/>
    <w:rsid w:val="48D037A6"/>
    <w:rsid w:val="48D85B9F"/>
    <w:rsid w:val="48DA400F"/>
    <w:rsid w:val="48F30C2D"/>
    <w:rsid w:val="49073D03"/>
    <w:rsid w:val="490A3C7D"/>
    <w:rsid w:val="493D00FA"/>
    <w:rsid w:val="49415E3C"/>
    <w:rsid w:val="494871CB"/>
    <w:rsid w:val="494D6713"/>
    <w:rsid w:val="495C2C76"/>
    <w:rsid w:val="496B4043"/>
    <w:rsid w:val="49845D29"/>
    <w:rsid w:val="498F61B8"/>
    <w:rsid w:val="49BE2251"/>
    <w:rsid w:val="49BE45F7"/>
    <w:rsid w:val="49C16F7D"/>
    <w:rsid w:val="49D40A5E"/>
    <w:rsid w:val="49D46CB0"/>
    <w:rsid w:val="49DC7715"/>
    <w:rsid w:val="49E113CD"/>
    <w:rsid w:val="49F44C5D"/>
    <w:rsid w:val="4A023139"/>
    <w:rsid w:val="4A11580F"/>
    <w:rsid w:val="4A143551"/>
    <w:rsid w:val="4A235542"/>
    <w:rsid w:val="4A2512BA"/>
    <w:rsid w:val="4A30015B"/>
    <w:rsid w:val="4A324754"/>
    <w:rsid w:val="4A3D5166"/>
    <w:rsid w:val="4A3E05CE"/>
    <w:rsid w:val="4A5E657A"/>
    <w:rsid w:val="4A687A06"/>
    <w:rsid w:val="4A7316E3"/>
    <w:rsid w:val="4A7B38D1"/>
    <w:rsid w:val="4A7B576F"/>
    <w:rsid w:val="4A802994"/>
    <w:rsid w:val="4A884846"/>
    <w:rsid w:val="4A916723"/>
    <w:rsid w:val="4A9A22A6"/>
    <w:rsid w:val="4AA04E39"/>
    <w:rsid w:val="4ABB577A"/>
    <w:rsid w:val="4AE66C9B"/>
    <w:rsid w:val="4AEB42B2"/>
    <w:rsid w:val="4AF3760A"/>
    <w:rsid w:val="4AF561A9"/>
    <w:rsid w:val="4AF84C20"/>
    <w:rsid w:val="4B0836CE"/>
    <w:rsid w:val="4B11183E"/>
    <w:rsid w:val="4B1F1FA2"/>
    <w:rsid w:val="4B4961DE"/>
    <w:rsid w:val="4B5160DF"/>
    <w:rsid w:val="4B584924"/>
    <w:rsid w:val="4B98567D"/>
    <w:rsid w:val="4BA426B2"/>
    <w:rsid w:val="4BB46D99"/>
    <w:rsid w:val="4BBC17AA"/>
    <w:rsid w:val="4BC30D8B"/>
    <w:rsid w:val="4BDB41D0"/>
    <w:rsid w:val="4BDE7982"/>
    <w:rsid w:val="4BF15DC6"/>
    <w:rsid w:val="4C4A0649"/>
    <w:rsid w:val="4C503DBE"/>
    <w:rsid w:val="4C5639AD"/>
    <w:rsid w:val="4C5B0FC3"/>
    <w:rsid w:val="4C6B3C12"/>
    <w:rsid w:val="4C7269EB"/>
    <w:rsid w:val="4C7E5ECA"/>
    <w:rsid w:val="4C876AA5"/>
    <w:rsid w:val="4C8A2ADB"/>
    <w:rsid w:val="4C8E75EA"/>
    <w:rsid w:val="4C9711D3"/>
    <w:rsid w:val="4C9F325E"/>
    <w:rsid w:val="4CA0731E"/>
    <w:rsid w:val="4CB57E91"/>
    <w:rsid w:val="4CC052CA"/>
    <w:rsid w:val="4CEA2347"/>
    <w:rsid w:val="4CFA4C80"/>
    <w:rsid w:val="4D0E00FB"/>
    <w:rsid w:val="4D176606"/>
    <w:rsid w:val="4D2B49A0"/>
    <w:rsid w:val="4D350997"/>
    <w:rsid w:val="4D36558C"/>
    <w:rsid w:val="4D3857A8"/>
    <w:rsid w:val="4D6B237E"/>
    <w:rsid w:val="4D8E53C8"/>
    <w:rsid w:val="4D9F3131"/>
    <w:rsid w:val="4DC45506"/>
    <w:rsid w:val="4DCB3F26"/>
    <w:rsid w:val="4DCF2E83"/>
    <w:rsid w:val="4DDD4195"/>
    <w:rsid w:val="4DEC4FB0"/>
    <w:rsid w:val="4DF96CE5"/>
    <w:rsid w:val="4E075D8A"/>
    <w:rsid w:val="4E1D3E24"/>
    <w:rsid w:val="4E467E1D"/>
    <w:rsid w:val="4E4B32B9"/>
    <w:rsid w:val="4E577B9D"/>
    <w:rsid w:val="4E5A2D78"/>
    <w:rsid w:val="4E740A62"/>
    <w:rsid w:val="4E861CBC"/>
    <w:rsid w:val="4E882EF9"/>
    <w:rsid w:val="4E89142F"/>
    <w:rsid w:val="4E8F610C"/>
    <w:rsid w:val="4EA946C8"/>
    <w:rsid w:val="4EBB03C8"/>
    <w:rsid w:val="4EBD6162"/>
    <w:rsid w:val="4EC00FAD"/>
    <w:rsid w:val="4F021BCA"/>
    <w:rsid w:val="4F180510"/>
    <w:rsid w:val="4F346BAF"/>
    <w:rsid w:val="4F365D17"/>
    <w:rsid w:val="4F3B1580"/>
    <w:rsid w:val="4F4B17C3"/>
    <w:rsid w:val="4F4F0B87"/>
    <w:rsid w:val="4F543CC0"/>
    <w:rsid w:val="4F663826"/>
    <w:rsid w:val="4F6850EF"/>
    <w:rsid w:val="4F764366"/>
    <w:rsid w:val="4F8B6063"/>
    <w:rsid w:val="4F9071D6"/>
    <w:rsid w:val="4F9843DC"/>
    <w:rsid w:val="4FA17635"/>
    <w:rsid w:val="4FB21842"/>
    <w:rsid w:val="4FC62A8C"/>
    <w:rsid w:val="4FD53DA3"/>
    <w:rsid w:val="4FD6108E"/>
    <w:rsid w:val="4FDC066D"/>
    <w:rsid w:val="4FE20F0D"/>
    <w:rsid w:val="4FE51552"/>
    <w:rsid w:val="50096F88"/>
    <w:rsid w:val="50212524"/>
    <w:rsid w:val="50272C50"/>
    <w:rsid w:val="50504C4B"/>
    <w:rsid w:val="50546455"/>
    <w:rsid w:val="50566671"/>
    <w:rsid w:val="5075225D"/>
    <w:rsid w:val="50792360"/>
    <w:rsid w:val="509A25B2"/>
    <w:rsid w:val="509C6E7C"/>
    <w:rsid w:val="50A15412"/>
    <w:rsid w:val="50AD025B"/>
    <w:rsid w:val="50B714C7"/>
    <w:rsid w:val="50BC666C"/>
    <w:rsid w:val="50BD3EDA"/>
    <w:rsid w:val="50D13F4A"/>
    <w:rsid w:val="50EC0933"/>
    <w:rsid w:val="50ED0658"/>
    <w:rsid w:val="51067DB8"/>
    <w:rsid w:val="51263AC0"/>
    <w:rsid w:val="5139564B"/>
    <w:rsid w:val="51496FDA"/>
    <w:rsid w:val="51535CF6"/>
    <w:rsid w:val="51603BB2"/>
    <w:rsid w:val="516150AF"/>
    <w:rsid w:val="5162104E"/>
    <w:rsid w:val="517D1ECB"/>
    <w:rsid w:val="518965D2"/>
    <w:rsid w:val="51944BC6"/>
    <w:rsid w:val="519F0A90"/>
    <w:rsid w:val="51A64CB8"/>
    <w:rsid w:val="51B03B5F"/>
    <w:rsid w:val="51DB20F8"/>
    <w:rsid w:val="51F561B8"/>
    <w:rsid w:val="51FA1996"/>
    <w:rsid w:val="521474EB"/>
    <w:rsid w:val="52264469"/>
    <w:rsid w:val="52266E1C"/>
    <w:rsid w:val="522D3402"/>
    <w:rsid w:val="526A01B2"/>
    <w:rsid w:val="526C7C57"/>
    <w:rsid w:val="527A4A60"/>
    <w:rsid w:val="52A04E1A"/>
    <w:rsid w:val="52AA100F"/>
    <w:rsid w:val="52AB4326"/>
    <w:rsid w:val="52C378C2"/>
    <w:rsid w:val="52C673B2"/>
    <w:rsid w:val="52CF7C6C"/>
    <w:rsid w:val="52DB2E5E"/>
    <w:rsid w:val="53021C42"/>
    <w:rsid w:val="530C11E9"/>
    <w:rsid w:val="531B30CF"/>
    <w:rsid w:val="531D4CEA"/>
    <w:rsid w:val="53204D14"/>
    <w:rsid w:val="5345477B"/>
    <w:rsid w:val="53656BCB"/>
    <w:rsid w:val="53713B58"/>
    <w:rsid w:val="53783F05"/>
    <w:rsid w:val="537D5CC3"/>
    <w:rsid w:val="538C05FC"/>
    <w:rsid w:val="5396232D"/>
    <w:rsid w:val="53994205"/>
    <w:rsid w:val="539F2288"/>
    <w:rsid w:val="53A039CC"/>
    <w:rsid w:val="53A1505A"/>
    <w:rsid w:val="53C04F3B"/>
    <w:rsid w:val="53DF072C"/>
    <w:rsid w:val="53E4355C"/>
    <w:rsid w:val="53EC109A"/>
    <w:rsid w:val="54063E08"/>
    <w:rsid w:val="542E3461"/>
    <w:rsid w:val="543437E8"/>
    <w:rsid w:val="54501629"/>
    <w:rsid w:val="545729B8"/>
    <w:rsid w:val="54911D5F"/>
    <w:rsid w:val="54A454D1"/>
    <w:rsid w:val="54BF40B9"/>
    <w:rsid w:val="54DD5A7A"/>
    <w:rsid w:val="54DF74EB"/>
    <w:rsid w:val="54E94597"/>
    <w:rsid w:val="54F216D5"/>
    <w:rsid w:val="54F7322B"/>
    <w:rsid w:val="54F73313"/>
    <w:rsid w:val="54F80955"/>
    <w:rsid w:val="54FD69B2"/>
    <w:rsid w:val="55083CB2"/>
    <w:rsid w:val="55255F0F"/>
    <w:rsid w:val="55256612"/>
    <w:rsid w:val="555170A7"/>
    <w:rsid w:val="555F62BF"/>
    <w:rsid w:val="557D644E"/>
    <w:rsid w:val="55855303"/>
    <w:rsid w:val="558634B4"/>
    <w:rsid w:val="5587536D"/>
    <w:rsid w:val="558A319A"/>
    <w:rsid w:val="559B174B"/>
    <w:rsid w:val="559E63C4"/>
    <w:rsid w:val="55A25EB5"/>
    <w:rsid w:val="55CE0CF4"/>
    <w:rsid w:val="55D3606E"/>
    <w:rsid w:val="55DF5FAB"/>
    <w:rsid w:val="55EE2D72"/>
    <w:rsid w:val="55F65BF7"/>
    <w:rsid w:val="55FF6F38"/>
    <w:rsid w:val="56292132"/>
    <w:rsid w:val="56710258"/>
    <w:rsid w:val="56AC4BFE"/>
    <w:rsid w:val="56B22A9C"/>
    <w:rsid w:val="56C1680E"/>
    <w:rsid w:val="56C35952"/>
    <w:rsid w:val="56DE4CCA"/>
    <w:rsid w:val="56E840A0"/>
    <w:rsid w:val="56F02C50"/>
    <w:rsid w:val="570010E5"/>
    <w:rsid w:val="570D55B0"/>
    <w:rsid w:val="57106E4E"/>
    <w:rsid w:val="571C1C97"/>
    <w:rsid w:val="572A43B4"/>
    <w:rsid w:val="575256B8"/>
    <w:rsid w:val="575B6B67"/>
    <w:rsid w:val="575D7E9C"/>
    <w:rsid w:val="57631674"/>
    <w:rsid w:val="576A0FE2"/>
    <w:rsid w:val="576A2A02"/>
    <w:rsid w:val="577473DD"/>
    <w:rsid w:val="577E341D"/>
    <w:rsid w:val="57856D42"/>
    <w:rsid w:val="57925AB5"/>
    <w:rsid w:val="579A7C3F"/>
    <w:rsid w:val="57A8761C"/>
    <w:rsid w:val="57B72A76"/>
    <w:rsid w:val="57C3426C"/>
    <w:rsid w:val="57C540DC"/>
    <w:rsid w:val="57C95893"/>
    <w:rsid w:val="57CE1F93"/>
    <w:rsid w:val="57EF4CB5"/>
    <w:rsid w:val="580D0E52"/>
    <w:rsid w:val="581A45D9"/>
    <w:rsid w:val="58315BF5"/>
    <w:rsid w:val="583940E7"/>
    <w:rsid w:val="583A433F"/>
    <w:rsid w:val="585D60C3"/>
    <w:rsid w:val="58625EA3"/>
    <w:rsid w:val="58686F74"/>
    <w:rsid w:val="586A4393"/>
    <w:rsid w:val="586B4F13"/>
    <w:rsid w:val="588743D1"/>
    <w:rsid w:val="5887701A"/>
    <w:rsid w:val="588E44CE"/>
    <w:rsid w:val="589D2963"/>
    <w:rsid w:val="58AE2DC2"/>
    <w:rsid w:val="58B73A25"/>
    <w:rsid w:val="58D973E3"/>
    <w:rsid w:val="58DA3018"/>
    <w:rsid w:val="58DC7930"/>
    <w:rsid w:val="58E019CB"/>
    <w:rsid w:val="58EF1411"/>
    <w:rsid w:val="590B386F"/>
    <w:rsid w:val="59157C5E"/>
    <w:rsid w:val="592A5088"/>
    <w:rsid w:val="59350463"/>
    <w:rsid w:val="59442F30"/>
    <w:rsid w:val="596516D3"/>
    <w:rsid w:val="596F287D"/>
    <w:rsid w:val="59945B14"/>
    <w:rsid w:val="59BB0D3F"/>
    <w:rsid w:val="59BE32C4"/>
    <w:rsid w:val="59C0439F"/>
    <w:rsid w:val="59DB431C"/>
    <w:rsid w:val="59DB7BE7"/>
    <w:rsid w:val="59EC32F2"/>
    <w:rsid w:val="5A0031AA"/>
    <w:rsid w:val="5A1A2783"/>
    <w:rsid w:val="5A25677E"/>
    <w:rsid w:val="5A2C1B5A"/>
    <w:rsid w:val="5A336288"/>
    <w:rsid w:val="5A4073DD"/>
    <w:rsid w:val="5A422C6F"/>
    <w:rsid w:val="5A510B8A"/>
    <w:rsid w:val="5A5534F6"/>
    <w:rsid w:val="5A56726E"/>
    <w:rsid w:val="5A5B519B"/>
    <w:rsid w:val="5A5C0D28"/>
    <w:rsid w:val="5A680F13"/>
    <w:rsid w:val="5A757182"/>
    <w:rsid w:val="5AA44C42"/>
    <w:rsid w:val="5ABE2233"/>
    <w:rsid w:val="5B084A0C"/>
    <w:rsid w:val="5B10566E"/>
    <w:rsid w:val="5B160D16"/>
    <w:rsid w:val="5B274C52"/>
    <w:rsid w:val="5B2B24A8"/>
    <w:rsid w:val="5B2F1F99"/>
    <w:rsid w:val="5B3855F0"/>
    <w:rsid w:val="5B50656D"/>
    <w:rsid w:val="5B550867"/>
    <w:rsid w:val="5B5B43ED"/>
    <w:rsid w:val="5B675852"/>
    <w:rsid w:val="5B6F4A8B"/>
    <w:rsid w:val="5B756F09"/>
    <w:rsid w:val="5B7A6F8C"/>
    <w:rsid w:val="5B7D10D0"/>
    <w:rsid w:val="5B830B50"/>
    <w:rsid w:val="5B920779"/>
    <w:rsid w:val="5B9F0FF8"/>
    <w:rsid w:val="5BB0455C"/>
    <w:rsid w:val="5BBB7CD0"/>
    <w:rsid w:val="5BCD23A3"/>
    <w:rsid w:val="5BDF5D95"/>
    <w:rsid w:val="5BF1296B"/>
    <w:rsid w:val="5BF56C5D"/>
    <w:rsid w:val="5BFC4F0B"/>
    <w:rsid w:val="5BFE7528"/>
    <w:rsid w:val="5C005F52"/>
    <w:rsid w:val="5C093255"/>
    <w:rsid w:val="5C1245E5"/>
    <w:rsid w:val="5C2018E1"/>
    <w:rsid w:val="5C205D85"/>
    <w:rsid w:val="5C253C16"/>
    <w:rsid w:val="5C4611C9"/>
    <w:rsid w:val="5C5058C5"/>
    <w:rsid w:val="5C6803F0"/>
    <w:rsid w:val="5C6A7FBB"/>
    <w:rsid w:val="5C7B6FD9"/>
    <w:rsid w:val="5C82368A"/>
    <w:rsid w:val="5CA822EC"/>
    <w:rsid w:val="5CAD5E9C"/>
    <w:rsid w:val="5CB87356"/>
    <w:rsid w:val="5CBA7F88"/>
    <w:rsid w:val="5CC34FC4"/>
    <w:rsid w:val="5CEC5C67"/>
    <w:rsid w:val="5D1E6EE7"/>
    <w:rsid w:val="5D5D1B5E"/>
    <w:rsid w:val="5D735BB1"/>
    <w:rsid w:val="5D753EAF"/>
    <w:rsid w:val="5D7C348F"/>
    <w:rsid w:val="5D912D68"/>
    <w:rsid w:val="5DD961EC"/>
    <w:rsid w:val="5DFA706E"/>
    <w:rsid w:val="5E043951"/>
    <w:rsid w:val="5E055233"/>
    <w:rsid w:val="5E150DBE"/>
    <w:rsid w:val="5E2467F1"/>
    <w:rsid w:val="5E280F21"/>
    <w:rsid w:val="5E2F283F"/>
    <w:rsid w:val="5E40270F"/>
    <w:rsid w:val="5E541726"/>
    <w:rsid w:val="5E541D16"/>
    <w:rsid w:val="5E652092"/>
    <w:rsid w:val="5E693542"/>
    <w:rsid w:val="5E9B381D"/>
    <w:rsid w:val="5E9D7AD2"/>
    <w:rsid w:val="5EA20CD3"/>
    <w:rsid w:val="5EA22A81"/>
    <w:rsid w:val="5EE32CCE"/>
    <w:rsid w:val="5EE47D8E"/>
    <w:rsid w:val="5F001688"/>
    <w:rsid w:val="5F10378A"/>
    <w:rsid w:val="5F1514A5"/>
    <w:rsid w:val="5F155949"/>
    <w:rsid w:val="5F1A2B43"/>
    <w:rsid w:val="5F487ACD"/>
    <w:rsid w:val="5F7F5CB9"/>
    <w:rsid w:val="5F840741"/>
    <w:rsid w:val="5F944AC0"/>
    <w:rsid w:val="5FAE6A44"/>
    <w:rsid w:val="5FB65D44"/>
    <w:rsid w:val="5FB837BB"/>
    <w:rsid w:val="5FC37B91"/>
    <w:rsid w:val="5FCB425A"/>
    <w:rsid w:val="5FD96977"/>
    <w:rsid w:val="5FE650E6"/>
    <w:rsid w:val="5FEC3F51"/>
    <w:rsid w:val="5FFC2686"/>
    <w:rsid w:val="600A2FD4"/>
    <w:rsid w:val="601D1B80"/>
    <w:rsid w:val="60365CC2"/>
    <w:rsid w:val="60432E3A"/>
    <w:rsid w:val="6045400C"/>
    <w:rsid w:val="60455DBA"/>
    <w:rsid w:val="6057614E"/>
    <w:rsid w:val="606167A7"/>
    <w:rsid w:val="60765F74"/>
    <w:rsid w:val="60863DB4"/>
    <w:rsid w:val="608F6FB9"/>
    <w:rsid w:val="609D5BF6"/>
    <w:rsid w:val="60A2320D"/>
    <w:rsid w:val="60C15C53"/>
    <w:rsid w:val="60CC405A"/>
    <w:rsid w:val="60EB5C13"/>
    <w:rsid w:val="60F90953"/>
    <w:rsid w:val="60FD6695"/>
    <w:rsid w:val="612D4B73"/>
    <w:rsid w:val="61361A44"/>
    <w:rsid w:val="61421E4A"/>
    <w:rsid w:val="615C33BC"/>
    <w:rsid w:val="615E5AE8"/>
    <w:rsid w:val="61700C15"/>
    <w:rsid w:val="61800C41"/>
    <w:rsid w:val="61840B64"/>
    <w:rsid w:val="6189617B"/>
    <w:rsid w:val="61DA0784"/>
    <w:rsid w:val="61DA3E58"/>
    <w:rsid w:val="61E215D8"/>
    <w:rsid w:val="61E800C0"/>
    <w:rsid w:val="62006AED"/>
    <w:rsid w:val="620A1C25"/>
    <w:rsid w:val="621B3775"/>
    <w:rsid w:val="62214605"/>
    <w:rsid w:val="62294526"/>
    <w:rsid w:val="62364782"/>
    <w:rsid w:val="625773C4"/>
    <w:rsid w:val="6274063F"/>
    <w:rsid w:val="6280132C"/>
    <w:rsid w:val="62917095"/>
    <w:rsid w:val="6297369B"/>
    <w:rsid w:val="62A72D5C"/>
    <w:rsid w:val="62BD0395"/>
    <w:rsid w:val="62BE1E54"/>
    <w:rsid w:val="62C21944"/>
    <w:rsid w:val="62C5778F"/>
    <w:rsid w:val="62E418BB"/>
    <w:rsid w:val="62F12229"/>
    <w:rsid w:val="62F35FA1"/>
    <w:rsid w:val="62F75621"/>
    <w:rsid w:val="63066470"/>
    <w:rsid w:val="63147CC6"/>
    <w:rsid w:val="631A1780"/>
    <w:rsid w:val="632177C0"/>
    <w:rsid w:val="6334796C"/>
    <w:rsid w:val="634D554E"/>
    <w:rsid w:val="6360222C"/>
    <w:rsid w:val="636B1FDC"/>
    <w:rsid w:val="63912E36"/>
    <w:rsid w:val="63917345"/>
    <w:rsid w:val="6394356A"/>
    <w:rsid w:val="639F44F9"/>
    <w:rsid w:val="63A728E8"/>
    <w:rsid w:val="63C61B2C"/>
    <w:rsid w:val="63D40BE9"/>
    <w:rsid w:val="63FF2724"/>
    <w:rsid w:val="64102431"/>
    <w:rsid w:val="642D7291"/>
    <w:rsid w:val="643402C9"/>
    <w:rsid w:val="64371EBE"/>
    <w:rsid w:val="644A1BF1"/>
    <w:rsid w:val="644C3BBB"/>
    <w:rsid w:val="648E6C18"/>
    <w:rsid w:val="64925346"/>
    <w:rsid w:val="649313C6"/>
    <w:rsid w:val="64A5243A"/>
    <w:rsid w:val="64C3649D"/>
    <w:rsid w:val="64C80D68"/>
    <w:rsid w:val="64E638C9"/>
    <w:rsid w:val="64F531DE"/>
    <w:rsid w:val="64FC23AF"/>
    <w:rsid w:val="651B5E40"/>
    <w:rsid w:val="652078DB"/>
    <w:rsid w:val="652F7039"/>
    <w:rsid w:val="6535538B"/>
    <w:rsid w:val="65373578"/>
    <w:rsid w:val="654F5399"/>
    <w:rsid w:val="656C0FB5"/>
    <w:rsid w:val="658E5B0E"/>
    <w:rsid w:val="65921AA2"/>
    <w:rsid w:val="65A17F37"/>
    <w:rsid w:val="65A322F2"/>
    <w:rsid w:val="65A5082B"/>
    <w:rsid w:val="65B349B3"/>
    <w:rsid w:val="65C43C25"/>
    <w:rsid w:val="65FF4747"/>
    <w:rsid w:val="660928F2"/>
    <w:rsid w:val="66340503"/>
    <w:rsid w:val="66377F53"/>
    <w:rsid w:val="664527E1"/>
    <w:rsid w:val="664C382E"/>
    <w:rsid w:val="666305B8"/>
    <w:rsid w:val="66680A54"/>
    <w:rsid w:val="667851AE"/>
    <w:rsid w:val="667A42E4"/>
    <w:rsid w:val="668F0AF2"/>
    <w:rsid w:val="66931839"/>
    <w:rsid w:val="66A542B0"/>
    <w:rsid w:val="66AD7606"/>
    <w:rsid w:val="66BF160C"/>
    <w:rsid w:val="66D7373A"/>
    <w:rsid w:val="66EC3434"/>
    <w:rsid w:val="66F374E2"/>
    <w:rsid w:val="66F61717"/>
    <w:rsid w:val="66FB0596"/>
    <w:rsid w:val="66FE4F15"/>
    <w:rsid w:val="670267B3"/>
    <w:rsid w:val="670C21F3"/>
    <w:rsid w:val="670E6687"/>
    <w:rsid w:val="671D183F"/>
    <w:rsid w:val="671F124A"/>
    <w:rsid w:val="673F435B"/>
    <w:rsid w:val="67404605"/>
    <w:rsid w:val="67472418"/>
    <w:rsid w:val="6755370F"/>
    <w:rsid w:val="67564D51"/>
    <w:rsid w:val="67627252"/>
    <w:rsid w:val="67672BB7"/>
    <w:rsid w:val="677A33C6"/>
    <w:rsid w:val="678E44EB"/>
    <w:rsid w:val="67D221AE"/>
    <w:rsid w:val="67D53EC8"/>
    <w:rsid w:val="67DE5A3A"/>
    <w:rsid w:val="67F55649"/>
    <w:rsid w:val="67F72090"/>
    <w:rsid w:val="681F6961"/>
    <w:rsid w:val="682B7F8C"/>
    <w:rsid w:val="683D0065"/>
    <w:rsid w:val="68610A2F"/>
    <w:rsid w:val="68724EFE"/>
    <w:rsid w:val="687E1A46"/>
    <w:rsid w:val="68805514"/>
    <w:rsid w:val="688B2D25"/>
    <w:rsid w:val="68906041"/>
    <w:rsid w:val="689D1F7F"/>
    <w:rsid w:val="68A33FC6"/>
    <w:rsid w:val="68C63810"/>
    <w:rsid w:val="68E1064A"/>
    <w:rsid w:val="68F24605"/>
    <w:rsid w:val="690263F4"/>
    <w:rsid w:val="690C3DE3"/>
    <w:rsid w:val="691722BE"/>
    <w:rsid w:val="6929382F"/>
    <w:rsid w:val="69316E2F"/>
    <w:rsid w:val="69360996"/>
    <w:rsid w:val="694D5CE0"/>
    <w:rsid w:val="694E2071"/>
    <w:rsid w:val="695316F9"/>
    <w:rsid w:val="69696376"/>
    <w:rsid w:val="69766163"/>
    <w:rsid w:val="69780FAF"/>
    <w:rsid w:val="697A3B33"/>
    <w:rsid w:val="697E0C70"/>
    <w:rsid w:val="698C05B6"/>
    <w:rsid w:val="69935DE8"/>
    <w:rsid w:val="69B1626F"/>
    <w:rsid w:val="69BC5FA9"/>
    <w:rsid w:val="69D32689"/>
    <w:rsid w:val="69D44760"/>
    <w:rsid w:val="69F12B0F"/>
    <w:rsid w:val="6A024D1C"/>
    <w:rsid w:val="6A195BE2"/>
    <w:rsid w:val="6A3B199D"/>
    <w:rsid w:val="6A414E41"/>
    <w:rsid w:val="6A462E5B"/>
    <w:rsid w:val="6A49294B"/>
    <w:rsid w:val="6A520EC7"/>
    <w:rsid w:val="6A727F1D"/>
    <w:rsid w:val="6A7B0700"/>
    <w:rsid w:val="6A837C0B"/>
    <w:rsid w:val="6A8D6CDC"/>
    <w:rsid w:val="6A9F5809"/>
    <w:rsid w:val="6AAB7162"/>
    <w:rsid w:val="6AC83870"/>
    <w:rsid w:val="6AD7785D"/>
    <w:rsid w:val="6ADD256F"/>
    <w:rsid w:val="6AE256BE"/>
    <w:rsid w:val="6AE52674"/>
    <w:rsid w:val="6AEF704E"/>
    <w:rsid w:val="6AF45BB7"/>
    <w:rsid w:val="6AF57E3D"/>
    <w:rsid w:val="6AF87E20"/>
    <w:rsid w:val="6AFD7D57"/>
    <w:rsid w:val="6B0D5727"/>
    <w:rsid w:val="6B322639"/>
    <w:rsid w:val="6B3233DF"/>
    <w:rsid w:val="6B347497"/>
    <w:rsid w:val="6B3C7DBA"/>
    <w:rsid w:val="6B480E55"/>
    <w:rsid w:val="6B4B1E0D"/>
    <w:rsid w:val="6B6A2B79"/>
    <w:rsid w:val="6B7F4D3D"/>
    <w:rsid w:val="6B911A71"/>
    <w:rsid w:val="6BBF5BB4"/>
    <w:rsid w:val="6BDE74BC"/>
    <w:rsid w:val="6BE12649"/>
    <w:rsid w:val="6BFC7B2E"/>
    <w:rsid w:val="6C0134DD"/>
    <w:rsid w:val="6C382C77"/>
    <w:rsid w:val="6C491A18"/>
    <w:rsid w:val="6C636C38"/>
    <w:rsid w:val="6C7D068A"/>
    <w:rsid w:val="6C88775B"/>
    <w:rsid w:val="6C8C0EE9"/>
    <w:rsid w:val="6C9C28A9"/>
    <w:rsid w:val="6C9F753F"/>
    <w:rsid w:val="6CB56076"/>
    <w:rsid w:val="6CC30793"/>
    <w:rsid w:val="6CC4450B"/>
    <w:rsid w:val="6CD01102"/>
    <w:rsid w:val="6CD56854"/>
    <w:rsid w:val="6CE90966"/>
    <w:rsid w:val="6CEE3336"/>
    <w:rsid w:val="6CFC3CA5"/>
    <w:rsid w:val="6CFD4109"/>
    <w:rsid w:val="6D2F2148"/>
    <w:rsid w:val="6D45564C"/>
    <w:rsid w:val="6D6A50B2"/>
    <w:rsid w:val="6D736A0C"/>
    <w:rsid w:val="6D74569A"/>
    <w:rsid w:val="6D750667"/>
    <w:rsid w:val="6D7E353F"/>
    <w:rsid w:val="6D820C27"/>
    <w:rsid w:val="6D8C327A"/>
    <w:rsid w:val="6DA406BA"/>
    <w:rsid w:val="6DAE26BA"/>
    <w:rsid w:val="6DB34098"/>
    <w:rsid w:val="6DB37099"/>
    <w:rsid w:val="6DB545B6"/>
    <w:rsid w:val="6DC534D0"/>
    <w:rsid w:val="6DD4077E"/>
    <w:rsid w:val="6DE02FB4"/>
    <w:rsid w:val="6DF901E4"/>
    <w:rsid w:val="6E156AC0"/>
    <w:rsid w:val="6E184B0E"/>
    <w:rsid w:val="6E37652D"/>
    <w:rsid w:val="6E443B55"/>
    <w:rsid w:val="6E497D7B"/>
    <w:rsid w:val="6E4A6D63"/>
    <w:rsid w:val="6E514CED"/>
    <w:rsid w:val="6E7206C2"/>
    <w:rsid w:val="6E755ABD"/>
    <w:rsid w:val="6E9028F6"/>
    <w:rsid w:val="6E9C74ED"/>
    <w:rsid w:val="6EAD0FDB"/>
    <w:rsid w:val="6EB5235D"/>
    <w:rsid w:val="6EB563D5"/>
    <w:rsid w:val="6ED92677"/>
    <w:rsid w:val="6EE34301"/>
    <w:rsid w:val="6EF54E4F"/>
    <w:rsid w:val="6F014CD6"/>
    <w:rsid w:val="6F0931A3"/>
    <w:rsid w:val="6F1B24A2"/>
    <w:rsid w:val="6F225983"/>
    <w:rsid w:val="6F292773"/>
    <w:rsid w:val="6F3A3ED9"/>
    <w:rsid w:val="6F40256E"/>
    <w:rsid w:val="6F420814"/>
    <w:rsid w:val="6F5953DE"/>
    <w:rsid w:val="6F6B48BF"/>
    <w:rsid w:val="6F833CB5"/>
    <w:rsid w:val="6F876C04"/>
    <w:rsid w:val="6F8A2FC9"/>
    <w:rsid w:val="6F8F518E"/>
    <w:rsid w:val="6F914B78"/>
    <w:rsid w:val="6FA0544C"/>
    <w:rsid w:val="6FC27994"/>
    <w:rsid w:val="6FFC5590"/>
    <w:rsid w:val="6FFD220E"/>
    <w:rsid w:val="700D5B08"/>
    <w:rsid w:val="70111815"/>
    <w:rsid w:val="7027728A"/>
    <w:rsid w:val="702D1E00"/>
    <w:rsid w:val="703D6AAE"/>
    <w:rsid w:val="703F45D4"/>
    <w:rsid w:val="705B400C"/>
    <w:rsid w:val="706D1DD0"/>
    <w:rsid w:val="707324D0"/>
    <w:rsid w:val="70812E3F"/>
    <w:rsid w:val="70856B87"/>
    <w:rsid w:val="70980188"/>
    <w:rsid w:val="709B7148"/>
    <w:rsid w:val="70BE74B3"/>
    <w:rsid w:val="70D04684"/>
    <w:rsid w:val="70D527EE"/>
    <w:rsid w:val="70EC5DDE"/>
    <w:rsid w:val="70F71B0A"/>
    <w:rsid w:val="70FA571F"/>
    <w:rsid w:val="71297032"/>
    <w:rsid w:val="712A4FFD"/>
    <w:rsid w:val="7148395C"/>
    <w:rsid w:val="715B5300"/>
    <w:rsid w:val="716B31A7"/>
    <w:rsid w:val="717C53B4"/>
    <w:rsid w:val="718322E0"/>
    <w:rsid w:val="71836742"/>
    <w:rsid w:val="71A36DE5"/>
    <w:rsid w:val="71BF0332"/>
    <w:rsid w:val="71C254BD"/>
    <w:rsid w:val="71D27F8A"/>
    <w:rsid w:val="71DB032D"/>
    <w:rsid w:val="71DC0231"/>
    <w:rsid w:val="71EC56B6"/>
    <w:rsid w:val="71ED6659"/>
    <w:rsid w:val="71EE5145"/>
    <w:rsid w:val="71F94C57"/>
    <w:rsid w:val="720158B9"/>
    <w:rsid w:val="72037883"/>
    <w:rsid w:val="720912FA"/>
    <w:rsid w:val="72091D7F"/>
    <w:rsid w:val="720A4F39"/>
    <w:rsid w:val="720F7FD6"/>
    <w:rsid w:val="721A2480"/>
    <w:rsid w:val="723317EC"/>
    <w:rsid w:val="72331F17"/>
    <w:rsid w:val="723F1CE4"/>
    <w:rsid w:val="72407F9E"/>
    <w:rsid w:val="72553024"/>
    <w:rsid w:val="726C5EE9"/>
    <w:rsid w:val="72780E3B"/>
    <w:rsid w:val="727F33AE"/>
    <w:rsid w:val="72847228"/>
    <w:rsid w:val="728F1117"/>
    <w:rsid w:val="72930C07"/>
    <w:rsid w:val="729965AB"/>
    <w:rsid w:val="72A85152"/>
    <w:rsid w:val="72AD2651"/>
    <w:rsid w:val="72AD7986"/>
    <w:rsid w:val="72B9391F"/>
    <w:rsid w:val="72C14886"/>
    <w:rsid w:val="72C557D1"/>
    <w:rsid w:val="72CA4791"/>
    <w:rsid w:val="72D52FCE"/>
    <w:rsid w:val="72DB435C"/>
    <w:rsid w:val="72DD25DA"/>
    <w:rsid w:val="72E96A79"/>
    <w:rsid w:val="73002341"/>
    <w:rsid w:val="73122968"/>
    <w:rsid w:val="731F5D5E"/>
    <w:rsid w:val="732B75C2"/>
    <w:rsid w:val="734955F9"/>
    <w:rsid w:val="73497518"/>
    <w:rsid w:val="736B6155"/>
    <w:rsid w:val="736F04F9"/>
    <w:rsid w:val="73781BAB"/>
    <w:rsid w:val="737A3CA9"/>
    <w:rsid w:val="739A7D73"/>
    <w:rsid w:val="73A34E7A"/>
    <w:rsid w:val="73C51AD5"/>
    <w:rsid w:val="740372BA"/>
    <w:rsid w:val="740D4235"/>
    <w:rsid w:val="74161AF0"/>
    <w:rsid w:val="74173A51"/>
    <w:rsid w:val="741D72F0"/>
    <w:rsid w:val="741E793C"/>
    <w:rsid w:val="742F4960"/>
    <w:rsid w:val="74485A21"/>
    <w:rsid w:val="745E3944"/>
    <w:rsid w:val="745E6FF3"/>
    <w:rsid w:val="74602D6B"/>
    <w:rsid w:val="74736F42"/>
    <w:rsid w:val="74737B68"/>
    <w:rsid w:val="74760B73"/>
    <w:rsid w:val="74B31CE1"/>
    <w:rsid w:val="74B97563"/>
    <w:rsid w:val="74D472B5"/>
    <w:rsid w:val="74D6302D"/>
    <w:rsid w:val="74D8376D"/>
    <w:rsid w:val="74DA2B1D"/>
    <w:rsid w:val="74DB6895"/>
    <w:rsid w:val="74ED5944"/>
    <w:rsid w:val="75175B20"/>
    <w:rsid w:val="7565449B"/>
    <w:rsid w:val="75756CA4"/>
    <w:rsid w:val="758208C0"/>
    <w:rsid w:val="75976C60"/>
    <w:rsid w:val="75994786"/>
    <w:rsid w:val="75A35605"/>
    <w:rsid w:val="75B43C45"/>
    <w:rsid w:val="75DD3240"/>
    <w:rsid w:val="760140DA"/>
    <w:rsid w:val="76067EE4"/>
    <w:rsid w:val="760F2C9B"/>
    <w:rsid w:val="761D53B8"/>
    <w:rsid w:val="7635099D"/>
    <w:rsid w:val="76426AA0"/>
    <w:rsid w:val="766F4361"/>
    <w:rsid w:val="767F7B9F"/>
    <w:rsid w:val="76C021E7"/>
    <w:rsid w:val="76E41A31"/>
    <w:rsid w:val="76EC08E6"/>
    <w:rsid w:val="77061189"/>
    <w:rsid w:val="77074F4B"/>
    <w:rsid w:val="77197A96"/>
    <w:rsid w:val="77280D41"/>
    <w:rsid w:val="773A3F07"/>
    <w:rsid w:val="773D55E5"/>
    <w:rsid w:val="774E77F3"/>
    <w:rsid w:val="77670759"/>
    <w:rsid w:val="77762421"/>
    <w:rsid w:val="777A4144"/>
    <w:rsid w:val="777E5082"/>
    <w:rsid w:val="778341D3"/>
    <w:rsid w:val="778D3EB0"/>
    <w:rsid w:val="77945988"/>
    <w:rsid w:val="77A6318B"/>
    <w:rsid w:val="77B02A50"/>
    <w:rsid w:val="77B56B1F"/>
    <w:rsid w:val="77BE04D4"/>
    <w:rsid w:val="77E45A61"/>
    <w:rsid w:val="77F363E8"/>
    <w:rsid w:val="780600CD"/>
    <w:rsid w:val="78061E7B"/>
    <w:rsid w:val="780F09F4"/>
    <w:rsid w:val="7814100C"/>
    <w:rsid w:val="781F3D44"/>
    <w:rsid w:val="78212811"/>
    <w:rsid w:val="78243707"/>
    <w:rsid w:val="78251DC8"/>
    <w:rsid w:val="782D7408"/>
    <w:rsid w:val="784B5AE0"/>
    <w:rsid w:val="78654DF4"/>
    <w:rsid w:val="78A90480"/>
    <w:rsid w:val="78CE0BEB"/>
    <w:rsid w:val="790E0FE8"/>
    <w:rsid w:val="790E7239"/>
    <w:rsid w:val="79127A95"/>
    <w:rsid w:val="795452DC"/>
    <w:rsid w:val="795B4750"/>
    <w:rsid w:val="796706F8"/>
    <w:rsid w:val="7979136A"/>
    <w:rsid w:val="797D616D"/>
    <w:rsid w:val="79865022"/>
    <w:rsid w:val="79B9373E"/>
    <w:rsid w:val="79B94E8A"/>
    <w:rsid w:val="79BF4CDA"/>
    <w:rsid w:val="79C36276"/>
    <w:rsid w:val="79FE4A54"/>
    <w:rsid w:val="79FE5E80"/>
    <w:rsid w:val="79FF7B09"/>
    <w:rsid w:val="7A0D599F"/>
    <w:rsid w:val="7A1C1079"/>
    <w:rsid w:val="7A2D2AD9"/>
    <w:rsid w:val="7A364017"/>
    <w:rsid w:val="7A3D35B4"/>
    <w:rsid w:val="7A4E3666"/>
    <w:rsid w:val="7A5A200A"/>
    <w:rsid w:val="7A6102FA"/>
    <w:rsid w:val="7A8265E1"/>
    <w:rsid w:val="7A8946A3"/>
    <w:rsid w:val="7A9D69F8"/>
    <w:rsid w:val="7AAF05A8"/>
    <w:rsid w:val="7ADB4969"/>
    <w:rsid w:val="7ADD3367"/>
    <w:rsid w:val="7AE364A4"/>
    <w:rsid w:val="7AE77D42"/>
    <w:rsid w:val="7AE83246"/>
    <w:rsid w:val="7AFD1314"/>
    <w:rsid w:val="7AFE508C"/>
    <w:rsid w:val="7B160627"/>
    <w:rsid w:val="7B3A4316"/>
    <w:rsid w:val="7B3D5BB4"/>
    <w:rsid w:val="7B507A12"/>
    <w:rsid w:val="7B5A6766"/>
    <w:rsid w:val="7B686D42"/>
    <w:rsid w:val="7B6C1BAD"/>
    <w:rsid w:val="7B730C11"/>
    <w:rsid w:val="7B841746"/>
    <w:rsid w:val="7BAE0860"/>
    <w:rsid w:val="7BB37C24"/>
    <w:rsid w:val="7BB5399C"/>
    <w:rsid w:val="7BBA0FB3"/>
    <w:rsid w:val="7BBD4C16"/>
    <w:rsid w:val="7BCD4F21"/>
    <w:rsid w:val="7BD1454E"/>
    <w:rsid w:val="7BD24DE5"/>
    <w:rsid w:val="7BE001A4"/>
    <w:rsid w:val="7BE82D0A"/>
    <w:rsid w:val="7C014E34"/>
    <w:rsid w:val="7C1E59E5"/>
    <w:rsid w:val="7C214550"/>
    <w:rsid w:val="7C2661F6"/>
    <w:rsid w:val="7C2E19A1"/>
    <w:rsid w:val="7C357264"/>
    <w:rsid w:val="7C5416E2"/>
    <w:rsid w:val="7C5B6399"/>
    <w:rsid w:val="7C6C5AC7"/>
    <w:rsid w:val="7C6E31A6"/>
    <w:rsid w:val="7C77087B"/>
    <w:rsid w:val="7C865339"/>
    <w:rsid w:val="7C8A307B"/>
    <w:rsid w:val="7C935BB4"/>
    <w:rsid w:val="7CA51ECE"/>
    <w:rsid w:val="7CA8537C"/>
    <w:rsid w:val="7CC6544B"/>
    <w:rsid w:val="7CD6006E"/>
    <w:rsid w:val="7CE04A49"/>
    <w:rsid w:val="7CF130FA"/>
    <w:rsid w:val="7CF6426C"/>
    <w:rsid w:val="7D0239FF"/>
    <w:rsid w:val="7D060737"/>
    <w:rsid w:val="7D092B7A"/>
    <w:rsid w:val="7D1D3EEF"/>
    <w:rsid w:val="7D2360BE"/>
    <w:rsid w:val="7D2F59D0"/>
    <w:rsid w:val="7D3D633F"/>
    <w:rsid w:val="7D562F5D"/>
    <w:rsid w:val="7D5D253D"/>
    <w:rsid w:val="7D5E40CD"/>
    <w:rsid w:val="7D802A99"/>
    <w:rsid w:val="7D9B3382"/>
    <w:rsid w:val="7D9B3C16"/>
    <w:rsid w:val="7DAC5273"/>
    <w:rsid w:val="7DAF1C29"/>
    <w:rsid w:val="7DCD56F2"/>
    <w:rsid w:val="7DCF0A77"/>
    <w:rsid w:val="7DE57F9C"/>
    <w:rsid w:val="7DF06F0E"/>
    <w:rsid w:val="7E187283"/>
    <w:rsid w:val="7E2B6198"/>
    <w:rsid w:val="7E3C545D"/>
    <w:rsid w:val="7E464B92"/>
    <w:rsid w:val="7E4C1A3E"/>
    <w:rsid w:val="7E663674"/>
    <w:rsid w:val="7E8E76B2"/>
    <w:rsid w:val="7EAB274E"/>
    <w:rsid w:val="7EC470A2"/>
    <w:rsid w:val="7EC7099C"/>
    <w:rsid w:val="7EDC0608"/>
    <w:rsid w:val="7EDC4584"/>
    <w:rsid w:val="7EDC7492"/>
    <w:rsid w:val="7EF20AA2"/>
    <w:rsid w:val="7F001CE7"/>
    <w:rsid w:val="7F0A2251"/>
    <w:rsid w:val="7F15586A"/>
    <w:rsid w:val="7F2D4191"/>
    <w:rsid w:val="7F533BF8"/>
    <w:rsid w:val="7F546B4E"/>
    <w:rsid w:val="7F650897"/>
    <w:rsid w:val="7F671451"/>
    <w:rsid w:val="7F7223A0"/>
    <w:rsid w:val="7F740436"/>
    <w:rsid w:val="7F771A95"/>
    <w:rsid w:val="7F892D09"/>
    <w:rsid w:val="7F9D053B"/>
    <w:rsid w:val="7FC06DB4"/>
    <w:rsid w:val="7FC27A45"/>
    <w:rsid w:val="7FD91C23"/>
    <w:rsid w:val="7FE138D8"/>
    <w:rsid w:val="7FE47E50"/>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 w:semiHidden="0" w:name="heading 2" w:locked="1"/>
    <w:lsdException w:qFormat="1" w:unhideWhenUsed="0" w:uiPriority="0" w:semiHidden="0" w:name="heading 3" w:locked="1"/>
    <w:lsdException w:qFormat="1"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qFormat="1" w:unhideWhenUsed="0" w:uiPriority="0" w:semiHidden="0" w:name="index 1" w:locked="1"/>
    <w:lsdException w:uiPriority="0" w:name="index 2" w:locked="1"/>
    <w:lsdException w:uiPriority="0" w:name="index 3" w:locked="1"/>
    <w:lsdException w:uiPriority="0" w:name="index 4" w:locked="1"/>
    <w:lsdException w:qFormat="1" w:unhideWhenUsed="0" w:uiPriority="99" w:semiHidden="0" w:name="index 5" w:locked="1"/>
    <w:lsdException w:uiPriority="0" w:name="index 6" w:locked="1"/>
    <w:lsdException w:uiPriority="0" w:name="index 7" w:locked="1"/>
    <w:lsdException w:uiPriority="0" w:name="index 8" w:locked="1"/>
    <w:lsdException w:uiPriority="0" w:name="index 9" w:locked="1"/>
    <w:lsdException w:qFormat="1" w:unhideWhenUsed="0" w:uiPriority="39" w:semiHidden="0" w:name="toc 1"/>
    <w:lsdException w:uiPriority="0" w:name="toc 2" w:locked="1"/>
    <w:lsdException w:qFormat="1" w:unhideWhenUsed="0" w:uiPriority="39" w:semiHidden="0" w:name="toc 3" w:locked="1"/>
    <w:lsdException w:uiPriority="0" w:name="toc 4" w:locked="1"/>
    <w:lsdException w:uiPriority="0" w:name="toc 5" w:locked="1"/>
    <w:lsdException w:uiPriority="0" w:name="toc 6" w:locked="1"/>
    <w:lsdException w:uiPriority="0" w:name="toc 7" w:locked="1"/>
    <w:lsdException w:uiPriority="0" w:name="toc 8" w:locked="1"/>
    <w:lsdException w:uiPriority="0" w:name="toc 9" w:locked="1"/>
    <w:lsdException w:qFormat="1" w:unhideWhenUsed="0" w:uiPriority="0" w:semiHidden="0" w:name="Normal Indent"/>
    <w:lsdException w:uiPriority="0" w:name="footnote text" w:locked="1"/>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ocked="1"/>
    <w:lsdException w:qFormat="1" w:unhideWhenUsed="0" w:uiPriority="0" w:semiHidden="0" w:name="caption"/>
    <w:lsdException w:uiPriority="0" w:name="table of figures" w:locked="1"/>
    <w:lsdException w:uiPriority="0" w:name="envelope address" w:locked="1"/>
    <w:lsdException w:qFormat="1" w:uiPriority="99" w:name="envelope return"/>
    <w:lsdException w:uiPriority="0" w:name="footnote reference" w:locked="1"/>
    <w:lsdException w:qFormat="1" w:unhideWhenUsed="0" w:uiPriority="99" w:semiHidden="0" w:name="annotation reference"/>
    <w:lsdException w:uiPriority="0" w:name="line number" w:locked="1"/>
    <w:lsdException w:qFormat="1" w:unhideWhenUsed="0" w:uiPriority="0" w:semiHidden="0" w:name="page number"/>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qFormat="1" w:unhideWhenUsed="0" w:uiPriority="0" w:semiHidden="0" w:name="List" w:locked="1"/>
    <w:lsdException w:uiPriority="0" w:name="List Bullet" w:locked="1"/>
    <w:lsdException w:unhideWhenUsed="0" w:uiPriority="0" w:semiHidden="0" w:name="List Number" w:locked="1"/>
    <w:lsdException w:uiPriority="0" w:name="List 2" w:locked="1"/>
    <w:lsdException w:uiPriority="0" w:name="List 3" w:locked="1"/>
    <w:lsdException w:unhideWhenUsed="0" w:uiPriority="0" w:semiHidden="0" w:name="List 4" w:locked="1"/>
    <w:lsdException w:unhideWhenUsed="0" w:uiPriority="0" w:semiHidden="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0" w:semiHidden="0" w:name="Subtitle" w:locked="1"/>
    <w:lsdException w:qFormat="1" w:unhideWhenUsed="0" w:uiPriority="99" w:semiHidden="0" w:name="Salutation" w:locked="1"/>
    <w:lsdException w:qFormat="1" w:unhideWhenUsed="0" w:uiPriority="99" w:semiHidden="0" w:name="Date"/>
    <w:lsdException w:qFormat="1" w:unhideWhenUsed="0" w:uiPriority="0" w:semiHidden="0" w:name="Body Text First Indent" w:locked="1"/>
    <w:lsdException w:qFormat="1" w:unhideWhenUsed="0" w:uiPriority="99" w:semiHidden="0" w:name="Body Text First Indent 2"/>
    <w:lsdException w:uiPriority="0" w:name="Note Heading" w:locked="1"/>
    <w:lsdException w:uiPriority="0" w:name="Body Text 2"/>
    <w:lsdException w:uiPriority="0" w:name="Body Text 3" w:locked="1"/>
    <w:lsdException w:qFormat="1" w:unhideWhenUsed="0" w:uiPriority="99" w:semiHidden="0" w:name="Body Text Indent 2"/>
    <w:lsdException w:uiPriority="0" w:name="Body Text Indent 3"/>
    <w:lsdException w:qFormat="1" w:unhideWhenUsed="0" w:uiPriority="0" w:semiHidden="0" w:name="Block Text" w:locked="1"/>
    <w:lsdException w:qFormat="1" w:uiPriority="99" w:semiHidden="0" w:name="Hyperlink"/>
    <w:lsdException w:qFormat="1" w:uiPriority="99" w:name="FollowedHyperlink" w:locked="1"/>
    <w:lsdException w:qFormat="1" w:unhideWhenUsed="0" w:uiPriority="0" w:semiHidden="0" w:name="Strong" w:locked="1"/>
    <w:lsdException w:qFormat="1" w:unhideWhenUsed="0" w:uiPriority="0" w:semiHidden="0" w:name="Emphasis" w:locked="1"/>
    <w:lsdException w:uiPriority="0" w:name="Document Map" w:locked="1"/>
    <w:lsdException w:qFormat="1" w:unhideWhenUsed="0" w:uiPriority="99" w:semiHidden="0" w:name="Plain Text"/>
    <w:lsdException w:uiPriority="0" w:name="E-mail Signature" w:locked="1"/>
    <w:lsdException w:qFormat="1" w:unhideWhenUsed="0" w:uiPriority="99" w:semiHidden="0" w:name="Normal (Web)"/>
    <w:lsdException w:uiPriority="0" w:name="HTML Acronym" w:locked="1"/>
    <w:lsdException w:uiPriority="0" w:name="HTML Address" w:locked="1"/>
    <w:lsdException w:uiPriority="0" w:name="HTML Cite" w:locked="1"/>
    <w:lsdException w:uiPriority="0" w:name="HTML Code" w:locked="1"/>
    <w:lsdException w:uiPriority="0" w:name="HTML Definition" w:locked="1"/>
    <w:lsdException w:uiPriority="0" w:name="HTML Keyboard" w:locked="1"/>
    <w:lsdException w:uiPriority="0" w:name="HTML Preformatted" w:locked="1"/>
    <w:lsdException w:uiPriority="0" w:name="HTML Sample" w:locked="1"/>
    <w:lsdException w:uiPriority="0" w:name="HTML Typewriter" w:locked="1"/>
    <w:lsdException w:uiPriority="0" w:name="HTML Variable" w:locked="1"/>
    <w:lsdException w:qFormat="1" w:uiPriority="99" w:name="Normal Table"/>
    <w:lsdException w:qFormat="1" w:unhideWhenUsed="0" w:uiPriority="99" w:semiHidden="0" w:name="annotation subject"/>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99" w:semiHidden="0" w:name="Balloon Text"/>
    <w:lsdException w:qFormat="1" w:unhideWhenUsed="0" w:uiPriority="59" w:semiHidden="0" w:name="Table Grid"/>
    <w:lsdException w:uiPriority="0" w:name="Table Theme" w:locked="1"/>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72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48"/>
    <w:autoRedefine/>
    <w:qFormat/>
    <w:locked/>
    <w:uiPriority w:val="99"/>
    <w:pPr>
      <w:keepNext/>
      <w:overflowPunct w:val="0"/>
      <w:snapToGrid w:val="0"/>
      <w:spacing w:before="200" w:after="200" w:line="260" w:lineRule="auto"/>
      <w:ind w:firstLine="0" w:firstLineChars="0"/>
      <w:jc w:val="center"/>
      <w:outlineLvl w:val="0"/>
    </w:pPr>
    <w:rPr>
      <w:rFonts w:eastAsia="黑体"/>
      <w:bCs/>
      <w:color w:val="000000"/>
      <w:kern w:val="44"/>
      <w:sz w:val="30"/>
      <w:szCs w:val="30"/>
    </w:rPr>
  </w:style>
  <w:style w:type="paragraph" w:styleId="3">
    <w:name w:val="heading 2"/>
    <w:basedOn w:val="1"/>
    <w:next w:val="1"/>
    <w:link w:val="49"/>
    <w:autoRedefine/>
    <w:qFormat/>
    <w:locked/>
    <w:uiPriority w:val="9"/>
    <w:pPr>
      <w:keepNext/>
      <w:keepLines/>
      <w:ind w:firstLine="0" w:firstLineChars="0"/>
      <w:jc w:val="left"/>
      <w:outlineLvl w:val="1"/>
    </w:pPr>
    <w:rPr>
      <w:b/>
      <w:bCs/>
      <w:sz w:val="28"/>
      <w:szCs w:val="32"/>
    </w:rPr>
  </w:style>
  <w:style w:type="paragraph" w:styleId="4">
    <w:name w:val="heading 3"/>
    <w:basedOn w:val="1"/>
    <w:next w:val="1"/>
    <w:link w:val="50"/>
    <w:autoRedefine/>
    <w:qFormat/>
    <w:locked/>
    <w:uiPriority w:val="0"/>
    <w:pPr>
      <w:keepNext/>
      <w:keepLines/>
      <w:ind w:firstLine="0" w:firstLineChars="0"/>
      <w:jc w:val="left"/>
      <w:outlineLvl w:val="2"/>
    </w:pPr>
    <w:rPr>
      <w:b/>
      <w:bCs/>
      <w:szCs w:val="30"/>
    </w:rPr>
  </w:style>
  <w:style w:type="paragraph" w:styleId="5">
    <w:name w:val="heading 4"/>
    <w:basedOn w:val="1"/>
    <w:next w:val="1"/>
    <w:link w:val="51"/>
    <w:autoRedefine/>
    <w:unhideWhenUsed/>
    <w:qFormat/>
    <w:locked/>
    <w:uiPriority w:val="0"/>
    <w:pPr>
      <w:keepNext/>
      <w:keepLines/>
      <w:ind w:firstLine="0" w:firstLineChars="0"/>
      <w:outlineLvl w:val="3"/>
    </w:pPr>
    <w:rPr>
      <w:rFonts w:cstheme="majorBidi"/>
      <w:bCs/>
      <w:szCs w:val="28"/>
    </w:rPr>
  </w:style>
  <w:style w:type="paragraph" w:styleId="6">
    <w:name w:val="heading 6"/>
    <w:basedOn w:val="1"/>
    <w:next w:val="1"/>
    <w:link w:val="52"/>
    <w:autoRedefine/>
    <w:qFormat/>
    <w:locked/>
    <w:uiPriority w:val="0"/>
    <w:pPr>
      <w:keepNext/>
      <w:keepLines/>
      <w:ind w:firstLine="0" w:firstLineChars="0"/>
      <w:jc w:val="center"/>
      <w:outlineLvl w:val="5"/>
    </w:pPr>
    <w:rPr>
      <w:b/>
      <w:bCs/>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118"/>
    <w:autoRedefine/>
    <w:qFormat/>
    <w:uiPriority w:val="0"/>
    <w:pPr>
      <w:ind w:firstLine="420"/>
    </w:pPr>
    <w:rPr>
      <w:rFonts w:ascii="宋体" w:hAnsi="宋体"/>
      <w:kern w:val="0"/>
    </w:rPr>
  </w:style>
  <w:style w:type="paragraph" w:styleId="8">
    <w:name w:val="caption"/>
    <w:basedOn w:val="1"/>
    <w:next w:val="1"/>
    <w:autoRedefine/>
    <w:qFormat/>
    <w:uiPriority w:val="0"/>
    <w:pPr>
      <w:spacing w:line="240" w:lineRule="auto"/>
      <w:ind w:firstLine="0" w:firstLineChars="0"/>
    </w:pPr>
    <w:rPr>
      <w:rFonts w:ascii="Arial" w:hAnsi="Arial" w:eastAsia="黑体" w:cs="Arial"/>
      <w:sz w:val="20"/>
      <w:szCs w:val="20"/>
    </w:rPr>
  </w:style>
  <w:style w:type="paragraph" w:styleId="9">
    <w:name w:val="index 5"/>
    <w:next w:val="1"/>
    <w:qFormat/>
    <w:locked/>
    <w:uiPriority w:val="99"/>
    <w:pPr>
      <w:widowControl w:val="0"/>
      <w:jc w:val="both"/>
    </w:pPr>
    <w:rPr>
      <w:rFonts w:ascii="Times New Roman" w:hAnsi="Times New Roman" w:eastAsia="宋体" w:cs="Times New Roman"/>
      <w:kern w:val="2"/>
      <w:sz w:val="21"/>
      <w:szCs w:val="24"/>
      <w:lang w:val="en-US" w:eastAsia="zh-CN" w:bidi="ar-SA"/>
    </w:rPr>
  </w:style>
  <w:style w:type="paragraph" w:styleId="10">
    <w:name w:val="annotation text"/>
    <w:basedOn w:val="1"/>
    <w:link w:val="53"/>
    <w:autoRedefine/>
    <w:qFormat/>
    <w:uiPriority w:val="99"/>
    <w:pPr>
      <w:jc w:val="left"/>
    </w:pPr>
  </w:style>
  <w:style w:type="paragraph" w:styleId="11">
    <w:name w:val="Salutation"/>
    <w:basedOn w:val="1"/>
    <w:next w:val="1"/>
    <w:qFormat/>
    <w:locked/>
    <w:uiPriority w:val="99"/>
    <w:rPr>
      <w:kern w:val="0"/>
    </w:rPr>
  </w:style>
  <w:style w:type="paragraph" w:styleId="12">
    <w:name w:val="Body Text"/>
    <w:basedOn w:val="1"/>
    <w:next w:val="1"/>
    <w:link w:val="77"/>
    <w:autoRedefine/>
    <w:qFormat/>
    <w:uiPriority w:val="99"/>
    <w:pPr>
      <w:widowControl/>
      <w:snapToGrid w:val="0"/>
      <w:spacing w:before="60" w:after="160" w:line="259" w:lineRule="auto"/>
      <w:ind w:right="113" w:firstLine="0" w:firstLineChars="0"/>
    </w:pPr>
    <w:rPr>
      <w:kern w:val="0"/>
      <w:sz w:val="18"/>
      <w:szCs w:val="20"/>
    </w:rPr>
  </w:style>
  <w:style w:type="paragraph" w:styleId="13">
    <w:name w:val="Body Text Indent"/>
    <w:basedOn w:val="1"/>
    <w:next w:val="14"/>
    <w:link w:val="82"/>
    <w:autoRedefine/>
    <w:qFormat/>
    <w:uiPriority w:val="99"/>
    <w:pPr>
      <w:spacing w:after="120" w:line="240" w:lineRule="auto"/>
      <w:ind w:left="420" w:leftChars="200" w:firstLine="0" w:firstLineChars="0"/>
    </w:pPr>
    <w:rPr>
      <w:kern w:val="0"/>
      <w:szCs w:val="20"/>
    </w:rPr>
  </w:style>
  <w:style w:type="paragraph" w:customStyle="1" w:styleId="14">
    <w:name w:val="样式 正文文本缩进 + 行距: 1.5 倍行距"/>
    <w:basedOn w:val="15"/>
    <w:next w:val="1"/>
    <w:qFormat/>
    <w:uiPriority w:val="0"/>
    <w:pPr>
      <w:spacing w:after="120" w:line="360" w:lineRule="auto"/>
      <w:ind w:left="90" w:leftChars="32" w:firstLine="560" w:firstLineChars="200"/>
    </w:pPr>
    <w:rPr>
      <w:rFonts w:cs="宋体"/>
      <w:sz w:val="24"/>
    </w:rPr>
  </w:style>
  <w:style w:type="paragraph" w:customStyle="1" w:styleId="15">
    <w:name w:val="Body Text Indent"/>
    <w:basedOn w:val="1"/>
    <w:next w:val="14"/>
    <w:qFormat/>
    <w:uiPriority w:val="0"/>
    <w:pPr>
      <w:spacing w:after="120" w:afterLines="0"/>
      <w:ind w:left="420" w:leftChars="200"/>
    </w:pPr>
  </w:style>
  <w:style w:type="paragraph" w:styleId="16">
    <w:name w:val="Block Text"/>
    <w:basedOn w:val="1"/>
    <w:qFormat/>
    <w:locked/>
    <w:uiPriority w:val="0"/>
    <w:pPr>
      <w:widowControl/>
      <w:spacing w:line="440" w:lineRule="exact"/>
      <w:ind w:left="113" w:right="113" w:firstLine="567"/>
    </w:pPr>
    <w:rPr>
      <w:rFonts w:ascii="仿宋_GB2312" w:eastAsia="仿宋_GB2312"/>
      <w:kern w:val="0"/>
      <w:sz w:val="28"/>
    </w:rPr>
  </w:style>
  <w:style w:type="paragraph" w:styleId="17">
    <w:name w:val="toc 3"/>
    <w:basedOn w:val="1"/>
    <w:next w:val="1"/>
    <w:autoRedefine/>
    <w:qFormat/>
    <w:locked/>
    <w:uiPriority w:val="39"/>
    <w:pPr>
      <w:spacing w:line="240" w:lineRule="auto"/>
      <w:ind w:left="840" w:leftChars="400" w:firstLine="0" w:firstLineChars="0"/>
    </w:pPr>
    <w:rPr>
      <w:rFonts w:ascii="Calibri" w:hAnsi="Calibri"/>
      <w:sz w:val="21"/>
    </w:rPr>
  </w:style>
  <w:style w:type="paragraph" w:styleId="18">
    <w:name w:val="Plain Text"/>
    <w:basedOn w:val="1"/>
    <w:next w:val="11"/>
    <w:link w:val="47"/>
    <w:autoRedefine/>
    <w:qFormat/>
    <w:uiPriority w:val="99"/>
    <w:rPr>
      <w:rFonts w:ascii="宋体" w:hAnsi="Courier New"/>
    </w:rPr>
  </w:style>
  <w:style w:type="paragraph" w:styleId="19">
    <w:name w:val="Date"/>
    <w:basedOn w:val="1"/>
    <w:next w:val="1"/>
    <w:link w:val="74"/>
    <w:autoRedefine/>
    <w:qFormat/>
    <w:uiPriority w:val="99"/>
    <w:pPr>
      <w:spacing w:line="240" w:lineRule="auto"/>
      <w:ind w:left="100" w:leftChars="2500" w:firstLine="0" w:firstLineChars="0"/>
    </w:pPr>
    <w:rPr>
      <w:kern w:val="0"/>
      <w:szCs w:val="20"/>
    </w:rPr>
  </w:style>
  <w:style w:type="paragraph" w:styleId="20">
    <w:name w:val="Body Text Indent 2"/>
    <w:basedOn w:val="1"/>
    <w:next w:val="21"/>
    <w:link w:val="85"/>
    <w:autoRedefine/>
    <w:qFormat/>
    <w:uiPriority w:val="99"/>
    <w:pPr>
      <w:autoSpaceDE w:val="0"/>
      <w:autoSpaceDN w:val="0"/>
      <w:snapToGrid w:val="0"/>
      <w:spacing w:line="440" w:lineRule="exact"/>
      <w:ind w:firstLine="560" w:firstLineChars="0"/>
      <w:jc w:val="left"/>
      <w:outlineLvl w:val="2"/>
    </w:pPr>
    <w:rPr>
      <w:rFonts w:ascii="Calibri" w:hAnsi="Calibri" w:eastAsia="楷体_GB2312"/>
      <w:sz w:val="26"/>
      <w:szCs w:val="20"/>
    </w:rPr>
  </w:style>
  <w:style w:type="paragraph" w:styleId="21">
    <w:name w:val="Body Text First Indent 2"/>
    <w:basedOn w:val="13"/>
    <w:next w:val="1"/>
    <w:link w:val="83"/>
    <w:autoRedefine/>
    <w:qFormat/>
    <w:uiPriority w:val="99"/>
    <w:pPr>
      <w:ind w:firstLine="210"/>
    </w:pPr>
    <w:rPr>
      <w:sz w:val="30"/>
    </w:rPr>
  </w:style>
  <w:style w:type="paragraph" w:styleId="22">
    <w:name w:val="Balloon Text"/>
    <w:basedOn w:val="1"/>
    <w:link w:val="54"/>
    <w:autoRedefine/>
    <w:qFormat/>
    <w:uiPriority w:val="99"/>
    <w:pPr>
      <w:spacing w:line="240" w:lineRule="auto"/>
    </w:pPr>
    <w:rPr>
      <w:sz w:val="18"/>
      <w:szCs w:val="18"/>
    </w:rPr>
  </w:style>
  <w:style w:type="paragraph" w:styleId="23">
    <w:name w:val="footer"/>
    <w:basedOn w:val="1"/>
    <w:link w:val="55"/>
    <w:autoRedefine/>
    <w:qFormat/>
    <w:uiPriority w:val="99"/>
    <w:pPr>
      <w:tabs>
        <w:tab w:val="center" w:pos="4153"/>
        <w:tab w:val="right" w:pos="8306"/>
      </w:tabs>
      <w:snapToGrid w:val="0"/>
      <w:spacing w:line="240" w:lineRule="auto"/>
      <w:jc w:val="left"/>
    </w:pPr>
    <w:rPr>
      <w:sz w:val="18"/>
      <w:szCs w:val="18"/>
    </w:rPr>
  </w:style>
  <w:style w:type="paragraph" w:styleId="24">
    <w:name w:val="envelope return"/>
    <w:basedOn w:val="1"/>
    <w:autoRedefine/>
    <w:semiHidden/>
    <w:unhideWhenUsed/>
    <w:qFormat/>
    <w:uiPriority w:val="99"/>
    <w:pPr>
      <w:snapToGrid w:val="0"/>
    </w:pPr>
    <w:rPr>
      <w:rFonts w:ascii="Arial" w:hAnsi="Arial"/>
    </w:rPr>
  </w:style>
  <w:style w:type="paragraph" w:styleId="25">
    <w:name w:val="header"/>
    <w:basedOn w:val="1"/>
    <w:link w:val="56"/>
    <w:autoRedefine/>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6">
    <w:name w:val="toc 1"/>
    <w:basedOn w:val="1"/>
    <w:next w:val="1"/>
    <w:autoRedefine/>
    <w:qFormat/>
    <w:uiPriority w:val="39"/>
  </w:style>
  <w:style w:type="paragraph" w:styleId="27">
    <w:name w:val="index heading"/>
    <w:basedOn w:val="1"/>
    <w:next w:val="28"/>
    <w:qFormat/>
    <w:locked/>
    <w:uiPriority w:val="0"/>
    <w:pPr>
      <w:spacing w:line="240" w:lineRule="auto"/>
      <w:ind w:firstLine="0" w:firstLineChars="0"/>
      <w:jc w:val="both"/>
    </w:pPr>
    <w:rPr>
      <w:rFonts w:ascii="Times New Roman" w:hAnsi="Times New Roman"/>
      <w:szCs w:val="20"/>
    </w:rPr>
  </w:style>
  <w:style w:type="paragraph" w:styleId="28">
    <w:name w:val="index 1"/>
    <w:basedOn w:val="1"/>
    <w:next w:val="1"/>
    <w:qFormat/>
    <w:locked/>
    <w:uiPriority w:val="0"/>
    <w:rPr>
      <w:rFonts w:hint="eastAsia" w:ascii="宋体"/>
      <w:sz w:val="24"/>
      <w:szCs w:val="20"/>
      <w:vertAlign w:val="superscript"/>
    </w:rPr>
  </w:style>
  <w:style w:type="paragraph" w:styleId="29">
    <w:name w:val="List"/>
    <w:basedOn w:val="1"/>
    <w:autoRedefine/>
    <w:qFormat/>
    <w:locked/>
    <w:uiPriority w:val="0"/>
    <w:pPr>
      <w:ind w:left="200" w:hanging="200" w:hangingChars="200"/>
    </w:pPr>
  </w:style>
  <w:style w:type="paragraph" w:styleId="30">
    <w:name w:val="Normal (Web)"/>
    <w:basedOn w:val="1"/>
    <w:next w:val="1"/>
    <w:link w:val="57"/>
    <w:autoRedefine/>
    <w:qFormat/>
    <w:uiPriority w:val="99"/>
    <w:pPr>
      <w:widowControl/>
      <w:spacing w:before="100" w:beforeAutospacing="1" w:after="100" w:afterAutospacing="1" w:line="240" w:lineRule="auto"/>
      <w:ind w:firstLine="0" w:firstLineChars="0"/>
      <w:jc w:val="left"/>
    </w:pPr>
    <w:rPr>
      <w:rFonts w:ascii="宋体" w:hAnsi="宋体"/>
      <w:kern w:val="0"/>
      <w:szCs w:val="20"/>
    </w:rPr>
  </w:style>
  <w:style w:type="paragraph" w:styleId="31">
    <w:name w:val="Title"/>
    <w:basedOn w:val="1"/>
    <w:next w:val="1"/>
    <w:autoRedefine/>
    <w:qFormat/>
    <w:locked/>
    <w:uiPriority w:val="10"/>
    <w:pPr>
      <w:outlineLvl w:val="0"/>
    </w:pPr>
    <w:rPr>
      <w:bCs/>
      <w:szCs w:val="32"/>
    </w:rPr>
  </w:style>
  <w:style w:type="paragraph" w:styleId="32">
    <w:name w:val="annotation subject"/>
    <w:basedOn w:val="10"/>
    <w:next w:val="10"/>
    <w:link w:val="58"/>
    <w:autoRedefine/>
    <w:qFormat/>
    <w:uiPriority w:val="99"/>
    <w:rPr>
      <w:b/>
      <w:bCs/>
    </w:rPr>
  </w:style>
  <w:style w:type="paragraph" w:styleId="33">
    <w:name w:val="Body Text First Indent"/>
    <w:basedOn w:val="12"/>
    <w:next w:val="1"/>
    <w:link w:val="90"/>
    <w:autoRedefine/>
    <w:qFormat/>
    <w:locked/>
    <w:uiPriority w:val="0"/>
    <w:pPr>
      <w:ind w:firstLine="420" w:firstLineChars="100"/>
    </w:pPr>
  </w:style>
  <w:style w:type="table" w:styleId="35">
    <w:name w:val="Table Grid"/>
    <w:basedOn w:val="3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locked/>
    <w:uiPriority w:val="0"/>
    <w:rPr>
      <w:b/>
    </w:rPr>
  </w:style>
  <w:style w:type="character" w:styleId="38">
    <w:name w:val="page number"/>
    <w:basedOn w:val="36"/>
    <w:autoRedefine/>
    <w:qFormat/>
    <w:uiPriority w:val="0"/>
  </w:style>
  <w:style w:type="character" w:styleId="39">
    <w:name w:val="FollowedHyperlink"/>
    <w:basedOn w:val="36"/>
    <w:autoRedefine/>
    <w:semiHidden/>
    <w:unhideWhenUsed/>
    <w:qFormat/>
    <w:locked/>
    <w:uiPriority w:val="99"/>
    <w:rPr>
      <w:color w:val="954F72"/>
      <w:u w:val="single"/>
    </w:rPr>
  </w:style>
  <w:style w:type="character" w:styleId="40">
    <w:name w:val="Hyperlink"/>
    <w:autoRedefine/>
    <w:unhideWhenUsed/>
    <w:qFormat/>
    <w:uiPriority w:val="99"/>
    <w:rPr>
      <w:color w:val="0000FF"/>
      <w:u w:val="single"/>
    </w:rPr>
  </w:style>
  <w:style w:type="character" w:styleId="41">
    <w:name w:val="annotation reference"/>
    <w:basedOn w:val="36"/>
    <w:autoRedefine/>
    <w:qFormat/>
    <w:uiPriority w:val="99"/>
    <w:rPr>
      <w:sz w:val="21"/>
      <w:szCs w:val="21"/>
    </w:rPr>
  </w:style>
  <w:style w:type="paragraph" w:customStyle="1" w:styleId="42">
    <w:name w:val="TOC 31"/>
    <w:basedOn w:val="1"/>
    <w:next w:val="1"/>
    <w:qFormat/>
    <w:uiPriority w:val="0"/>
    <w:pPr>
      <w:widowControl w:val="0"/>
      <w:autoSpaceDE/>
      <w:autoSpaceDN/>
      <w:spacing w:before="0" w:after="0" w:line="240" w:lineRule="auto"/>
      <w:ind w:left="420" w:firstLine="0"/>
      <w:jc w:val="both"/>
    </w:pPr>
    <w:rPr>
      <w:rFonts w:ascii="Times New Roman" w:eastAsia="宋体"/>
      <w:i/>
    </w:rPr>
  </w:style>
  <w:style w:type="paragraph" w:customStyle="1" w:styleId="43">
    <w:name w:val="xl27"/>
    <w:basedOn w:val="1"/>
    <w:next w:val="44"/>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4">
    <w:name w:val="A正文"/>
    <w:qFormat/>
    <w:uiPriority w:val="0"/>
    <w:pPr>
      <w:spacing w:line="480" w:lineRule="exact"/>
    </w:pPr>
    <w:rPr>
      <w:rFonts w:ascii="Times New Roman" w:hAnsi="Times New Roman" w:eastAsia="宋体" w:cs="Times New Roman"/>
      <w:sz w:val="21"/>
      <w:szCs w:val="22"/>
      <w:lang w:val="en-US" w:eastAsia="zh-CN" w:bidi="ar-SA"/>
    </w:rPr>
  </w:style>
  <w:style w:type="paragraph" w:customStyle="1" w:styleId="45">
    <w:name w:val="Default1"/>
    <w:basedOn w:val="46"/>
    <w:next w:val="1"/>
    <w:qFormat/>
    <w:uiPriority w:val="0"/>
    <w:pPr>
      <w:widowControl w:val="0"/>
      <w:autoSpaceDE w:val="0"/>
      <w:autoSpaceDN w:val="0"/>
      <w:adjustRightInd w:val="0"/>
    </w:pPr>
    <w:rPr>
      <w:rFonts w:ascii="宋体" w:cs="宋体"/>
      <w:snapToGrid w:val="0"/>
      <w:color w:val="000000"/>
      <w:sz w:val="24"/>
      <w:szCs w:val="24"/>
      <w:lang w:val="en-US" w:eastAsia="zh-CN"/>
    </w:rPr>
  </w:style>
  <w:style w:type="paragraph" w:customStyle="1" w:styleId="46">
    <w:name w:val="Normal_14_0"/>
    <w:qFormat/>
    <w:uiPriority w:val="0"/>
    <w:pPr>
      <w:spacing w:before="120" w:after="240"/>
      <w:jc w:val="both"/>
    </w:pPr>
    <w:rPr>
      <w:rFonts w:ascii="Times New Roman" w:hAnsi="Times New Roman" w:eastAsia="Calibri" w:cs="Times New Roman"/>
      <w:sz w:val="22"/>
      <w:szCs w:val="22"/>
      <w:lang w:val="ru-RU" w:eastAsia="en-US" w:bidi="ar-SA"/>
    </w:rPr>
  </w:style>
  <w:style w:type="character" w:customStyle="1" w:styleId="47">
    <w:name w:val="纯文本 字符"/>
    <w:link w:val="18"/>
    <w:autoRedefine/>
    <w:qFormat/>
    <w:uiPriority w:val="99"/>
    <w:rPr>
      <w:rFonts w:ascii="宋体" w:hAnsi="Courier New"/>
      <w:kern w:val="2"/>
      <w:sz w:val="24"/>
      <w:szCs w:val="24"/>
    </w:rPr>
  </w:style>
  <w:style w:type="character" w:customStyle="1" w:styleId="48">
    <w:name w:val="标题 1 字符"/>
    <w:link w:val="2"/>
    <w:autoRedefine/>
    <w:qFormat/>
    <w:uiPriority w:val="99"/>
    <w:rPr>
      <w:rFonts w:eastAsia="黑体"/>
      <w:bCs/>
      <w:color w:val="000000"/>
      <w:kern w:val="44"/>
      <w:sz w:val="30"/>
      <w:szCs w:val="30"/>
    </w:rPr>
  </w:style>
  <w:style w:type="character" w:customStyle="1" w:styleId="49">
    <w:name w:val="标题 2 字符"/>
    <w:link w:val="3"/>
    <w:autoRedefine/>
    <w:qFormat/>
    <w:uiPriority w:val="9"/>
    <w:rPr>
      <w:b/>
      <w:bCs/>
      <w:sz w:val="28"/>
      <w:szCs w:val="32"/>
    </w:rPr>
  </w:style>
  <w:style w:type="character" w:customStyle="1" w:styleId="50">
    <w:name w:val="标题 3 字符"/>
    <w:link w:val="4"/>
    <w:autoRedefine/>
    <w:qFormat/>
    <w:uiPriority w:val="0"/>
    <w:rPr>
      <w:b/>
      <w:bCs/>
      <w:szCs w:val="30"/>
    </w:rPr>
  </w:style>
  <w:style w:type="character" w:customStyle="1" w:styleId="51">
    <w:name w:val="标题 4 字符"/>
    <w:link w:val="5"/>
    <w:autoRedefine/>
    <w:qFormat/>
    <w:uiPriority w:val="0"/>
    <w:rPr>
      <w:rFonts w:ascii="Times New Roman" w:hAnsi="Times New Roman" w:cstheme="majorBidi"/>
      <w:bCs/>
      <w:szCs w:val="28"/>
    </w:rPr>
  </w:style>
  <w:style w:type="character" w:customStyle="1" w:styleId="52">
    <w:name w:val="标题 6 字符"/>
    <w:link w:val="6"/>
    <w:autoRedefine/>
    <w:qFormat/>
    <w:uiPriority w:val="0"/>
    <w:rPr>
      <w:rFonts w:ascii="Times New Roman" w:hAnsi="Times New Roman"/>
      <w:b/>
      <w:bCs/>
    </w:rPr>
  </w:style>
  <w:style w:type="character" w:customStyle="1" w:styleId="53">
    <w:name w:val="批注文字 字符"/>
    <w:basedOn w:val="36"/>
    <w:link w:val="10"/>
    <w:autoRedefine/>
    <w:qFormat/>
    <w:uiPriority w:val="99"/>
    <w:rPr>
      <w:kern w:val="2"/>
      <w:sz w:val="24"/>
      <w:szCs w:val="24"/>
    </w:rPr>
  </w:style>
  <w:style w:type="character" w:customStyle="1" w:styleId="54">
    <w:name w:val="批注框文本 字符"/>
    <w:basedOn w:val="36"/>
    <w:link w:val="22"/>
    <w:autoRedefine/>
    <w:qFormat/>
    <w:uiPriority w:val="99"/>
    <w:rPr>
      <w:kern w:val="2"/>
      <w:sz w:val="18"/>
      <w:szCs w:val="18"/>
    </w:rPr>
  </w:style>
  <w:style w:type="character" w:customStyle="1" w:styleId="55">
    <w:name w:val="页脚 字符1"/>
    <w:basedOn w:val="36"/>
    <w:link w:val="23"/>
    <w:autoRedefine/>
    <w:qFormat/>
    <w:uiPriority w:val="99"/>
    <w:rPr>
      <w:kern w:val="2"/>
      <w:sz w:val="18"/>
      <w:szCs w:val="18"/>
    </w:rPr>
  </w:style>
  <w:style w:type="character" w:customStyle="1" w:styleId="56">
    <w:name w:val="页眉 字符"/>
    <w:basedOn w:val="36"/>
    <w:link w:val="25"/>
    <w:autoRedefine/>
    <w:qFormat/>
    <w:uiPriority w:val="99"/>
    <w:rPr>
      <w:kern w:val="2"/>
      <w:sz w:val="18"/>
      <w:szCs w:val="18"/>
    </w:rPr>
  </w:style>
  <w:style w:type="character" w:customStyle="1" w:styleId="57">
    <w:name w:val="普通(网站) 字符"/>
    <w:link w:val="30"/>
    <w:autoRedefine/>
    <w:qFormat/>
    <w:locked/>
    <w:uiPriority w:val="0"/>
    <w:rPr>
      <w:rFonts w:ascii="宋体" w:hAnsi="宋体"/>
      <w:sz w:val="24"/>
    </w:rPr>
  </w:style>
  <w:style w:type="character" w:customStyle="1" w:styleId="58">
    <w:name w:val="批注主题 字符"/>
    <w:basedOn w:val="53"/>
    <w:link w:val="32"/>
    <w:autoRedefine/>
    <w:qFormat/>
    <w:uiPriority w:val="99"/>
    <w:rPr>
      <w:b/>
      <w:bCs/>
      <w:kern w:val="2"/>
      <w:sz w:val="24"/>
      <w:szCs w:val="24"/>
    </w:rPr>
  </w:style>
  <w:style w:type="paragraph" w:customStyle="1" w:styleId="59">
    <w:name w:val="表格标题"/>
    <w:basedOn w:val="33"/>
    <w:autoRedefine/>
    <w:qFormat/>
    <w:uiPriority w:val="0"/>
    <w:pPr>
      <w:widowControl/>
      <w:ind w:firstLine="0"/>
      <w:jc w:val="center"/>
    </w:pPr>
    <w:rPr>
      <w:b/>
      <w:u w:val="single" w:color="FFFFFF"/>
    </w:rPr>
  </w:style>
  <w:style w:type="paragraph" w:customStyle="1" w:styleId="60">
    <w:name w:val="正文内容"/>
    <w:basedOn w:val="61"/>
    <w:autoRedefine/>
    <w:qFormat/>
    <w:uiPriority w:val="0"/>
    <w:pPr>
      <w:ind w:firstLine="480"/>
    </w:pPr>
    <w:rPr>
      <w:color w:val="000000"/>
    </w:rPr>
  </w:style>
  <w:style w:type="paragraph" w:customStyle="1" w:styleId="61">
    <w:name w:val="1正文"/>
    <w:basedOn w:val="1"/>
    <w:autoRedefine/>
    <w:qFormat/>
    <w:uiPriority w:val="0"/>
    <w:pPr>
      <w:ind w:firstLine="200"/>
    </w:pPr>
    <w:rPr>
      <w:rFonts w:cs="宋体"/>
    </w:rPr>
  </w:style>
  <w:style w:type="paragraph" w:customStyle="1" w:styleId="62">
    <w:name w:val="表格"/>
    <w:basedOn w:val="63"/>
    <w:next w:val="1"/>
    <w:link w:val="66"/>
    <w:autoRedefine/>
    <w:qFormat/>
    <w:uiPriority w:val="0"/>
    <w:pPr>
      <w:spacing w:line="240" w:lineRule="auto"/>
    </w:pPr>
    <w:rPr>
      <w:sz w:val="21"/>
      <w:szCs w:val="20"/>
    </w:rPr>
  </w:style>
  <w:style w:type="paragraph" w:customStyle="1" w:styleId="63">
    <w:name w:val="表头"/>
    <w:basedOn w:val="64"/>
    <w:next w:val="1"/>
    <w:autoRedefine/>
    <w:qFormat/>
    <w:uiPriority w:val="0"/>
    <w:pPr>
      <w:adjustRightInd w:val="0"/>
      <w:snapToGrid w:val="0"/>
      <w:spacing w:line="400" w:lineRule="exact"/>
      <w:jc w:val="center"/>
    </w:pPr>
    <w:rPr>
      <w:b/>
      <w:kern w:val="0"/>
      <w:sz w:val="24"/>
    </w:rPr>
  </w:style>
  <w:style w:type="paragraph" w:customStyle="1" w:styleId="64">
    <w:name w:val="文本"/>
    <w:basedOn w:val="1"/>
    <w:next w:val="1"/>
    <w:autoRedefine/>
    <w:qFormat/>
    <w:uiPriority w:val="99"/>
    <w:pPr>
      <w:widowControl/>
      <w:spacing w:line="440" w:lineRule="exact"/>
      <w:ind w:firstLine="0" w:firstLineChars="0"/>
      <w:jc w:val="left"/>
    </w:pPr>
    <w:rPr>
      <w:rFonts w:ascii="Calibri" w:hAnsi="Calibri"/>
      <w:sz w:val="21"/>
    </w:rPr>
  </w:style>
  <w:style w:type="paragraph" w:customStyle="1" w:styleId="65">
    <w:name w:val="表格式"/>
    <w:basedOn w:val="29"/>
    <w:autoRedefine/>
    <w:qFormat/>
    <w:uiPriority w:val="0"/>
    <w:pPr>
      <w:spacing w:before="60" w:after="100" w:line="320" w:lineRule="exact"/>
      <w:ind w:left="0" w:firstLine="0" w:firstLineChars="0"/>
      <w:jc w:val="center"/>
    </w:pPr>
    <w:rPr>
      <w:rFonts w:ascii="宋体" w:hAnsi="Brush Script MT"/>
      <w:szCs w:val="20"/>
    </w:rPr>
  </w:style>
  <w:style w:type="character" w:customStyle="1" w:styleId="66">
    <w:name w:val="表格 Char"/>
    <w:link w:val="62"/>
    <w:autoRedefine/>
    <w:qFormat/>
    <w:locked/>
    <w:uiPriority w:val="0"/>
    <w:rPr>
      <w:rFonts w:ascii="Times New Roman" w:hAnsi="Times New Roman" w:eastAsia="宋体"/>
      <w:sz w:val="21"/>
    </w:rPr>
  </w:style>
  <w:style w:type="table" w:customStyle="1" w:styleId="67">
    <w:name w:val="Table Normal3"/>
    <w:autoRedefine/>
    <w:unhideWhenUsed/>
    <w:qFormat/>
    <w:uiPriority w:val="0"/>
    <w:pPr>
      <w:widowControl w:val="0"/>
    </w:pPr>
    <w:rPr>
      <w:sz w:val="22"/>
      <w:lang w:eastAsia="en-US"/>
    </w:rPr>
    <w:tblPr>
      <w:tblCellMar>
        <w:top w:w="0" w:type="dxa"/>
        <w:left w:w="0" w:type="dxa"/>
        <w:bottom w:w="0" w:type="dxa"/>
        <w:right w:w="0" w:type="dxa"/>
      </w:tblCellMar>
    </w:tblPr>
  </w:style>
  <w:style w:type="table" w:customStyle="1" w:styleId="68">
    <w:name w:val="Table Normal4"/>
    <w:autoRedefine/>
    <w:semiHidden/>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69">
    <w:name w:val="111正文"/>
    <w:basedOn w:val="1"/>
    <w:link w:val="70"/>
    <w:autoRedefine/>
    <w:qFormat/>
    <w:uiPriority w:val="0"/>
    <w:pPr>
      <w:tabs>
        <w:tab w:val="left" w:pos="600"/>
      </w:tabs>
      <w:ind w:firstLine="200"/>
    </w:pPr>
    <w:rPr>
      <w:kern w:val="0"/>
      <w:szCs w:val="20"/>
    </w:rPr>
  </w:style>
  <w:style w:type="character" w:customStyle="1" w:styleId="70">
    <w:name w:val="111正文 Char"/>
    <w:link w:val="69"/>
    <w:autoRedefine/>
    <w:qFormat/>
    <w:uiPriority w:val="0"/>
    <w:rPr>
      <w:sz w:val="24"/>
    </w:rPr>
  </w:style>
  <w:style w:type="paragraph" w:customStyle="1" w:styleId="71">
    <w:name w:val="正文01"/>
    <w:basedOn w:val="1"/>
    <w:link w:val="72"/>
    <w:autoRedefine/>
    <w:qFormat/>
    <w:uiPriority w:val="0"/>
    <w:pPr>
      <w:spacing w:before="60" w:line="460" w:lineRule="exact"/>
      <w:ind w:firstLine="200"/>
    </w:pPr>
    <w:rPr>
      <w:rFonts w:ascii="Arial" w:hAnsi="Arial"/>
    </w:rPr>
  </w:style>
  <w:style w:type="character" w:customStyle="1" w:styleId="72">
    <w:name w:val="正文01 Char"/>
    <w:link w:val="71"/>
    <w:autoRedefine/>
    <w:qFormat/>
    <w:uiPriority w:val="0"/>
    <w:rPr>
      <w:rFonts w:ascii="Arial" w:hAnsi="Arial"/>
      <w:kern w:val="2"/>
      <w:sz w:val="24"/>
      <w:szCs w:val="24"/>
    </w:rPr>
  </w:style>
  <w:style w:type="paragraph" w:customStyle="1" w:styleId="73">
    <w:name w:val="表格内容--中祥"/>
    <w:basedOn w:val="1"/>
    <w:autoRedefine/>
    <w:qFormat/>
    <w:uiPriority w:val="0"/>
    <w:pPr>
      <w:spacing w:line="240" w:lineRule="auto"/>
      <w:ind w:firstLine="0" w:firstLineChars="0"/>
      <w:jc w:val="center"/>
    </w:pPr>
    <w:rPr>
      <w:kern w:val="0"/>
      <w:sz w:val="21"/>
      <w:szCs w:val="21"/>
    </w:rPr>
  </w:style>
  <w:style w:type="character" w:customStyle="1" w:styleId="74">
    <w:name w:val="日期 字符1"/>
    <w:link w:val="19"/>
    <w:autoRedefine/>
    <w:qFormat/>
    <w:locked/>
    <w:uiPriority w:val="99"/>
    <w:rPr>
      <w:sz w:val="24"/>
    </w:rPr>
  </w:style>
  <w:style w:type="character" w:customStyle="1" w:styleId="75">
    <w:name w:val="正文文本 字符1"/>
    <w:autoRedefine/>
    <w:semiHidden/>
    <w:qFormat/>
    <w:uiPriority w:val="0"/>
    <w:rPr>
      <w:rFonts w:ascii="Times New Roman" w:hAnsi="Times New Roman" w:eastAsia="宋体"/>
      <w:sz w:val="24"/>
    </w:rPr>
  </w:style>
  <w:style w:type="character" w:customStyle="1" w:styleId="76">
    <w:name w:val="批注文字 字符1"/>
    <w:autoRedefine/>
    <w:semiHidden/>
    <w:qFormat/>
    <w:uiPriority w:val="0"/>
    <w:rPr>
      <w:rFonts w:ascii="Times New Roman" w:hAnsi="Times New Roman" w:eastAsia="宋体"/>
      <w:sz w:val="24"/>
    </w:rPr>
  </w:style>
  <w:style w:type="character" w:customStyle="1" w:styleId="77">
    <w:name w:val="正文文本 字符"/>
    <w:link w:val="12"/>
    <w:autoRedefine/>
    <w:qFormat/>
    <w:locked/>
    <w:uiPriority w:val="99"/>
    <w:rPr>
      <w:sz w:val="18"/>
    </w:rPr>
  </w:style>
  <w:style w:type="character" w:customStyle="1" w:styleId="78">
    <w:name w:val="fontstyle31"/>
    <w:autoRedefine/>
    <w:qFormat/>
    <w:uiPriority w:val="0"/>
    <w:rPr>
      <w:rFonts w:ascii="TimesNewRomanPSMT" w:hAnsi="TimesNewRomanPSMT" w:eastAsia="TimesNewRomanPSMT" w:cs="TimesNewRomanPSMT"/>
      <w:color w:val="000000"/>
      <w:sz w:val="24"/>
      <w:szCs w:val="24"/>
    </w:rPr>
  </w:style>
  <w:style w:type="character" w:customStyle="1" w:styleId="79">
    <w:name w:val="fontstyle01"/>
    <w:autoRedefine/>
    <w:qFormat/>
    <w:uiPriority w:val="0"/>
    <w:rPr>
      <w:rFonts w:ascii="宋体" w:hAnsi="宋体" w:eastAsia="宋体" w:cs="宋体"/>
      <w:color w:val="000000"/>
      <w:sz w:val="24"/>
      <w:szCs w:val="24"/>
    </w:rPr>
  </w:style>
  <w:style w:type="character" w:customStyle="1" w:styleId="80">
    <w:name w:val="页脚 字符"/>
    <w:basedOn w:val="36"/>
    <w:autoRedefine/>
    <w:qFormat/>
    <w:uiPriority w:val="99"/>
  </w:style>
  <w:style w:type="character" w:customStyle="1" w:styleId="81">
    <w:name w:val="日期 字符"/>
    <w:autoRedefine/>
    <w:semiHidden/>
    <w:qFormat/>
    <w:uiPriority w:val="0"/>
    <w:rPr>
      <w:rFonts w:ascii="Times New Roman" w:hAnsi="Times New Roman" w:eastAsia="宋体"/>
      <w:sz w:val="24"/>
    </w:rPr>
  </w:style>
  <w:style w:type="character" w:customStyle="1" w:styleId="82">
    <w:name w:val="正文文本缩进 字符"/>
    <w:link w:val="13"/>
    <w:autoRedefine/>
    <w:qFormat/>
    <w:locked/>
    <w:uiPriority w:val="99"/>
    <w:rPr>
      <w:sz w:val="24"/>
    </w:rPr>
  </w:style>
  <w:style w:type="character" w:customStyle="1" w:styleId="83">
    <w:name w:val="正文文本首行缩进 2 字符"/>
    <w:basedOn w:val="84"/>
    <w:link w:val="21"/>
    <w:autoRedefine/>
    <w:qFormat/>
    <w:uiPriority w:val="99"/>
    <w:rPr>
      <w:kern w:val="2"/>
      <w:sz w:val="30"/>
      <w:szCs w:val="24"/>
    </w:rPr>
  </w:style>
  <w:style w:type="character" w:customStyle="1" w:styleId="84">
    <w:name w:val="正文文本缩进 Char1"/>
    <w:basedOn w:val="36"/>
    <w:autoRedefine/>
    <w:qFormat/>
    <w:uiPriority w:val="0"/>
    <w:rPr>
      <w:kern w:val="2"/>
      <w:sz w:val="24"/>
      <w:szCs w:val="24"/>
    </w:rPr>
  </w:style>
  <w:style w:type="character" w:customStyle="1" w:styleId="85">
    <w:name w:val="正文文本缩进 2 字符"/>
    <w:basedOn w:val="36"/>
    <w:link w:val="20"/>
    <w:autoRedefine/>
    <w:qFormat/>
    <w:uiPriority w:val="99"/>
    <w:rPr>
      <w:rFonts w:ascii="Calibri" w:hAnsi="Calibri" w:eastAsia="楷体_GB2312"/>
      <w:kern w:val="2"/>
      <w:sz w:val="26"/>
    </w:rPr>
  </w:style>
  <w:style w:type="character" w:customStyle="1" w:styleId="86">
    <w:name w:val="正文文本 Char1"/>
    <w:basedOn w:val="36"/>
    <w:autoRedefine/>
    <w:qFormat/>
    <w:uiPriority w:val="0"/>
    <w:rPr>
      <w:kern w:val="2"/>
      <w:sz w:val="24"/>
      <w:szCs w:val="24"/>
    </w:rPr>
  </w:style>
  <w:style w:type="paragraph" w:customStyle="1" w:styleId="87">
    <w:name w:val="报告书表格"/>
    <w:basedOn w:val="1"/>
    <w:autoRedefine/>
    <w:qFormat/>
    <w:uiPriority w:val="0"/>
    <w:pPr>
      <w:adjustRightInd w:val="0"/>
      <w:spacing w:before="60" w:after="60" w:line="240" w:lineRule="atLeast"/>
      <w:ind w:firstLine="0" w:firstLineChars="0"/>
      <w:jc w:val="center"/>
      <w:textAlignment w:val="baseline"/>
    </w:pPr>
    <w:rPr>
      <w:rFonts w:ascii="Calibri" w:hAnsi="Calibri"/>
      <w:kern w:val="0"/>
      <w:sz w:val="21"/>
      <w:szCs w:val="20"/>
    </w:rPr>
  </w:style>
  <w:style w:type="paragraph" w:customStyle="1" w:styleId="88">
    <w:name w:val="报告正文"/>
    <w:basedOn w:val="1"/>
    <w:autoRedefine/>
    <w:qFormat/>
    <w:uiPriority w:val="0"/>
    <w:pPr>
      <w:spacing w:line="500" w:lineRule="exact"/>
      <w:ind w:firstLine="480"/>
    </w:pPr>
    <w:rPr>
      <w:rFonts w:ascii="Calibri" w:hAnsi="Calibri" w:cs="宋体"/>
      <w:szCs w:val="20"/>
    </w:rPr>
  </w:style>
  <w:style w:type="character" w:customStyle="1" w:styleId="89">
    <w:name w:val="日期 Char1"/>
    <w:basedOn w:val="36"/>
    <w:autoRedefine/>
    <w:qFormat/>
    <w:uiPriority w:val="0"/>
    <w:rPr>
      <w:kern w:val="2"/>
      <w:sz w:val="24"/>
      <w:szCs w:val="24"/>
    </w:rPr>
  </w:style>
  <w:style w:type="character" w:customStyle="1" w:styleId="90">
    <w:name w:val="正文文本首行缩进 字符"/>
    <w:basedOn w:val="86"/>
    <w:link w:val="33"/>
    <w:autoRedefine/>
    <w:qFormat/>
    <w:uiPriority w:val="0"/>
    <w:rPr>
      <w:kern w:val="2"/>
      <w:sz w:val="18"/>
      <w:szCs w:val="24"/>
    </w:rPr>
  </w:style>
  <w:style w:type="paragraph" w:customStyle="1" w:styleId="91">
    <w:name w:val="表标题"/>
    <w:basedOn w:val="12"/>
    <w:next w:val="12"/>
    <w:autoRedefine/>
    <w:qFormat/>
    <w:uiPriority w:val="0"/>
    <w:pPr>
      <w:tabs>
        <w:tab w:val="left" w:pos="360"/>
      </w:tabs>
      <w:jc w:val="center"/>
    </w:pPr>
  </w:style>
  <w:style w:type="paragraph" w:customStyle="1" w:styleId="92">
    <w:name w:val="列出段落1"/>
    <w:basedOn w:val="1"/>
    <w:autoRedefine/>
    <w:qFormat/>
    <w:uiPriority w:val="34"/>
    <w:pPr>
      <w:spacing w:line="240" w:lineRule="auto"/>
      <w:ind w:firstLine="420"/>
    </w:pPr>
    <w:rPr>
      <w:rFonts w:ascii="Calibri" w:hAnsi="Calibri"/>
      <w:sz w:val="21"/>
    </w:rPr>
  </w:style>
  <w:style w:type="paragraph" w:customStyle="1" w:styleId="93">
    <w:name w:val="样式 报告书正文 + 首行缩进:  2 字符"/>
    <w:basedOn w:val="1"/>
    <w:autoRedefine/>
    <w:qFormat/>
    <w:uiPriority w:val="0"/>
    <w:pPr>
      <w:tabs>
        <w:tab w:val="left" w:pos="6300"/>
      </w:tabs>
      <w:ind w:firstLine="480"/>
      <w:jc w:val="left"/>
    </w:pPr>
    <w:rPr>
      <w:rFonts w:ascii="宋体" w:hAnsi="宋体"/>
    </w:rPr>
  </w:style>
  <w:style w:type="paragraph" w:customStyle="1" w:styleId="94">
    <w:name w:val="表格文字"/>
    <w:basedOn w:val="18"/>
    <w:autoRedefine/>
    <w:qFormat/>
    <w:uiPriority w:val="0"/>
    <w:pPr>
      <w:spacing w:line="360" w:lineRule="atLeast"/>
      <w:ind w:firstLine="0" w:firstLineChars="0"/>
      <w:jc w:val="center"/>
    </w:pPr>
    <w:rPr>
      <w:rFonts w:ascii="Calibri" w:hAnsi="Calibri"/>
      <w:sz w:val="21"/>
    </w:rPr>
  </w:style>
  <w:style w:type="paragraph" w:customStyle="1" w:styleId="95">
    <w:name w:val="正文1"/>
    <w:basedOn w:val="1"/>
    <w:autoRedefine/>
    <w:qFormat/>
    <w:uiPriority w:val="0"/>
    <w:pPr>
      <w:adjustRightInd w:val="0"/>
      <w:snapToGrid w:val="0"/>
      <w:ind w:firstLine="1440"/>
    </w:pPr>
    <w:rPr>
      <w:rFonts w:ascii="Calibri" w:hAnsi="Calibri"/>
      <w:sz w:val="21"/>
    </w:rPr>
  </w:style>
  <w:style w:type="paragraph" w:customStyle="1" w:styleId="96">
    <w:name w:val="A标准格式"/>
    <w:basedOn w:val="1"/>
    <w:link w:val="97"/>
    <w:autoRedefine/>
    <w:qFormat/>
    <w:uiPriority w:val="0"/>
    <w:pPr>
      <w:spacing w:line="240" w:lineRule="auto"/>
      <w:ind w:firstLine="480"/>
    </w:pPr>
    <w:rPr>
      <w:rFonts w:ascii="Calibri" w:hAnsi="Calibri"/>
      <w:kern w:val="0"/>
      <w:sz w:val="21"/>
    </w:rPr>
  </w:style>
  <w:style w:type="character" w:customStyle="1" w:styleId="97">
    <w:name w:val="A标准格式 Char Char"/>
    <w:link w:val="96"/>
    <w:autoRedefine/>
    <w:qFormat/>
    <w:uiPriority w:val="0"/>
    <w:rPr>
      <w:rFonts w:ascii="Calibri" w:hAnsi="Calibri"/>
      <w:sz w:val="21"/>
      <w:szCs w:val="24"/>
    </w:rPr>
  </w:style>
  <w:style w:type="paragraph" w:customStyle="1" w:styleId="98">
    <w:name w:val="表格正文"/>
    <w:basedOn w:val="1"/>
    <w:link w:val="99"/>
    <w:autoRedefine/>
    <w:qFormat/>
    <w:uiPriority w:val="0"/>
    <w:pPr>
      <w:spacing w:line="360" w:lineRule="exact"/>
      <w:ind w:firstLine="0" w:firstLineChars="0"/>
      <w:jc w:val="center"/>
    </w:pPr>
    <w:rPr>
      <w:rFonts w:ascii="Arial" w:hAnsi="Arial"/>
      <w:color w:val="000000"/>
      <w:sz w:val="21"/>
    </w:rPr>
  </w:style>
  <w:style w:type="character" w:customStyle="1" w:styleId="99">
    <w:name w:val="表格正文 Char"/>
    <w:link w:val="98"/>
    <w:autoRedefine/>
    <w:qFormat/>
    <w:uiPriority w:val="0"/>
    <w:rPr>
      <w:rFonts w:ascii="Arial" w:hAnsi="Arial"/>
      <w:color w:val="000000"/>
      <w:kern w:val="2"/>
      <w:sz w:val="21"/>
      <w:szCs w:val="24"/>
    </w:rPr>
  </w:style>
  <w:style w:type="paragraph" w:customStyle="1" w:styleId="100">
    <w:name w:val="居中正文"/>
    <w:basedOn w:val="33"/>
    <w:autoRedefine/>
    <w:qFormat/>
    <w:uiPriority w:val="0"/>
    <w:pPr>
      <w:adjustRightInd w:val="0"/>
      <w:spacing w:before="120" w:after="0" w:line="360" w:lineRule="auto"/>
      <w:ind w:firstLine="0" w:firstLineChars="0"/>
      <w:jc w:val="center"/>
      <w:textAlignment w:val="baseline"/>
    </w:pPr>
    <w:rPr>
      <w:rFonts w:ascii="宋体"/>
      <w:kern w:val="28"/>
      <w:sz w:val="24"/>
    </w:rPr>
  </w:style>
  <w:style w:type="paragraph" w:styleId="101">
    <w:name w:val="No Spacing"/>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102">
    <w:name w:val="正文_1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Default"/>
    <w:basedOn w:val="64"/>
    <w:next w:val="104"/>
    <w:autoRedefine/>
    <w:qFormat/>
    <w:uiPriority w:val="0"/>
    <w:pPr>
      <w:autoSpaceDE w:val="0"/>
      <w:autoSpaceDN w:val="0"/>
    </w:pPr>
    <w:rPr>
      <w:rFonts w:ascii="宋体" w:hAnsi="Calibri" w:eastAsia="Calibri" w:cs="宋体"/>
      <w:color w:val="000000"/>
    </w:rPr>
  </w:style>
  <w:style w:type="paragraph" w:customStyle="1" w:styleId="104">
    <w:name w:val="xl23"/>
    <w:basedOn w:val="1"/>
    <w:next w:val="1"/>
    <w:qFormat/>
    <w:uiPriority w:val="0"/>
    <w:pPr>
      <w:widowControl/>
      <w:autoSpaceDE/>
      <w:autoSpaceDN/>
      <w:spacing w:before="100" w:after="100" w:line="240" w:lineRule="auto"/>
      <w:ind w:left="0" w:firstLine="0"/>
      <w:jc w:val="center"/>
    </w:pPr>
    <w:rPr>
      <w:rFonts w:ascii="Arial Unicode MS" w:eastAsia="宋体"/>
      <w:sz w:val="24"/>
    </w:rPr>
  </w:style>
  <w:style w:type="paragraph" w:customStyle="1" w:styleId="105">
    <w:name w:val="样式1"/>
    <w:basedOn w:val="27"/>
    <w:next w:val="16"/>
    <w:qFormat/>
    <w:uiPriority w:val="0"/>
    <w:pPr>
      <w:numPr>
        <w:ilvl w:val="0"/>
        <w:numId w:val="1"/>
      </w:numPr>
    </w:pPr>
  </w:style>
  <w:style w:type="paragraph" w:customStyle="1" w:styleId="106">
    <w:name w:val="纯文本1"/>
    <w:basedOn w:val="1"/>
    <w:autoRedefine/>
    <w:qFormat/>
    <w:uiPriority w:val="99"/>
    <w:pPr>
      <w:adjustRightInd w:val="0"/>
    </w:pPr>
    <w:rPr>
      <w:rFonts w:hAnsi="Courier New"/>
    </w:rPr>
  </w:style>
  <w:style w:type="paragraph" w:customStyle="1" w:styleId="107">
    <w:name w:val="样式3"/>
    <w:basedOn w:val="26"/>
    <w:next w:val="108"/>
    <w:autoRedefine/>
    <w:qFormat/>
    <w:uiPriority w:val="99"/>
    <w:pPr>
      <w:ind w:firstLine="200"/>
    </w:pPr>
    <w:rPr>
      <w:color w:val="000000"/>
      <w:sz w:val="28"/>
    </w:rPr>
  </w:style>
  <w:style w:type="paragraph" w:customStyle="1" w:styleId="108">
    <w:name w:val="目录 53"/>
    <w:basedOn w:val="1"/>
    <w:next w:val="1"/>
    <w:autoRedefine/>
    <w:qFormat/>
    <w:uiPriority w:val="99"/>
    <w:pPr>
      <w:ind w:left="840"/>
    </w:pPr>
    <w:rPr>
      <w:color w:val="000000"/>
    </w:rPr>
  </w:style>
  <w:style w:type="paragraph" w:customStyle="1" w:styleId="109">
    <w:name w:val="普通(网站)2"/>
    <w:basedOn w:val="1"/>
    <w:autoRedefine/>
    <w:qFormat/>
    <w:uiPriority w:val="0"/>
    <w:pPr>
      <w:widowControl/>
      <w:spacing w:before="100" w:beforeAutospacing="1" w:after="100" w:afterAutospacing="1" w:line="240" w:lineRule="auto"/>
      <w:ind w:firstLine="0" w:firstLineChars="0"/>
      <w:jc w:val="left"/>
    </w:pPr>
    <w:rPr>
      <w:rFonts w:ascii="宋体" w:hAnsi="宋体"/>
      <w:szCs w:val="20"/>
    </w:rPr>
  </w:style>
  <w:style w:type="paragraph" w:customStyle="1" w:styleId="110">
    <w:name w:val="表格内容"/>
    <w:next w:val="1"/>
    <w:link w:val="111"/>
    <w:autoRedefine/>
    <w:qFormat/>
    <w:uiPriority w:val="0"/>
    <w:pPr>
      <w:keepNext/>
      <w:overflowPunct w:val="0"/>
      <w:adjustRightInd w:val="0"/>
      <w:jc w:val="center"/>
      <w:textAlignment w:val="baseline"/>
    </w:pPr>
    <w:rPr>
      <w:rFonts w:ascii="宋体" w:hAnsi="Arial" w:eastAsia="宋体" w:cs="Times New Roman"/>
      <w:sz w:val="24"/>
      <w:lang w:val="en-US" w:eastAsia="zh-CN" w:bidi="ar-SA"/>
    </w:rPr>
  </w:style>
  <w:style w:type="character" w:customStyle="1" w:styleId="111">
    <w:name w:val="表格内容 Char"/>
    <w:link w:val="110"/>
    <w:autoRedefine/>
    <w:qFormat/>
    <w:uiPriority w:val="0"/>
    <w:rPr>
      <w:rFonts w:ascii="宋体" w:hAnsi="Arial"/>
      <w:sz w:val="24"/>
    </w:rPr>
  </w:style>
  <w:style w:type="paragraph" w:styleId="112">
    <w:name w:val="List Paragraph"/>
    <w:basedOn w:val="1"/>
    <w:autoRedefine/>
    <w:qFormat/>
    <w:uiPriority w:val="1"/>
    <w:pPr>
      <w:spacing w:line="440" w:lineRule="exact"/>
      <w:ind w:firstLine="420"/>
    </w:pPr>
  </w:style>
  <w:style w:type="table" w:customStyle="1" w:styleId="113">
    <w:name w:val="Table Normal"/>
    <w:autoRedefine/>
    <w:unhideWhenUsed/>
    <w:qFormat/>
    <w:uiPriority w:val="0"/>
    <w:pPr>
      <w:widowControl w:val="0"/>
    </w:pPr>
    <w:rPr>
      <w:rFonts w:ascii="Calibri" w:hAnsi="Calibri"/>
      <w:sz w:val="22"/>
      <w:lang w:eastAsia="en-US"/>
    </w:rPr>
    <w:tblPr>
      <w:tblCellMar>
        <w:top w:w="0" w:type="dxa"/>
        <w:left w:w="0" w:type="dxa"/>
        <w:bottom w:w="0" w:type="dxa"/>
        <w:right w:w="0" w:type="dxa"/>
      </w:tblCellMar>
    </w:tblPr>
  </w:style>
  <w:style w:type="paragraph" w:customStyle="1" w:styleId="114">
    <w:name w:val="+正文"/>
    <w:basedOn w:val="1"/>
    <w:autoRedefine/>
    <w:qFormat/>
    <w:uiPriority w:val="0"/>
    <w:pPr>
      <w:ind w:firstLine="200"/>
    </w:pPr>
  </w:style>
  <w:style w:type="paragraph" w:customStyle="1" w:styleId="115">
    <w:name w:val="表内文字"/>
    <w:basedOn w:val="1"/>
    <w:autoRedefine/>
    <w:qFormat/>
    <w:uiPriority w:val="0"/>
    <w:pPr>
      <w:spacing w:line="520" w:lineRule="exact"/>
      <w:ind w:firstLine="624" w:firstLineChars="0"/>
    </w:pPr>
    <w:rPr>
      <w:spacing w:val="20"/>
      <w:kern w:val="0"/>
      <w:szCs w:val="20"/>
    </w:rPr>
  </w:style>
  <w:style w:type="paragraph" w:customStyle="1" w:styleId="116">
    <w:name w:val="二级标题"/>
    <w:basedOn w:val="1"/>
    <w:link w:val="117"/>
    <w:autoRedefine/>
    <w:qFormat/>
    <w:uiPriority w:val="0"/>
    <w:pPr>
      <w:ind w:firstLine="200"/>
      <w:jc w:val="left"/>
    </w:pPr>
    <w:rPr>
      <w:rFonts w:ascii="宋体" w:hAnsi="宋体" w:cs="宋体"/>
      <w:b/>
      <w:bCs/>
      <w:sz w:val="28"/>
      <w:szCs w:val="21"/>
    </w:rPr>
  </w:style>
  <w:style w:type="character" w:customStyle="1" w:styleId="117">
    <w:name w:val="二级标题 Char"/>
    <w:link w:val="116"/>
    <w:autoRedefine/>
    <w:qFormat/>
    <w:uiPriority w:val="0"/>
    <w:rPr>
      <w:rFonts w:ascii="宋体" w:hAnsi="宋体" w:cs="宋体"/>
      <w:b/>
      <w:bCs/>
      <w:kern w:val="2"/>
      <w:sz w:val="28"/>
      <w:szCs w:val="21"/>
    </w:rPr>
  </w:style>
  <w:style w:type="character" w:customStyle="1" w:styleId="118">
    <w:name w:val="正文缩进 字符"/>
    <w:link w:val="7"/>
    <w:autoRedefine/>
    <w:qFormat/>
    <w:uiPriority w:val="0"/>
    <w:rPr>
      <w:rFonts w:ascii="宋体" w:hAnsi="宋体"/>
      <w:sz w:val="24"/>
      <w:szCs w:val="24"/>
    </w:rPr>
  </w:style>
  <w:style w:type="paragraph" w:customStyle="1" w:styleId="119">
    <w:name w:val="标题2"/>
    <w:basedOn w:val="116"/>
    <w:link w:val="120"/>
    <w:autoRedefine/>
    <w:qFormat/>
    <w:uiPriority w:val="0"/>
    <w:pPr>
      <w:ind w:firstLine="0" w:firstLineChars="0"/>
    </w:pPr>
    <w:rPr>
      <w:rFonts w:ascii="Times New Roman" w:hAnsi="Times New Roman" w:cs="Times New Roman"/>
    </w:rPr>
  </w:style>
  <w:style w:type="character" w:customStyle="1" w:styleId="120">
    <w:name w:val="标题2 Char"/>
    <w:link w:val="119"/>
    <w:autoRedefine/>
    <w:qFormat/>
    <w:uiPriority w:val="0"/>
    <w:rPr>
      <w:b/>
      <w:bCs/>
      <w:kern w:val="2"/>
      <w:sz w:val="28"/>
      <w:szCs w:val="21"/>
    </w:rPr>
  </w:style>
  <w:style w:type="paragraph" w:customStyle="1" w:styleId="121">
    <w:name w:val="xl26"/>
    <w:basedOn w:val="1"/>
    <w:autoRedefine/>
    <w:qFormat/>
    <w:uiPriority w:val="0"/>
    <w:pPr>
      <w:widowControl/>
      <w:spacing w:before="100" w:beforeAutospacing="1" w:after="100" w:afterAutospacing="1" w:line="240" w:lineRule="auto"/>
      <w:ind w:firstLine="0" w:firstLineChars="0"/>
      <w:jc w:val="left"/>
    </w:pPr>
    <w:rPr>
      <w:rFonts w:ascii="宋体" w:hAnsi="宋体"/>
      <w:color w:val="000000"/>
      <w:kern w:val="0"/>
      <w:szCs w:val="20"/>
    </w:rPr>
  </w:style>
  <w:style w:type="paragraph" w:customStyle="1" w:styleId="122">
    <w:name w:val="三级标题"/>
    <w:basedOn w:val="116"/>
    <w:link w:val="123"/>
    <w:autoRedefine/>
    <w:qFormat/>
    <w:uiPriority w:val="0"/>
  </w:style>
  <w:style w:type="character" w:customStyle="1" w:styleId="123">
    <w:name w:val="三级标题 Char"/>
    <w:link w:val="122"/>
    <w:autoRedefine/>
    <w:qFormat/>
    <w:uiPriority w:val="0"/>
    <w:rPr>
      <w:rFonts w:ascii="宋体" w:hAnsi="宋体" w:cs="宋体"/>
      <w:b/>
      <w:bCs/>
      <w:kern w:val="2"/>
      <w:sz w:val="28"/>
      <w:szCs w:val="21"/>
    </w:rPr>
  </w:style>
  <w:style w:type="character" w:customStyle="1" w:styleId="124">
    <w:name w:val="纯文本 Char1"/>
    <w:autoRedefine/>
    <w:qFormat/>
    <w:uiPriority w:val="99"/>
    <w:rPr>
      <w:rFonts w:ascii="宋体" w:hAnsi="Courier New" w:cs="Courier New"/>
      <w:kern w:val="2"/>
      <w:sz w:val="21"/>
      <w:szCs w:val="21"/>
    </w:rPr>
  </w:style>
  <w:style w:type="paragraph" w:customStyle="1" w:styleId="125">
    <w:name w:val="TOC 标题1"/>
    <w:basedOn w:val="2"/>
    <w:next w:val="1"/>
    <w:autoRedefine/>
    <w:unhideWhenUsed/>
    <w:qFormat/>
    <w:uiPriority w:val="39"/>
    <w:pPr>
      <w:keepLines/>
      <w:widowControl/>
      <w:overflowPunct/>
      <w:snapToGrid/>
      <w:spacing w:before="240" w:after="0" w:line="259" w:lineRule="auto"/>
      <w:jc w:val="left"/>
      <w:outlineLvl w:val="9"/>
    </w:pPr>
    <w:rPr>
      <w:rFonts w:ascii="Calibri Light" w:hAnsi="Calibri Light" w:eastAsia="宋体"/>
      <w:bCs w:val="0"/>
      <w:color w:val="2E74B5"/>
      <w:kern w:val="0"/>
      <w:sz w:val="32"/>
      <w:szCs w:val="32"/>
    </w:rPr>
  </w:style>
  <w:style w:type="paragraph" w:customStyle="1" w:styleId="126">
    <w:name w:val="xl22"/>
    <w:basedOn w:val="1"/>
    <w:autoRedefine/>
    <w:qFormat/>
    <w:uiPriority w:val="0"/>
    <w:pPr>
      <w:widowControl/>
      <w:spacing w:before="100" w:beforeAutospacing="1" w:after="100" w:afterAutospacing="1" w:line="440" w:lineRule="exact"/>
      <w:ind w:firstLine="0" w:firstLineChars="0"/>
      <w:jc w:val="center"/>
      <w:textAlignment w:val="center"/>
    </w:pPr>
    <w:rPr>
      <w:rFonts w:ascii="Arial Unicode MS" w:hAnsi="Arial Unicode MS" w:eastAsia="Arial Unicode MS"/>
      <w:kern w:val="0"/>
      <w:szCs w:val="21"/>
    </w:rPr>
  </w:style>
  <w:style w:type="character" w:styleId="127">
    <w:name w:val="Placeholder Text"/>
    <w:basedOn w:val="36"/>
    <w:autoRedefine/>
    <w:unhideWhenUsed/>
    <w:qFormat/>
    <w:uiPriority w:val="99"/>
    <w:rPr>
      <w:color w:val="808080"/>
    </w:rPr>
  </w:style>
  <w:style w:type="paragraph" w:customStyle="1" w:styleId="128">
    <w:name w:val="环评正文"/>
    <w:basedOn w:val="19"/>
    <w:autoRedefine/>
    <w:qFormat/>
    <w:uiPriority w:val="0"/>
    <w:pPr>
      <w:spacing w:line="500" w:lineRule="exact"/>
      <w:ind w:left="0" w:leftChars="0" w:firstLine="560" w:firstLineChars="200"/>
    </w:pPr>
    <w:rPr>
      <w:rFonts w:ascii="仿宋_GB2312" w:eastAsia="仿宋_GB2312"/>
      <w:kern w:val="2"/>
      <w:sz w:val="28"/>
      <w:szCs w:val="24"/>
    </w:rPr>
  </w:style>
  <w:style w:type="paragraph" w:customStyle="1" w:styleId="129">
    <w:name w:val="新格式表"/>
    <w:basedOn w:val="1"/>
    <w:autoRedefine/>
    <w:qFormat/>
    <w:uiPriority w:val="0"/>
    <w:pPr>
      <w:spacing w:line="440" w:lineRule="exact"/>
      <w:ind w:firstLine="0" w:firstLineChars="0"/>
      <w:jc w:val="center"/>
    </w:pPr>
    <w:rPr>
      <w:snapToGrid w:val="0"/>
      <w:color w:val="FF0000"/>
      <w:sz w:val="21"/>
      <w:szCs w:val="21"/>
    </w:rPr>
  </w:style>
  <w:style w:type="paragraph" w:customStyle="1" w:styleId="130">
    <w:name w:val="标题3"/>
    <w:basedOn w:val="1"/>
    <w:link w:val="131"/>
    <w:autoRedefine/>
    <w:qFormat/>
    <w:uiPriority w:val="0"/>
    <w:pPr>
      <w:adjustRightInd w:val="0"/>
      <w:snapToGrid w:val="0"/>
      <w:ind w:firstLine="0" w:firstLineChars="0"/>
    </w:pPr>
    <w:rPr>
      <w:b/>
      <w:snapToGrid w:val="0"/>
      <w:kern w:val="0"/>
    </w:rPr>
  </w:style>
  <w:style w:type="character" w:customStyle="1" w:styleId="131">
    <w:name w:val="标题3 Char"/>
    <w:basedOn w:val="36"/>
    <w:link w:val="130"/>
    <w:autoRedefine/>
    <w:qFormat/>
    <w:uiPriority w:val="0"/>
    <w:rPr>
      <w:b/>
      <w:snapToGrid w:val="0"/>
      <w:sz w:val="24"/>
      <w:szCs w:val="24"/>
    </w:rPr>
  </w:style>
  <w:style w:type="paragraph" w:customStyle="1" w:styleId="132">
    <w:name w:val="表格内文字"/>
    <w:basedOn w:val="1"/>
    <w:autoRedefine/>
    <w:qFormat/>
    <w:uiPriority w:val="0"/>
    <w:pPr>
      <w:tabs>
        <w:tab w:val="left" w:pos="0"/>
      </w:tabs>
      <w:autoSpaceDE w:val="0"/>
      <w:autoSpaceDN w:val="0"/>
      <w:adjustRightInd w:val="0"/>
      <w:snapToGrid w:val="0"/>
      <w:spacing w:line="240" w:lineRule="auto"/>
      <w:ind w:firstLine="0" w:firstLineChars="0"/>
      <w:jc w:val="center"/>
    </w:pPr>
    <w:rPr>
      <w:rFonts w:eastAsia="仿宋_GB2312"/>
      <w:kern w:val="0"/>
      <w:sz w:val="21"/>
      <w:szCs w:val="20"/>
    </w:rPr>
  </w:style>
  <w:style w:type="paragraph" w:customStyle="1" w:styleId="133">
    <w:name w:val="表内文子"/>
    <w:basedOn w:val="1"/>
    <w:autoRedefine/>
    <w:qFormat/>
    <w:uiPriority w:val="0"/>
    <w:pPr>
      <w:spacing w:line="360" w:lineRule="exact"/>
      <w:ind w:firstLine="0" w:firstLineChars="0"/>
    </w:pPr>
    <w:rPr>
      <w:szCs w:val="20"/>
    </w:rPr>
  </w:style>
  <w:style w:type="paragraph" w:customStyle="1" w:styleId="134">
    <w:name w:val="3"/>
    <w:basedOn w:val="20"/>
    <w:next w:val="1"/>
    <w:autoRedefine/>
    <w:qFormat/>
    <w:uiPriority w:val="0"/>
    <w:pPr>
      <w:autoSpaceDE/>
      <w:autoSpaceDN/>
      <w:snapToGrid/>
      <w:spacing w:before="60" w:line="460" w:lineRule="exact"/>
      <w:ind w:firstLine="480" w:firstLineChars="200"/>
      <w:jc w:val="both"/>
      <w:outlineLvl w:val="9"/>
    </w:pPr>
    <w:rPr>
      <w:rFonts w:ascii="Times New Roman" w:hAnsi="Times New Roman" w:eastAsia="宋体"/>
      <w:color w:val="000000"/>
      <w:sz w:val="24"/>
      <w:szCs w:val="28"/>
    </w:rPr>
  </w:style>
  <w:style w:type="paragraph" w:customStyle="1" w:styleId="135">
    <w:name w:val="1"/>
    <w:basedOn w:val="12"/>
    <w:next w:val="33"/>
    <w:autoRedefine/>
    <w:qFormat/>
    <w:uiPriority w:val="0"/>
    <w:pPr>
      <w:spacing w:line="240" w:lineRule="auto"/>
      <w:ind w:firstLine="420"/>
    </w:pPr>
    <w:rPr>
      <w:rFonts w:ascii="宋体"/>
      <w:sz w:val="26"/>
    </w:rPr>
  </w:style>
  <w:style w:type="paragraph" w:customStyle="1" w:styleId="136">
    <w:name w:val="中文报告书样式"/>
    <w:basedOn w:val="1"/>
    <w:autoRedefine/>
    <w:qFormat/>
    <w:uiPriority w:val="0"/>
    <w:pPr>
      <w:adjustRightInd w:val="0"/>
      <w:spacing w:line="480" w:lineRule="atLeast"/>
      <w:ind w:firstLine="482" w:firstLineChars="0"/>
    </w:pPr>
    <w:rPr>
      <w:rFonts w:asciiTheme="minorHAnsi" w:hAnsiTheme="minorHAnsi" w:eastAsiaTheme="minorEastAsia" w:cstheme="minorBidi"/>
      <w:kern w:val="24"/>
      <w:sz w:val="21"/>
      <w:szCs w:val="22"/>
    </w:rPr>
  </w:style>
  <w:style w:type="paragraph" w:customStyle="1" w:styleId="137">
    <w:name w:val="wg"/>
    <w:basedOn w:val="1"/>
    <w:autoRedefine/>
    <w:qFormat/>
    <w:uiPriority w:val="0"/>
    <w:pPr>
      <w:spacing w:line="240" w:lineRule="auto"/>
      <w:ind w:firstLine="0" w:firstLineChars="0"/>
    </w:pPr>
    <w:rPr>
      <w:rFonts w:asciiTheme="minorHAnsi" w:hAnsiTheme="minorHAnsi" w:eastAsiaTheme="minorEastAsia" w:cstheme="minorBidi"/>
      <w:sz w:val="28"/>
      <w:szCs w:val="22"/>
    </w:rPr>
  </w:style>
  <w:style w:type="paragraph" w:customStyle="1" w:styleId="138">
    <w:name w:val="正文11"/>
    <w:basedOn w:val="1"/>
    <w:autoRedefine/>
    <w:qFormat/>
    <w:uiPriority w:val="0"/>
    <w:pPr>
      <w:ind w:firstLine="200"/>
    </w:pPr>
    <w:rPr>
      <w:spacing w:val="8"/>
      <w:szCs w:val="20"/>
    </w:rPr>
  </w:style>
  <w:style w:type="paragraph" w:customStyle="1" w:styleId="139">
    <w:name w:val="Table Paragraph"/>
    <w:basedOn w:val="1"/>
    <w:autoRedefine/>
    <w:qFormat/>
    <w:uiPriority w:val="1"/>
    <w:pPr>
      <w:autoSpaceDE w:val="0"/>
      <w:autoSpaceDN w:val="0"/>
      <w:adjustRightInd w:val="0"/>
      <w:spacing w:line="240" w:lineRule="auto"/>
      <w:ind w:firstLine="0" w:firstLineChars="0"/>
      <w:jc w:val="left"/>
    </w:pPr>
    <w:rPr>
      <w:rFonts w:eastAsiaTheme="minorEastAsia"/>
      <w:kern w:val="0"/>
    </w:rPr>
  </w:style>
  <w:style w:type="paragraph" w:customStyle="1" w:styleId="140">
    <w:name w:val="font5"/>
    <w:basedOn w:val="1"/>
    <w:autoRedefine/>
    <w:qFormat/>
    <w:uiPriority w:val="0"/>
    <w:pPr>
      <w:widowControl/>
      <w:spacing w:before="100" w:beforeAutospacing="1" w:after="100" w:afterAutospacing="1" w:line="240" w:lineRule="auto"/>
      <w:ind w:firstLine="0" w:firstLineChars="0"/>
      <w:jc w:val="left"/>
    </w:pPr>
    <w:rPr>
      <w:rFonts w:ascii="宋体" w:hAnsi="宋体" w:cs="宋体"/>
      <w:kern w:val="0"/>
      <w:sz w:val="18"/>
      <w:szCs w:val="18"/>
    </w:rPr>
  </w:style>
  <w:style w:type="paragraph" w:customStyle="1" w:styleId="141">
    <w:name w:val="font6"/>
    <w:basedOn w:val="1"/>
    <w:autoRedefine/>
    <w:qFormat/>
    <w:uiPriority w:val="0"/>
    <w:pPr>
      <w:widowControl/>
      <w:spacing w:before="100" w:beforeAutospacing="1" w:after="100" w:afterAutospacing="1" w:line="240" w:lineRule="auto"/>
      <w:ind w:firstLine="0" w:firstLineChars="0"/>
      <w:jc w:val="left"/>
    </w:pPr>
    <w:rPr>
      <w:rFonts w:ascii="宋体" w:hAnsi="宋体" w:cs="宋体"/>
      <w:color w:val="000000"/>
      <w:kern w:val="0"/>
      <w:sz w:val="21"/>
      <w:szCs w:val="21"/>
    </w:rPr>
  </w:style>
  <w:style w:type="paragraph" w:customStyle="1" w:styleId="142">
    <w:name w:val="font7"/>
    <w:basedOn w:val="1"/>
    <w:autoRedefine/>
    <w:qFormat/>
    <w:uiPriority w:val="0"/>
    <w:pPr>
      <w:widowControl/>
      <w:spacing w:before="100" w:beforeAutospacing="1" w:after="100" w:afterAutospacing="1" w:line="240" w:lineRule="auto"/>
      <w:ind w:firstLine="0" w:firstLineChars="0"/>
      <w:jc w:val="left"/>
    </w:pPr>
    <w:rPr>
      <w:color w:val="000000"/>
      <w:kern w:val="0"/>
      <w:sz w:val="21"/>
      <w:szCs w:val="21"/>
    </w:rPr>
  </w:style>
  <w:style w:type="paragraph" w:customStyle="1" w:styleId="143">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color w:val="000000"/>
      <w:kern w:val="0"/>
      <w:sz w:val="21"/>
      <w:szCs w:val="21"/>
    </w:rPr>
  </w:style>
  <w:style w:type="paragraph" w:customStyle="1" w:styleId="144">
    <w:name w:val="xl6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99FF"/>
      <w:spacing w:before="100" w:beforeAutospacing="1" w:after="100" w:afterAutospacing="1" w:line="240" w:lineRule="auto"/>
      <w:ind w:firstLine="0" w:firstLineChars="0"/>
      <w:jc w:val="center"/>
    </w:pPr>
    <w:rPr>
      <w:rFonts w:ascii="宋体" w:hAnsi="宋体" w:cs="宋体"/>
      <w:color w:val="000000"/>
      <w:kern w:val="0"/>
      <w:sz w:val="21"/>
      <w:szCs w:val="21"/>
    </w:rPr>
  </w:style>
  <w:style w:type="paragraph" w:customStyle="1" w:styleId="145">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1"/>
      <w:szCs w:val="21"/>
    </w:rPr>
  </w:style>
  <w:style w:type="paragraph" w:customStyle="1" w:styleId="14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kern w:val="0"/>
      <w:sz w:val="21"/>
      <w:szCs w:val="21"/>
    </w:rPr>
  </w:style>
  <w:style w:type="paragraph" w:customStyle="1" w:styleId="14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rPr>
  </w:style>
  <w:style w:type="paragraph" w:customStyle="1" w:styleId="14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1"/>
      <w:szCs w:val="21"/>
    </w:rPr>
  </w:style>
  <w:style w:type="paragraph" w:customStyle="1" w:styleId="149">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kern w:val="0"/>
      <w:sz w:val="21"/>
      <w:szCs w:val="21"/>
    </w:rPr>
  </w:style>
  <w:style w:type="paragraph" w:customStyle="1" w:styleId="150">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rPr>
  </w:style>
  <w:style w:type="paragraph" w:customStyle="1" w:styleId="151">
    <w:name w:val="xl7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rPr>
  </w:style>
  <w:style w:type="paragraph" w:customStyle="1" w:styleId="152">
    <w:name w:val="xl72"/>
    <w:basedOn w:val="1"/>
    <w:autoRedefine/>
    <w:qFormat/>
    <w:uiPriority w:val="0"/>
    <w:pPr>
      <w:widowControl/>
      <w:pBdr>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rPr>
  </w:style>
  <w:style w:type="paragraph" w:customStyle="1" w:styleId="153">
    <w:name w:val="xl7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rPr>
  </w:style>
  <w:style w:type="paragraph" w:customStyle="1" w:styleId="154">
    <w:name w:val="xl7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kern w:val="0"/>
      <w:sz w:val="21"/>
      <w:szCs w:val="21"/>
    </w:rPr>
  </w:style>
  <w:style w:type="paragraph" w:customStyle="1" w:styleId="155">
    <w:name w:val="xl75"/>
    <w:basedOn w:val="1"/>
    <w:autoRedefine/>
    <w:qFormat/>
    <w:uiPriority w:val="0"/>
    <w:pPr>
      <w:widowControl/>
      <w:pBdr>
        <w:left w:val="single" w:color="auto" w:sz="4" w:space="0"/>
        <w:right w:val="single" w:color="auto" w:sz="4" w:space="0"/>
      </w:pBdr>
      <w:spacing w:before="100" w:beforeAutospacing="1" w:after="100" w:afterAutospacing="1" w:line="240" w:lineRule="auto"/>
      <w:ind w:firstLine="0" w:firstLineChars="0"/>
      <w:jc w:val="center"/>
    </w:pPr>
    <w:rPr>
      <w:kern w:val="0"/>
      <w:sz w:val="21"/>
      <w:szCs w:val="21"/>
    </w:rPr>
  </w:style>
  <w:style w:type="paragraph" w:customStyle="1" w:styleId="156">
    <w:name w:val="xl7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kern w:val="0"/>
      <w:sz w:val="21"/>
      <w:szCs w:val="21"/>
    </w:rPr>
  </w:style>
  <w:style w:type="paragraph" w:customStyle="1" w:styleId="157">
    <w:name w:val="xl7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1"/>
      <w:szCs w:val="21"/>
    </w:rPr>
  </w:style>
  <w:style w:type="paragraph" w:customStyle="1" w:styleId="158">
    <w:name w:val="xl78"/>
    <w:basedOn w:val="1"/>
    <w:autoRedefine/>
    <w:qFormat/>
    <w:uiPriority w:val="0"/>
    <w:pPr>
      <w:widowControl/>
      <w:pBdr>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1"/>
      <w:szCs w:val="21"/>
    </w:rPr>
  </w:style>
  <w:style w:type="paragraph" w:customStyle="1" w:styleId="159">
    <w:name w:val="xl7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1"/>
      <w:szCs w:val="21"/>
    </w:rPr>
  </w:style>
  <w:style w:type="paragraph" w:customStyle="1" w:styleId="160">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firstLineChars="0"/>
      <w:jc w:val="center"/>
    </w:pPr>
    <w:rPr>
      <w:rFonts w:ascii="宋体" w:hAnsi="宋体" w:cs="宋体"/>
      <w:kern w:val="0"/>
      <w:sz w:val="21"/>
      <w:szCs w:val="21"/>
    </w:rPr>
  </w:style>
  <w:style w:type="paragraph" w:customStyle="1" w:styleId="161">
    <w:name w:val="xl8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center"/>
    </w:pPr>
    <w:rPr>
      <w:rFonts w:ascii="宋体" w:hAnsi="宋体" w:cs="宋体"/>
      <w:kern w:val="0"/>
      <w:sz w:val="21"/>
      <w:szCs w:val="21"/>
    </w:rPr>
  </w:style>
  <w:style w:type="paragraph" w:customStyle="1" w:styleId="162">
    <w:name w:val="xl8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1"/>
      <w:szCs w:val="21"/>
    </w:rPr>
  </w:style>
  <w:style w:type="paragraph" w:customStyle="1" w:styleId="163">
    <w:name w:val="xl83"/>
    <w:basedOn w:val="1"/>
    <w:autoRedefine/>
    <w:qFormat/>
    <w:uiPriority w:val="0"/>
    <w:pPr>
      <w:widowControl/>
      <w:pBdr>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rPr>
  </w:style>
  <w:style w:type="paragraph" w:customStyle="1" w:styleId="164">
    <w:name w:val="xl8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rPr>
  </w:style>
  <w:style w:type="table" w:customStyle="1" w:styleId="165">
    <w:name w:val="网格型1"/>
    <w:basedOn w:val="34"/>
    <w:autoRedefine/>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6">
    <w:name w:val="font71"/>
    <w:basedOn w:val="36"/>
    <w:autoRedefine/>
    <w:qFormat/>
    <w:uiPriority w:val="0"/>
    <w:rPr>
      <w:rFonts w:hint="default" w:ascii="Times New Roman" w:hAnsi="Times New Roman" w:cs="Times New Roman"/>
      <w:b/>
      <w:bCs/>
      <w:color w:val="000000"/>
      <w:sz w:val="13"/>
      <w:szCs w:val="13"/>
      <w:u w:val="none"/>
    </w:rPr>
  </w:style>
  <w:style w:type="character" w:customStyle="1" w:styleId="167">
    <w:name w:val="font11"/>
    <w:basedOn w:val="36"/>
    <w:autoRedefine/>
    <w:qFormat/>
    <w:uiPriority w:val="0"/>
    <w:rPr>
      <w:rFonts w:hint="eastAsia" w:ascii="宋体" w:hAnsi="宋体" w:eastAsia="宋体" w:cs="宋体"/>
      <w:color w:val="000000"/>
      <w:sz w:val="24"/>
      <w:szCs w:val="24"/>
      <w:u w:val="none"/>
    </w:rPr>
  </w:style>
  <w:style w:type="character" w:customStyle="1" w:styleId="168">
    <w:name w:val="font21"/>
    <w:basedOn w:val="36"/>
    <w:autoRedefine/>
    <w:qFormat/>
    <w:uiPriority w:val="0"/>
    <w:rPr>
      <w:rFonts w:hint="default" w:ascii="Times New Roman" w:hAnsi="Times New Roman" w:cs="Times New Roman"/>
      <w:color w:val="000000"/>
      <w:sz w:val="24"/>
      <w:szCs w:val="24"/>
      <w:u w:val="none"/>
    </w:rPr>
  </w:style>
  <w:style w:type="character" w:customStyle="1" w:styleId="169">
    <w:name w:val="font31"/>
    <w:basedOn w:val="36"/>
    <w:autoRedefine/>
    <w:qFormat/>
    <w:uiPriority w:val="0"/>
    <w:rPr>
      <w:rFonts w:hint="eastAsia" w:ascii="宋体" w:hAnsi="宋体" w:eastAsia="宋体" w:cs="宋体"/>
      <w:color w:val="000000"/>
      <w:sz w:val="24"/>
      <w:szCs w:val="24"/>
      <w:u w:val="none"/>
    </w:rPr>
  </w:style>
  <w:style w:type="character" w:customStyle="1" w:styleId="170">
    <w:name w:val="font41"/>
    <w:basedOn w:val="36"/>
    <w:autoRedefine/>
    <w:qFormat/>
    <w:uiPriority w:val="0"/>
    <w:rPr>
      <w:rFonts w:hint="default" w:ascii="Times New Roman" w:hAnsi="Times New Roman" w:cs="Times New Roman"/>
      <w:color w:val="000000"/>
      <w:sz w:val="24"/>
      <w:szCs w:val="24"/>
      <w:u w:val="none"/>
    </w:rPr>
  </w:style>
  <w:style w:type="character" w:customStyle="1" w:styleId="171">
    <w:name w:val="font51"/>
    <w:basedOn w:val="36"/>
    <w:autoRedefine/>
    <w:qFormat/>
    <w:uiPriority w:val="0"/>
    <w:rPr>
      <w:rFonts w:hint="default" w:ascii="Times New Roman" w:hAnsi="Times New Roman" w:cs="Times New Roman"/>
      <w:color w:val="000000"/>
      <w:sz w:val="24"/>
      <w:szCs w:val="24"/>
      <w:u w:val="none"/>
      <w:vertAlign w:val="subscript"/>
    </w:rPr>
  </w:style>
  <w:style w:type="paragraph" w:customStyle="1" w:styleId="172">
    <w:name w:val="一一头"/>
    <w:basedOn w:val="1"/>
    <w:autoRedefine/>
    <w:qFormat/>
    <w:uiPriority w:val="0"/>
    <w:pPr>
      <w:adjustRightInd w:val="0"/>
    </w:pPr>
    <w:rPr>
      <w:b/>
      <w:bCs/>
      <w:szCs w:val="21"/>
    </w:rPr>
  </w:style>
  <w:style w:type="paragraph" w:customStyle="1" w:styleId="173">
    <w:name w:val="图表名"/>
    <w:basedOn w:val="1"/>
    <w:next w:val="1"/>
    <w:autoRedefine/>
    <w:qFormat/>
    <w:uiPriority w:val="0"/>
    <w:pPr>
      <w:keepNext/>
      <w:adjustRightInd w:val="0"/>
      <w:snapToGrid w:val="0"/>
      <w:jc w:val="center"/>
    </w:pPr>
    <w:rPr>
      <w:rFonts w:ascii="宋体"/>
      <w:b/>
      <w:szCs w:val="28"/>
    </w:rPr>
  </w:style>
  <w:style w:type="paragraph" w:customStyle="1" w:styleId="174">
    <w:name w:val="W正文"/>
    <w:basedOn w:val="1"/>
    <w:autoRedefine/>
    <w:qFormat/>
    <w:uiPriority w:val="0"/>
    <w:rPr>
      <w:kern w:val="0"/>
      <w:szCs w:val="20"/>
    </w:rPr>
  </w:style>
  <w:style w:type="character" w:customStyle="1" w:styleId="175">
    <w:name w:val="font01"/>
    <w:basedOn w:val="36"/>
    <w:autoRedefine/>
    <w:qFormat/>
    <w:uiPriority w:val="0"/>
    <w:rPr>
      <w:rFonts w:hint="eastAsia" w:ascii="宋体" w:hAnsi="宋体" w:eastAsia="宋体" w:cs="宋体"/>
      <w:color w:val="000000"/>
      <w:sz w:val="22"/>
      <w:szCs w:val="22"/>
      <w:u w:val="none"/>
    </w:rPr>
  </w:style>
  <w:style w:type="character" w:customStyle="1" w:styleId="176">
    <w:name w:val="font81"/>
    <w:basedOn w:val="36"/>
    <w:autoRedefine/>
    <w:qFormat/>
    <w:uiPriority w:val="0"/>
    <w:rPr>
      <w:rFonts w:hint="eastAsia" w:ascii="宋体" w:hAnsi="宋体" w:eastAsia="宋体" w:cs="宋体"/>
      <w:color w:val="000000"/>
      <w:sz w:val="22"/>
      <w:szCs w:val="22"/>
      <w:u w:val="none"/>
    </w:rPr>
  </w:style>
  <w:style w:type="paragraph" w:customStyle="1" w:styleId="177">
    <w:name w:val="表内文-赵"/>
    <w:basedOn w:val="1"/>
    <w:autoRedefine/>
    <w:unhideWhenUsed/>
    <w:qFormat/>
    <w:uiPriority w:val="0"/>
    <w:pPr>
      <w:spacing w:line="240" w:lineRule="auto"/>
      <w:ind w:firstLine="0" w:firstLineChars="0"/>
      <w:jc w:val="center"/>
    </w:pPr>
    <w:rPr>
      <w:sz w:val="21"/>
      <w:szCs w:val="21"/>
    </w:rPr>
  </w:style>
  <w:style w:type="paragraph" w:customStyle="1" w:styleId="178">
    <w:name w:val="曹1.1"/>
    <w:basedOn w:val="1"/>
    <w:autoRedefine/>
    <w:qFormat/>
    <w:uiPriority w:val="0"/>
    <w:rPr>
      <w:b/>
    </w:rPr>
  </w:style>
  <w:style w:type="paragraph" w:customStyle="1" w:styleId="179">
    <w:name w:val="表名图名"/>
    <w:basedOn w:val="1"/>
    <w:autoRedefine/>
    <w:qFormat/>
    <w:uiPriority w:val="0"/>
    <w:pPr>
      <w:ind w:firstLine="0" w:firstLineChars="0"/>
      <w:jc w:val="center"/>
    </w:pPr>
    <w:rPr>
      <w:b/>
    </w:rPr>
  </w:style>
  <w:style w:type="paragraph" w:customStyle="1" w:styleId="180">
    <w:name w:val="报告表 表内 3级"/>
    <w:autoRedefine/>
    <w:qFormat/>
    <w:uiPriority w:val="0"/>
    <w:pPr>
      <w:widowControl w:val="0"/>
      <w:spacing w:line="400" w:lineRule="exact"/>
      <w:ind w:firstLine="482"/>
      <w:outlineLvl w:val="3"/>
    </w:pPr>
    <w:rPr>
      <w:rFonts w:ascii="Times New Roman" w:hAnsi="Times New Roman" w:eastAsia="仿宋_GB2312" w:cs="Times New Roman"/>
      <w:b/>
      <w:bCs/>
      <w:kern w:val="2"/>
      <w:sz w:val="24"/>
      <w:szCs w:val="28"/>
      <w:lang w:val="en-US" w:eastAsia="zh-CN" w:bidi="ar-SA"/>
    </w:rPr>
  </w:style>
  <w:style w:type="paragraph" w:customStyle="1" w:styleId="181">
    <w:name w:val="报告书 正文"/>
    <w:autoRedefine/>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82">
    <w:name w:val="表格内部"/>
    <w:basedOn w:val="1"/>
    <w:autoRedefine/>
    <w:qFormat/>
    <w:uiPriority w:val="0"/>
    <w:pPr>
      <w:widowControl/>
      <w:jc w:val="center"/>
    </w:pPr>
    <w:rPr>
      <w:szCs w:val="18"/>
    </w:rPr>
  </w:style>
  <w:style w:type="paragraph" w:customStyle="1" w:styleId="183">
    <w:name w:val="表题"/>
    <w:basedOn w:val="1"/>
    <w:autoRedefine/>
    <w:qFormat/>
    <w:uiPriority w:val="0"/>
    <w:pPr>
      <w:spacing w:line="500" w:lineRule="exact"/>
      <w:jc w:val="center"/>
    </w:pPr>
    <w:rPr>
      <w:rFonts w:eastAsia="仿宋_GB2312"/>
      <w:b/>
      <w:szCs w:val="22"/>
    </w:rPr>
  </w:style>
  <w:style w:type="paragraph" w:customStyle="1" w:styleId="184">
    <w:name w:val="2"/>
    <w:basedOn w:val="1"/>
    <w:next w:val="1"/>
    <w:autoRedefine/>
    <w:qFormat/>
    <w:uiPriority w:val="0"/>
    <w:rPr>
      <w:rFonts w:eastAsia="仿宋_GB2312"/>
      <w:szCs w:val="20"/>
    </w:rPr>
  </w:style>
  <w:style w:type="paragraph" w:customStyle="1" w:styleId="185">
    <w:name w:val="Table Text"/>
    <w:basedOn w:val="1"/>
    <w:autoRedefine/>
    <w:semiHidden/>
    <w:qFormat/>
    <w:uiPriority w:val="0"/>
    <w:rPr>
      <w:rFonts w:ascii="宋体" w:hAnsi="宋体" w:cs="宋体"/>
      <w:lang w:eastAsia="en-US"/>
    </w:rPr>
  </w:style>
  <w:style w:type="paragraph" w:customStyle="1" w:styleId="186">
    <w:name w:val="表中文字"/>
    <w:basedOn w:val="1"/>
    <w:autoRedefine/>
    <w:qFormat/>
    <w:uiPriority w:val="0"/>
    <w:pPr>
      <w:spacing w:line="240" w:lineRule="exact"/>
      <w:ind w:firstLine="0" w:firstLineChars="0"/>
      <w:jc w:val="center"/>
    </w:pPr>
    <w:rPr>
      <w:rFonts w:ascii="宋体" w:hAnsi="宋体"/>
      <w:sz w:val="21"/>
      <w:szCs w:val="20"/>
    </w:rPr>
  </w:style>
  <w:style w:type="paragraph" w:customStyle="1" w:styleId="187">
    <w:name w:val="标准文本 首行缩进:2 字符 行距1倍 Char"/>
    <w:basedOn w:val="1"/>
    <w:qFormat/>
    <w:uiPriority w:val="0"/>
    <w:pPr>
      <w:adjustRightInd w:val="0"/>
      <w:snapToGrid w:val="0"/>
      <w:spacing w:line="480" w:lineRule="exact"/>
      <w:ind w:firstLine="480"/>
      <w:jc w:val="center"/>
      <w:textAlignment w:val="center"/>
    </w:pPr>
    <w:rPr>
      <w:rFonts w:cs="宋体"/>
    </w:rPr>
  </w:style>
  <w:style w:type="paragraph" w:customStyle="1" w:styleId="188">
    <w:name w:val="1正文段落"/>
    <w:basedOn w:val="1"/>
    <w:qFormat/>
    <w:uiPriority w:val="0"/>
    <w:pPr>
      <w:ind w:firstLine="480"/>
      <w:jc w:val="left"/>
    </w:pPr>
    <w:rPr>
      <w:snapToGrid w:val="0"/>
      <w:kern w:val="0"/>
    </w:rPr>
  </w:style>
  <w:style w:type="paragraph" w:customStyle="1" w:styleId="189">
    <w:name w:val="5号正文"/>
    <w:basedOn w:val="1"/>
    <w:qFormat/>
    <w:uiPriority w:val="0"/>
    <w:pPr>
      <w:ind w:firstLine="200"/>
    </w:pPr>
    <w:rPr>
      <w:kern w:val="24"/>
      <w:szCs w:val="21"/>
    </w:rPr>
  </w:style>
  <w:style w:type="character" w:customStyle="1" w:styleId="190">
    <w:name w:val="15"/>
    <w:qFormat/>
    <w:uiPriority w:val="0"/>
    <w:rPr>
      <w:rFonts w:hint="default" w:ascii="Times New Roman" w:hAnsi="Times New Roman" w:cs="Times New Roman"/>
    </w:rPr>
  </w:style>
  <w:style w:type="paragraph" w:customStyle="1" w:styleId="191">
    <w:name w:val="样式35"/>
    <w:basedOn w:val="1"/>
    <w:qFormat/>
    <w:uiPriority w:val="0"/>
    <w:pPr>
      <w:adjustRightInd w:val="0"/>
      <w:spacing w:line="312" w:lineRule="auto"/>
      <w:ind w:firstLine="567"/>
    </w:pPr>
    <w:rPr>
      <w:rFonts w:ascii="宋体"/>
      <w:kern w:val="0"/>
      <w:sz w:val="28"/>
    </w:rPr>
  </w:style>
  <w:style w:type="paragraph" w:customStyle="1" w:styleId="192">
    <w:name w:val="正文加粗"/>
    <w:basedOn w:val="1"/>
    <w:qFormat/>
    <w:uiPriority w:val="0"/>
    <w:pPr>
      <w:ind w:firstLine="420"/>
    </w:pPr>
    <w:rPr>
      <w:b/>
      <w:kern w:val="0"/>
      <w:szCs w:val="21"/>
    </w:rPr>
  </w:style>
  <w:style w:type="paragraph" w:customStyle="1" w:styleId="193">
    <w:name w:val="报告正文-连续目录"/>
    <w:basedOn w:val="1"/>
    <w:qFormat/>
    <w:uiPriority w:val="0"/>
    <w:rPr>
      <w:rFonts w:ascii="Arial" w:hAnsi="Arial"/>
      <w:snapToGrid w:val="0"/>
    </w:rPr>
  </w:style>
  <w:style w:type="paragraph" w:customStyle="1" w:styleId="194">
    <w:name w:val="我的表头"/>
    <w:basedOn w:val="1"/>
    <w:next w:val="1"/>
    <w:qFormat/>
    <w:uiPriority w:val="0"/>
    <w:pPr>
      <w:spacing w:line="240" w:lineRule="auto"/>
      <w:jc w:val="center"/>
    </w:pPr>
    <w:rPr>
      <w:b/>
    </w:rPr>
  </w:style>
  <w:style w:type="paragraph" w:customStyle="1" w:styleId="195">
    <w:name w:val="4正文"/>
    <w:basedOn w:val="1"/>
    <w:qFormat/>
    <w:uiPriority w:val="0"/>
    <w:pPr>
      <w:ind w:firstLine="200"/>
    </w:pPr>
  </w:style>
  <w:style w:type="paragraph" w:customStyle="1" w:styleId="196">
    <w:name w:val="环评表格"/>
    <w:basedOn w:val="1"/>
    <w:qFormat/>
    <w:uiPriority w:val="0"/>
    <w:pPr>
      <w:jc w:val="center"/>
    </w:pPr>
    <w:rPr>
      <w:color w:val="000000"/>
      <w:szCs w:val="21"/>
    </w:rPr>
  </w:style>
  <w:style w:type="paragraph" w:customStyle="1" w:styleId="197">
    <w:name w:val="Heading #3|1"/>
    <w:basedOn w:val="1"/>
    <w:qFormat/>
    <w:uiPriority w:val="0"/>
    <w:pPr>
      <w:spacing w:after="300"/>
      <w:jc w:val="center"/>
      <w:outlineLvl w:val="2"/>
    </w:pPr>
    <w:rPr>
      <w:rFonts w:ascii="宋体" w:hAnsi="宋体" w:cs="宋体"/>
      <w:sz w:val="46"/>
      <w:szCs w:val="46"/>
      <w:lang w:val="zh-TW" w:eastAsia="zh-TW" w:bidi="zh-TW"/>
    </w:rPr>
  </w:style>
  <w:style w:type="paragraph" w:customStyle="1" w:styleId="198">
    <w:name w:val="Body text|1"/>
    <w:basedOn w:val="1"/>
    <w:qFormat/>
    <w:uiPriority w:val="0"/>
    <w:pPr>
      <w:spacing w:line="413" w:lineRule="auto"/>
      <w:ind w:firstLine="400"/>
    </w:pPr>
    <w:rPr>
      <w:rFonts w:ascii="宋体" w:hAnsi="宋体" w:cs="宋体"/>
      <w:lang w:val="zh-TW" w:eastAsia="zh-TW" w:bidi="zh-TW"/>
    </w:rPr>
  </w:style>
  <w:style w:type="paragraph" w:customStyle="1" w:styleId="199">
    <w:name w:val="Other|1"/>
    <w:basedOn w:val="1"/>
    <w:qFormat/>
    <w:uiPriority w:val="0"/>
    <w:rPr>
      <w:rFonts w:ascii="宋体" w:hAnsi="宋体" w:cs="宋体"/>
      <w:sz w:val="12"/>
      <w:szCs w:val="12"/>
      <w:lang w:val="zh-TW" w:eastAsia="zh-TW" w:bidi="zh-TW"/>
    </w:rPr>
  </w:style>
  <w:style w:type="paragraph" w:customStyle="1" w:styleId="200">
    <w:name w:val="0正文"/>
    <w:autoRedefine/>
    <w:unhideWhenUsed/>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201">
    <w:name w:val="监测方案 正文"/>
    <w:autoRedefine/>
    <w:qFormat/>
    <w:uiPriority w:val="0"/>
    <w:pPr>
      <w:spacing w:line="500" w:lineRule="exact"/>
      <w:ind w:firstLine="560" w:firstLineChars="200"/>
    </w:pPr>
    <w:rPr>
      <w:rFonts w:ascii="Times New Roman" w:hAnsi="Times New Roman" w:eastAsia="仿宋_GB2312" w:cs="Times New Roman"/>
      <w:kern w:val="2"/>
      <w:sz w:val="28"/>
      <w:szCs w:val="28"/>
      <w:lang w:val="en-US" w:eastAsia="zh-CN" w:bidi="ar-SA"/>
    </w:rPr>
  </w:style>
  <w:style w:type="paragraph" w:customStyle="1" w:styleId="202">
    <w:name w:val="表格 标题"/>
    <w:autoRedefine/>
    <w:qFormat/>
    <w:uiPriority w:val="0"/>
    <w:pPr>
      <w:spacing w:beforeLines="20" w:afterLines="20" w:line="360" w:lineRule="auto"/>
      <w:jc w:val="center"/>
    </w:pPr>
    <w:rPr>
      <w:rFonts w:ascii="Times New Roman" w:hAnsi="Times New Roman" w:eastAsia="仿宋_GB2312" w:cs="Times New Roman"/>
      <w:b/>
      <w:kern w:val="2"/>
      <w:sz w:val="24"/>
      <w:szCs w:val="24"/>
      <w:lang w:val="en-US" w:eastAsia="zh-CN" w:bidi="ar-SA"/>
    </w:rPr>
  </w:style>
  <w:style w:type="paragraph" w:customStyle="1" w:styleId="203">
    <w:name w:val="正文部分"/>
    <w:qFormat/>
    <w:uiPriority w:val="0"/>
    <w:pPr>
      <w:spacing w:line="360" w:lineRule="auto"/>
      <w:ind w:firstLine="1440" w:firstLineChars="200"/>
    </w:pPr>
    <w:rPr>
      <w:rFonts w:ascii="Times New Roman" w:hAnsi="Times New Roman" w:eastAsia="宋体" w:cs="Times New Roman"/>
      <w:sz w:val="24"/>
    </w:rPr>
  </w:style>
  <w:style w:type="paragraph" w:customStyle="1" w:styleId="204">
    <w:name w:val="24磅正文"/>
    <w:basedOn w:val="1"/>
    <w:qFormat/>
    <w:uiPriority w:val="0"/>
    <w:pPr>
      <w:spacing w:line="480" w:lineRule="exact"/>
      <w:ind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0" Type="http://schemas.openxmlformats.org/officeDocument/2006/relationships/fontTable" Target="fontTable.xml"/><Relationship Id="rId4" Type="http://schemas.openxmlformats.org/officeDocument/2006/relationships/endnotes" Target="endnotes.xml"/><Relationship Id="rId39" Type="http://schemas.openxmlformats.org/officeDocument/2006/relationships/customXml" Target="../customXml/item2.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16.jpeg"/><Relationship Id="rId35" Type="http://schemas.openxmlformats.org/officeDocument/2006/relationships/image" Target="media/image15.wmf"/><Relationship Id="rId34" Type="http://schemas.openxmlformats.org/officeDocument/2006/relationships/image" Target="media/image14.wmf"/><Relationship Id="rId33" Type="http://schemas.openxmlformats.org/officeDocument/2006/relationships/image" Target="media/image13.wmf"/><Relationship Id="rId32" Type="http://schemas.openxmlformats.org/officeDocument/2006/relationships/image" Target="media/image12.wmf"/><Relationship Id="rId31" Type="http://schemas.openxmlformats.org/officeDocument/2006/relationships/image" Target="media/image11.png"/><Relationship Id="rId30" Type="http://schemas.openxmlformats.org/officeDocument/2006/relationships/image" Target="media/image10.wmf"/><Relationship Id="rId3" Type="http://schemas.openxmlformats.org/officeDocument/2006/relationships/footnotes" Target="footnotes.xml"/><Relationship Id="rId29" Type="http://schemas.openxmlformats.org/officeDocument/2006/relationships/image" Target="media/image9.png"/><Relationship Id="rId28" Type="http://schemas.openxmlformats.org/officeDocument/2006/relationships/image" Target="media/image8.png"/><Relationship Id="rId27" Type="http://schemas.openxmlformats.org/officeDocument/2006/relationships/image" Target="media/image7.emf"/><Relationship Id="rId26" Type="http://schemas.openxmlformats.org/officeDocument/2006/relationships/oleObject" Target="embeddings/oleObject5.bin"/><Relationship Id="rId25" Type="http://schemas.openxmlformats.org/officeDocument/2006/relationships/image" Target="media/image6.png"/><Relationship Id="rId24" Type="http://schemas.openxmlformats.org/officeDocument/2006/relationships/image" Target="media/image5.emf"/><Relationship Id="rId23" Type="http://schemas.openxmlformats.org/officeDocument/2006/relationships/oleObject" Target="embeddings/oleObject4.bin"/><Relationship Id="rId22" Type="http://schemas.openxmlformats.org/officeDocument/2006/relationships/image" Target="media/image4.emf"/><Relationship Id="rId21" Type="http://schemas.openxmlformats.org/officeDocument/2006/relationships/oleObject" Target="embeddings/oleObject3.bin"/><Relationship Id="rId20" Type="http://schemas.openxmlformats.org/officeDocument/2006/relationships/image" Target="media/image3.e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2.emf"/><Relationship Id="rId17" Type="http://schemas.openxmlformats.org/officeDocument/2006/relationships/oleObject" Target="embeddings/oleObject1.bin"/><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569669f3-8e18-434e-a48c-7404dbacb144</errorID>
      <errorWord>(</errorWord>
      <group>L1_Format</group>
      <groupName>格式问题</groupName>
      <ability>L2_HalfPunc</ability>
      <abilityName>全半角检查</abilityName>
      <candidateList>
        <item>（</item>
      </candidateList>
      <explain>文本全半角错误。</explain>
      <paraID>3644EEE4</paraID>
      <start>0</start>
      <end>1</end>
      <status>unmodified</status>
      <modifiedWord/>
      <trackRevisions>false</trackRevisions>
    </reviewItem>
    <reviewItem>
      <errorID>ac35b9e4-44c2-4530-ab38-e501a0aa9132</errorID>
      <errorWord>)</errorWord>
      <group>L1_Format</group>
      <groupName>格式问题</groupName>
      <ability>L2_HalfPunc</ability>
      <abilityName>全半角检查</abilityName>
      <candidateList>
        <item>）</item>
      </candidateList>
      <explain>文本全半角错误。</explain>
      <paraID>3644EEE4</paraID>
      <start>3</start>
      <end>4</end>
      <status>unmodified</status>
      <modifiedWord/>
      <trackRevisions>false</trackRevisions>
    </reviewItem>
    <reviewItem>
      <errorID>ecd38180-a574-4715-b14b-3b830e1edf54</errorID>
      <errorWord>[2025]122号</errorWord>
      <group>L1_Knowledge</group>
      <groupName>知识性问题</groupName>
      <ability>L2_Knowledge</ability>
      <abilityName>其他知识</abilityName>
      <candidateList>
        <item>〔2025〕122号</item>
      </candidateList>
      <explain>发文字号格式错误。</explain>
      <paraID>5266B924</paraID>
      <start>0</start>
      <end>10</end>
      <status>unmodified</status>
      <modifiedWord/>
      <trackRevisions>false</trackRevisions>
    </reviewItem>
    <reviewItem>
      <errorID>126b41a4-9672-462c-9375-e0af2a1f764a</errorID>
      <errorWord>(</errorWord>
      <group>L1_Format</group>
      <groupName>格式问题</groupName>
      <ability>L2_HalfPunc</ability>
      <abilityName>全半角检查</abilityName>
      <candidateList>
        <item>（</item>
      </candidateList>
      <explain>文本全半角错误。</explain>
      <paraID>4641B742</paraID>
      <start>10</start>
      <end>11</end>
      <status>unmodified</status>
      <modifiedWord/>
      <trackRevisions>false</trackRevisions>
    </reviewItem>
    <reviewItem>
      <errorID>46e6d695-bff5-49f7-aae1-ebddf031464c</errorID>
      <errorWord>)</errorWord>
      <group>L1_Format</group>
      <groupName>格式问题</groupName>
      <ability>L2_HalfPunc</ability>
      <abilityName>全半角检查</abilityName>
      <candidateList>
        <item>）</item>
      </candidateList>
      <explain>文本全半角错误。</explain>
      <paraID>4641B742</paraID>
      <start>20</start>
      <end>21</end>
      <status>unmodified</status>
      <modifiedWord/>
      <trackRevisions>false</trackRevisions>
    </reviewItem>
    <reviewItem>
      <errorID>a6cf7132-8e9c-44ec-99cd-94365769b3e5</errorID>
      <errorWord>（2018）</errorWord>
      <group>L1_AI</group>
      <groupName>深度校对</groupName>
      <ability>L2_AI_Punc</ability>
      <abilityName>标点纠错</abilityName>
      <candidateList>
        <item>〔2018〕</item>
      </candidateList>
      <explain/>
      <paraID>4641B742</paraID>
      <start>26</start>
      <end>32</end>
      <status>unmodified</status>
      <modifiedWord/>
      <trackRevisions>false</trackRevisions>
    </reviewItem>
    <reviewItem>
      <errorID>bb6825f0-3646-4ba1-a3b2-fbd58096b829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75EE1638</paraID>
      <start>0</start>
      <end>2</end>
      <status>unmodified</status>
      <modifiedWord/>
      <trackRevisions>false</trackRevisions>
    </reviewItem>
    <reviewItem>
      <errorID>d8ac0272-c61e-4d18-a4dd-fcf239a1e2a3</errorID>
      <errorWord>《产业结构调整指导目录》（2024年本）</errorWord>
      <group>L1_Knowledge</group>
      <groupName>知识性问题</groupName>
      <ability>L2_Knowledge</ability>
      <abilityName>其他知识</abilityName>
      <candidateList>
        <item>《产业结构调整指导目录（2024年本）》</item>
      </candidateList>
      <explain>疑似政策文件、法律法规名称等书写不规范，请注意检查。</explain>
      <paraID>26B70C47</paraID>
      <start>111</start>
      <end>131</end>
      <status>unmodified</status>
      <modifiedWord/>
      <trackRevisions>false</trackRevisions>
    </reviewItem>
    <reviewItem>
      <errorID>c57df4a3-fb66-4396-a8c4-e74fb7929e11</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75C8A657</paraID>
      <start>0</start>
      <end>3</end>
      <status>unmodified</status>
      <modifiedWord/>
      <trackRevisions>false</trackRevisions>
    </reviewItem>
    <reviewItem>
      <errorID>070c4aa2-68a3-407f-928d-551099ce8260</errorID>
      <errorWord>(</errorWord>
      <group>L1_Format</group>
      <groupName>格式问题</groupName>
      <ability>L2_HalfPunc</ability>
      <abilityName>全半角检查</abilityName>
      <candidateList>
        <item>（</item>
      </candidateList>
      <explain>文本全半角错误。</explain>
      <paraID>29917642</paraID>
      <start>68</start>
      <end>69</end>
      <status>unmodified</status>
      <modifiedWord/>
      <trackRevisions>false</trackRevisions>
    </reviewItem>
    <reviewItem>
      <errorID>616959ad-f426-4423-8f06-f96ff5e4f96b</errorID>
      <errorWord>)</errorWord>
      <group>L1_Format</group>
      <groupName>格式问题</groupName>
      <ability>L2_HalfPunc</ability>
      <abilityName>全半角检查</abilityName>
      <candidateList>
        <item>）</item>
      </candidateList>
      <explain>文本全半角错误。</explain>
      <paraID>29917642</paraID>
      <start>77</start>
      <end>78</end>
      <status>unmodified</status>
      <modifiedWord/>
      <trackRevisions>false</trackRevisions>
    </reviewItem>
    <reviewItem>
      <errorID>8f411364-ccd4-40b2-b2c9-9936dfc88f8a</errorID>
      <errorWord>“三线一单"</errorWord>
      <group>L1_Political</group>
      <groupName>政治性问题</groupName>
      <ability>L2_Keyword</ability>
      <abilityName>固定表述</abilityName>
      <candidateList>
        <item>“三线一单”</item>
      </candidateList>
      <explain>注意检查当前固定表述标点是否使用规范。</explain>
      <paraID>4B722F2C</paraID>
      <start>48</start>
      <end>54</end>
      <status>unmodified</status>
      <modifiedWord/>
      <trackRevisions>false</trackRevisions>
    </reviewItem>
    <reviewItem>
      <errorID>ac89690b-188c-45df-af49-db4e1a9da3de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FDE188C</paraID>
      <start>0</start>
      <end>2</end>
      <status>unmodified</status>
      <modifiedWord/>
      <trackRevisions>false</trackRevisions>
    </reviewItem>
    <reviewItem>
      <errorID>e58296b2-44db-4f5e-aa1b-2746dc6c5d3e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356A6AC8</paraID>
      <start>0</start>
      <end>2</end>
      <status>unmodified</status>
      <modifiedWord/>
      <trackRevisions>false</trackRevisions>
    </reviewItem>
    <reviewItem>
      <errorID>60d4b0f9-3e0c-4e00-801b-4b0a744899c3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35568838</paraID>
      <start>0</start>
      <end>2</end>
      <status>unmodified</status>
      <modifiedWord/>
      <trackRevisions>false</trackRevisions>
    </reviewItem>
    <reviewItem>
      <errorID>48a4c69f-44b2-4cf7-a1a4-1e73abbbae07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25782A</paraID>
      <start>0</start>
      <end>2</end>
      <status>unmodified</status>
      <modifiedWord/>
      <trackRevisions>false</trackRevisions>
    </reviewItem>
    <reviewItem>
      <errorID>93ccfbab-688e-45b5-b228-8156efbdff68</errorID>
      <errorWord>危 险区</errorWord>
      <group>L1_AI</group>
      <groupName>深度校对</groupName>
      <ability>L2_AI_Word</ability>
      <abilityName>字词纠错</abilityName>
      <candidateList>
        <item>危险区</item>
      </candidateList>
      <explain/>
      <paraID>  25782A</paraID>
      <start>7</start>
      <end>11</end>
      <status>unmodified</status>
      <modifiedWord/>
      <trackRevisions>false</trackRevisions>
    </reviewItem>
    <reviewItem>
      <errorID>76fdc05c-0032-4e8f-b78e-241203cd4a45</errorID>
      <errorWord>限制或禁止以及</errorWord>
      <group>L1_AI</group>
      <groupName>深度校对</groupName>
      <ability>L2_AI_Grammar</ability>
      <abilityName>语法纠错</abilityName>
      <candidateList>
        <item>、</item>
      </candidateList>
      <explain/>
      <paraID>  25782A</paraID>
      <start>53</start>
      <end>60</end>
      <status>unmodified</status>
      <modifiedWord/>
      <trackRevisions>false</trackRevisions>
    </reviewItem>
    <reviewItem>
      <errorID>2b5a54ba-220c-48ac-b9b6-ec5c93444292</errorID>
      <errorWord>，</errorWord>
      <group>L1_AI</group>
      <groupName>深度校对</groupName>
      <ability>L2_AI_Punc</ability>
      <abilityName>标点纠错</abilityName>
      <candidateList>
        <item>；</item>
      </candidateList>
      <explain/>
      <paraID>  25782A</paraID>
      <start>73</start>
      <end>74</end>
      <status>unmodified</status>
      <modifiedWord/>
      <trackRevisions>false</trackRevisions>
    </reviewItem>
    <reviewItem>
      <errorID>a965413c-d6c8-4adb-8c2c-608003f42261</errorID>
      <errorWord> </errorWord>
      <group>L1_AI</group>
      <groupName>深度校对</groupName>
      <ability>L2_AI_Punc</ability>
      <abilityName>标点纠错</abilityName>
      <candidateList>
        <item/>
      </candidateList>
      <explain>此处空格冗余，建议删除。</explain>
      <paraID>  25782A</paraID>
      <start>105</start>
      <end>106</end>
      <status>unmodified</status>
      <modifiedWord/>
      <trackRevisions>false</trackRevisions>
    </reviewItem>
    <reviewItem>
      <errorID>562d8b24-f90a-412f-b779-9a4f07187c26</errorID>
      <errorWord>耕种等措施</errorWord>
      <group>L1_AI</group>
      <groupName>深度校对</groupName>
      <ability>L2_AI_Grammar</ability>
      <abilityName>语法纠错</abilityName>
      <candidateList>
        <item>耕种</item>
      </candidateList>
      <explain/>
      <paraID>  25782A</paraID>
      <start>122</start>
      <end>127</end>
      <status>unmodified</status>
      <modifiedWord/>
      <trackRevisions>false</trackRevisions>
    </reviewItem>
    <reviewItem>
      <errorID>08f4235b-c62e-48f6-9dfa-14ee16717d82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5D8A9938</paraID>
      <start>0</start>
      <end>2</end>
      <status>unmodified</status>
      <modifiedWord/>
      <trackRevisions>false</trackRevisions>
    </reviewItem>
    <reviewItem>
      <errorID>4831cd58-b8f5-4a32-a647-e1a279d1df3d</errorID>
      <errorWord>《农田灌溉水质标准（GB5084-2005）》</errorWord>
      <group>L1_Knowledge</group>
      <groupName>知识性问题</groupName>
      <ability>L2_Knowledge</ability>
      <abilityName>其他知识</abilityName>
      <candidateList>
        <item>《农田灌溉水质标准》（GB5084-2005）</item>
      </candidateList>
      <explain>疑似政策文件、法律法规名称等书写不规范，请注意检查。</explain>
      <paraID>4D3E51E5</paraID>
      <start>136</start>
      <end>159</end>
      <status>unmodified</status>
      <modifiedWord/>
      <trackRevisions>false</trackRevisions>
    </reviewItem>
    <reviewItem>
      <errorID>4f13dd30-fb8d-45d8-813c-9e6925357f38</errorID>
      <errorWord>《渔业水质标准（GB11607-89）》</errorWord>
      <group>L1_Knowledge</group>
      <groupName>知识性问题</groupName>
      <ability>L2_Knowledge</ability>
      <abilityName>其他知识</abilityName>
      <candidateList>
        <item>《渔业水质标准》（GB11607-89）</item>
      </candidateList>
      <explain>疑似政策文件、法律法规名称等书写不规范，请注意检查。</explain>
      <paraID>4D3E51E5</paraID>
      <start>178</start>
      <end>198</end>
      <status>unmodified</status>
      <modifiedWord/>
      <trackRevisions>false</trackRevisions>
    </reviewItem>
    <reviewItem>
      <errorID>0c520f39-0c49-4295-b361-b2e5ceb002b9</errorID>
      <errorWord>、就</errorWord>
      <group>L1_Punc</group>
      <groupName>标点问题</groupName>
      <ability>L2_Punc</ability>
      <abilityName>标点符号检查</abilityName>
      <candidateList>
        <item>，就</item>
      </candidateList>
      <explain>连接词前后不宜使用顿号，建议使用逗号。</explain>
      <paraID>7907B443</paraID>
      <start>38</start>
      <end>40</end>
      <status>unmodified</status>
      <modifiedWord/>
      <trackRevisions>false</trackRevisions>
    </reviewItem>
    <reviewItem>
      <errorID>2435d395-aa26-472e-99c8-c0dfb4af9d39</errorID>
      <errorWord>，</errorWord>
      <group>L1_Word</group>
      <groupName>字词问题</groupName>
      <ability>L2_Typo</ability>
      <abilityName>字词错误</abilityName>
      <candidateList>
        <item>，由</item>
      </candidateList>
      <explain/>
      <paraID>1FB56D10</paraID>
      <start>15</start>
      <end>16</end>
      <status>unmodified</status>
      <modifiedWord/>
      <trackRevisions>false</trackRevisions>
    </reviewItem>
    <reviewItem>
      <errorID>4152614a-f146-41d6-a2df-23026632931f</errorID>
      <errorWord>相</errorWord>
      <group>L1_Word</group>
      <groupName>字词问题</groupName>
      <ability>L2_Typo</ability>
      <abilityName>字词错误</abilityName>
      <candidateList>
        <item>相应</item>
      </candidateList>
      <explain>〈动〉互相呼应或照应；相适应：这篇文章前后不～｜环境改变了，工作方法也要～地改变。</explain>
      <paraID>62A6BCB3</paraID>
      <start>39</start>
      <end>40</end>
      <status>unmodified</status>
      <modifiedWord/>
      <trackRevisions>false</trackRevisions>
    </reviewItem>
    <reviewItem>
      <errorID>e7310081-0ec8-4a40-be88-e1f98936b332</errorID>
      <errorWord>）要</errorWord>
      <group>L1_Word</group>
      <groupName>字词问题</groupName>
      <ability>L2_Typo</ability>
      <abilityName>字词错误</abilityName>
      <candidateList>
        <item>）</item>
      </candidateList>
      <explain/>
      <paraID>110C0251</paraID>
      <start>2</start>
      <end>4</end>
      <status>unmodified</status>
      <modifiedWord/>
      <trackRevisions>false</trackRevisions>
    </reviewItem>
    <reviewItem>
      <errorID>a9a1273f-3cd3-4c1d-99a6-ff16630341d7</errorID>
      <errorWord>》</errorWord>
      <group>L1_Word</group>
      <groupName>字词问题</groupName>
      <ability>L2_Typo</ability>
      <abilityName>字词错误</abilityName>
      <candidateList>
        <item>》和</item>
      </candidateList>
      <explain/>
      <paraID> 567B260</paraID>
      <start>155</start>
      <end>156</end>
      <status>unmodified</status>
      <modifiedWord/>
      <trackRevisions>false</trackRevisions>
    </reviewItem>
    <reviewItem>
      <errorID>bda376f3-74ea-401b-9952-63124167c647</errorID>
      <errorWord>胜</errorWord>
      <group>L1_Word</group>
      <groupName>字词问题</groupName>
      <ability>L2_Typo</ability>
      <abilityName>字词错误</abilityName>
      <candidateList>
        <item>胜区</item>
      </candidateList>
      <explain/>
      <paraID>2B47D8B6</paraID>
      <start>97</start>
      <end>98</end>
      <status>unmodified</status>
      <modifiedWord/>
      <trackRevisions>false</trackRevisions>
    </reviewItem>
    <reviewItem>
      <errorID>8bed0e53-3a86-4bec-b7dc-2db4a0763733</errorID>
      <errorWord>、就</errorWord>
      <group>L1_Punc</group>
      <groupName>标点问题</groupName>
      <ability>L2_Punc</ability>
      <abilityName>标点符号检查</abilityName>
      <candidateList>
        <item>，就</item>
      </candidateList>
      <explain>连接词前后不宜使用顿号，建议使用逗号。</explain>
      <paraID>1D034C4D</paraID>
      <start>102</start>
      <end>104</end>
      <status>unmodified</status>
      <modifiedWord/>
      <trackRevisions>false</trackRevisions>
    </reviewItem>
    <reviewItem>
      <errorID>289acf1f-aabc-48d6-99c6-0ad09592f7bb</errorID>
      <errorWord>直</errorWord>
      <group>L1_Word</group>
      <groupName>字词问题</groupName>
      <ability>L2_Typo</ability>
      <abilityName>字词错误</abilityName>
      <candidateList>
        <item>直接</item>
      </candidateList>
      <explain>〈形〉不经过中间事物的（跟“间接”相对）：～关系｜～领导｜～阅读外文书籍。</explain>
      <paraID>23CFF4F4</paraID>
      <start>39</start>
      <end>40</end>
      <status>unmodified</status>
      <modifiedWord/>
      <trackRevisions>false</trackRevisions>
    </reviewItem>
    <reviewItem>
      <errorID>e9e4fa75-2f00-4a55-b8c5-71dfb7be273d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5B68249D</paraID>
      <start>0</start>
      <end>3</end>
      <status>unmodified</status>
      <modifiedWord/>
      <trackRevisions>false</trackRevisions>
    </reviewItem>
    <reviewItem>
      <errorID>5ee49762-5536-448c-8d6c-1ad9972356dd</errorID>
      <errorWord>档</errorWord>
      <group>L1_Word</group>
      <groupName>字词问题</groupName>
      <ability>L2_Typo</ability>
      <abilityName>字词错误</abilityName>
      <candidateList>
        <item>挡</item>
      </candidateList>
      <explain>存在发音相同字词的误用。</explain>
      <paraID>422CD30D</paraID>
      <start>84</start>
      <end>85</end>
      <status>unmodified</status>
      <modifiedWord/>
      <trackRevisions>false</trackRevisions>
    </reviewItem>
    <reviewItem>
      <errorID>7c82499e-84e6-4e7a-810c-778a1e2a7abb</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7592103B</paraID>
      <start>263</start>
      <end>267</end>
      <status>unmodified</status>
      <modifiedWord/>
      <trackRevisions>false</trackRevisions>
    </reviewItem>
    <reviewItem>
      <errorID>c1c872c7-b250-49c6-9c94-0e514781691a</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7F85A529</paraID>
      <start>143</start>
      <end>147</end>
      <status>unmodified</status>
      <modifiedWord/>
      <trackRevisions>false</trackRevisions>
    </reviewItem>
    <reviewItem>
      <errorID>10125c7b-c153-4a13-be0b-85840d6defc6</errorID>
      <errorWord>程</errorWord>
      <group>L1_Word</group>
      <groupName>字词问题</groupName>
      <ability>L2_Typo</ability>
      <abilityName>字词错误</abilityName>
      <candidateList>
        <item>程中</item>
      </candidateList>
      <explain/>
      <paraID>2AE806E5</paraID>
      <start>79</start>
      <end>80</end>
      <status>unmodified</status>
      <modifiedWord/>
      <trackRevisions>false</trackRevisions>
    </reviewItem>
    <reviewItem>
      <errorID>e061ddb5-3088-4558-ba68-5618f1027428</errorID>
      <errorWord>(</errorWord>
      <group>L1_Format</group>
      <groupName>格式问题</groupName>
      <ability>L2_HalfPunc</ability>
      <abilityName>全半角检查</abilityName>
      <candidateList>
        <item>（</item>
      </candidateList>
      <explain>文本全半角错误。</explain>
      <paraID>16F39CF5</paraID>
      <start>66</start>
      <end>67</end>
      <status>unmodified</status>
      <modifiedWord/>
      <trackRevisions>false</trackRevisions>
    </reviewItem>
    <reviewItem>
      <errorID>f78f4183-4a05-48cf-98f7-abe923cbb0e2</errorID>
      <errorWord>)</errorWord>
      <group>L1_Format</group>
      <groupName>格式问题</groupName>
      <ability>L2_HalfPunc</ability>
      <abilityName>全半角检查</abilityName>
      <candidateList>
        <item>）</item>
      </candidateList>
      <explain>文本全半角错误。</explain>
      <paraID>16F39CF5</paraID>
      <start>69</start>
      <end>70</end>
      <status>unmodified</status>
      <modifiedWord/>
      <trackRevisions>false</trackRevisions>
    </reviewItem>
    <reviewItem>
      <errorID>f848f2b3-bd4a-46cf-a5b1-80d2a2a6c822</errorID>
      <errorWord>,</errorWord>
      <group>L1_Format</group>
      <groupName>格式问题</groupName>
      <ability>L2_HalfPunc</ability>
      <abilityName>全半角检查</abilityName>
      <candidateList>
        <item>，</item>
      </candidateList>
      <explain>文本全半角错误。</explain>
      <paraID>241363EE</paraID>
      <start>17</start>
      <end>18</end>
      <status>unmodified</status>
      <modifiedWord/>
      <trackRevisions>false</trackRevisions>
    </reviewItem>
    <reviewItem>
      <errorID>6ad1ad18-0afd-4c23-8352-9caf8afd5265</errorID>
      <errorWord>(</errorWord>
      <group>L1_Format</group>
      <groupName>格式问题</groupName>
      <ability>L2_HalfPunc</ability>
      <abilityName>全半角检查</abilityName>
      <candidateList>
        <item>（</item>
      </candidateList>
      <explain>文本全半角错误。</explain>
      <paraID>241363EE</paraID>
      <start>34</start>
      <end>35</end>
      <status>unmodified</status>
      <modifiedWord/>
      <trackRevisions>false</trackRevisions>
    </reviewItem>
    <reviewItem>
      <errorID>c0b23d80-12c7-47b7-a770-5a46d2a4b963</errorID>
      <errorWord>)</errorWord>
      <group>L1_Format</group>
      <groupName>格式问题</groupName>
      <ability>L2_HalfPunc</ability>
      <abilityName>全半角检查</abilityName>
      <candidateList>
        <item>）</item>
      </candidateList>
      <explain>文本全半角错误。</explain>
      <paraID>241363EE</paraID>
      <start>37</start>
      <end>38</end>
      <status>unmodified</status>
      <modifiedWord/>
      <trackRevisions>false</trackRevisions>
    </reviewItem>
    <reviewItem>
      <errorID>d04022a7-0717-4f4e-92e4-791724227d92</errorID>
      <errorWord>(</errorWord>
      <group>L1_Format</group>
      <groupName>格式问题</groupName>
      <ability>L2_HalfPunc</ability>
      <abilityName>全半角检查</abilityName>
      <candidateList>
        <item>（</item>
      </candidateList>
      <explain>文本全半角错误。</explain>
      <paraID>241363EE</paraID>
      <start>54</start>
      <end>55</end>
      <status>unmodified</status>
      <modifiedWord/>
      <trackRevisions>false</trackRevisions>
    </reviewItem>
    <reviewItem>
      <errorID>4a6103a9-0970-480a-a08d-8400a8db9338</errorID>
      <errorWord>)</errorWord>
      <group>L1_Format</group>
      <groupName>格式问题</groupName>
      <ability>L2_HalfPunc</ability>
      <abilityName>全半角检查</abilityName>
      <candidateList>
        <item>）</item>
      </candidateList>
      <explain>文本全半角错误。</explain>
      <paraID>241363EE</paraID>
      <start>57</start>
      <end>58</end>
      <status>unmodified</status>
      <modifiedWord/>
      <trackRevisions>false</trackRevisions>
    </reviewItem>
    <reviewItem>
      <errorID>91db3310-aa40-4ccf-9728-49ce8a7ac680</errorID>
      <errorWord>(</errorWord>
      <group>L1_Format</group>
      <groupName>格式问题</groupName>
      <ability>L2_HalfPunc</ability>
      <abilityName>全半角检查</abilityName>
      <candidateList>
        <item>（</item>
      </candidateList>
      <explain>文本全半角错误。</explain>
      <paraID>241363EE</paraID>
      <start>83</start>
      <end>84</end>
      <status>unmodified</status>
      <modifiedWord/>
      <trackRevisions>false</trackRevisions>
    </reviewItem>
    <reviewItem>
      <errorID>08dbd9a0-0ae5-4e33-962f-a83b4919dd65</errorID>
      <errorWord>)</errorWord>
      <group>L1_Format</group>
      <groupName>格式问题</groupName>
      <ability>L2_HalfPunc</ability>
      <abilityName>全半角检查</abilityName>
      <candidateList>
        <item>）</item>
      </candidateList>
      <explain>文本全半角错误。</explain>
      <paraID>241363EE</paraID>
      <start>86</start>
      <end>87</end>
      <status>unmodified</status>
      <modifiedWord/>
      <trackRevisions>false</trackRevisions>
    </reviewItem>
    <reviewItem>
      <errorID>10c4b2bf-ce04-4d53-ba06-9c7b17dd113f</errorID>
      <errorWord>,</errorWord>
      <group>L1_Format</group>
      <groupName>格式问题</groupName>
      <ability>L2_HalfPunc</ability>
      <abilityName>全半角检查</abilityName>
      <candidateList>
        <item>，</item>
      </candidateList>
      <explain>文本全半角错误。</explain>
      <paraID>690928C4</paraID>
      <start>58</start>
      <end>59</end>
      <status>unmodified</status>
      <modifiedWord/>
      <trackRevisions>false</trackRevisions>
    </reviewItem>
    <reviewItem>
      <errorID>0a16481c-8ab4-42bc-9950-ad40d24eec1f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1F6DD726</paraID>
      <start>28</start>
      <end>30</end>
      <status>unmodified</status>
      <modifiedWord/>
      <trackRevisions>false</trackRevisions>
    </reviewItem>
    <reviewItem>
      <errorID>79c0dff2-1fac-42f0-9679-00a3612ffbf2</errorID>
      <errorWord>窝风</errorWord>
      <group>L1_Word</group>
      <groupName>字词问题</groupName>
      <ability>L2_Typo</ability>
      <abilityName>字词错误</abilityName>
      <candidateList>
        <item>通风</item>
      </candidateList>
      <explain/>
      <paraID>417FC1C3</paraID>
      <start>35</start>
      <end>37</end>
      <status>unmodified</status>
      <modifiedWord/>
      <trackRevisions>false</trackRevisions>
    </reviewItem>
    <reviewItem>
      <errorID>3ed74bd6-9841-4b9c-8dd4-fdb068e9eec0</errorID>
      <errorWord>(</errorWord>
      <group>L1_Format</group>
      <groupName>格式问题</groupName>
      <ability>L2_HalfPunc</ability>
      <abilityName>全半角检查</abilityName>
      <candidateList>
        <item>（</item>
      </candidateList>
      <explain>文本全半角错误。</explain>
      <paraID>76B6D902</paraID>
      <start>6</start>
      <end>7</end>
      <status>unmodified</status>
      <modifiedWord/>
      <trackRevisions>false</trackRevisions>
    </reviewItem>
    <reviewItem>
      <errorID>9ac99809-f3b4-46bd-917a-b34061e5a19d</errorID>
      <errorWord>)</errorWord>
      <group>L1_Format</group>
      <groupName>格式问题</groupName>
      <ability>L2_HalfPunc</ability>
      <abilityName>全半角检查</abilityName>
      <candidateList>
        <item>）</item>
      </candidateList>
      <explain>文本全半角错误。</explain>
      <paraID>76B6D902</paraID>
      <start>8</start>
      <end>9</end>
      <status>unmodified</status>
      <modifiedWord/>
      <trackRevisions>false</trackRevisions>
    </reviewItem>
    <reviewItem>
      <errorID>72d51b89-6c96-4bc8-b742-7149e61d0dba</errorID>
      <errorWord>(</errorWord>
      <group>L1_Format</group>
      <groupName>格式问题</groupName>
      <ability>L2_HalfPunc</ability>
      <abilityName>全半角检查</abilityName>
      <candidateList>
        <item>（</item>
      </candidateList>
      <explain>文本全半角错误。</explain>
      <paraID>5FB02A66</paraID>
      <start>6</start>
      <end>7</end>
      <status>unmodified</status>
      <modifiedWord/>
      <trackRevisions>false</trackRevisions>
    </reviewItem>
    <reviewItem>
      <errorID>022a2397-88a7-445c-b515-215a52f72cda</errorID>
      <errorWord>)</errorWord>
      <group>L1_Format</group>
      <groupName>格式问题</groupName>
      <ability>L2_HalfPunc</ability>
      <abilityName>全半角检查</abilityName>
      <candidateList>
        <item>）</item>
      </candidateList>
      <explain>文本全半角错误。</explain>
      <paraID>5FB02A66</paraID>
      <start>8</start>
      <end>9</end>
      <status>unmodified</status>
      <modifiedWord/>
      <trackRevisions>false</trackRevisions>
    </reviewItem>
    <reviewItem>
      <errorID>2653eb8c-ef96-46fb-b77b-37a46f05a952</errorID>
      <errorWord>(</errorWord>
      <group>L1_Format</group>
      <groupName>格式问题</groupName>
      <ability>L2_HalfPunc</ability>
      <abilityName>全半角检查</abilityName>
      <candidateList>
        <item>（</item>
      </candidateList>
      <explain>文本全半角错误。</explain>
      <paraID> 457619A</paraID>
      <start>31</start>
      <end>32</end>
      <status>unmodified</status>
      <modifiedWord/>
      <trackRevisions>false</trackRevisions>
    </reviewItem>
    <reviewItem>
      <errorID>10b2b99b-b335-428a-a8c9-5f150ddef37e</errorID>
      <errorWord>)</errorWord>
      <group>L1_Format</group>
      <groupName>格式问题</groupName>
      <ability>L2_HalfPunc</ability>
      <abilityName>全半角检查</abilityName>
      <candidateList>
        <item>）</item>
      </candidateList>
      <explain>文本全半角错误。</explain>
      <paraID> 457619A</paraID>
      <start>33</start>
      <end>34</end>
      <status>unmodified</status>
      <modifiedWord/>
      <trackRevisions>false</trackRevisions>
    </reviewItem>
    <reviewItem>
      <errorID>4a6712ea-e71d-450b-894d-746806fba353</errorID>
      <errorWord>(</errorWord>
      <group>L1_Format</group>
      <groupName>格式问题</groupName>
      <ability>L2_HalfPunc</ability>
      <abilityName>全半角检查</abilityName>
      <candidateList>
        <item>（</item>
      </candidateList>
      <explain>文本全半角错误。</explain>
      <paraID>59BDEBD0</paraID>
      <start>15</start>
      <end>16</end>
      <status>unmodified</status>
      <modifiedWord/>
      <trackRevisions>false</trackRevisions>
    </reviewItem>
    <reviewItem>
      <errorID>608957a4-6ec8-4f27-8ed1-e465f17bdcdc</errorID>
      <errorWord>)</errorWord>
      <group>L1_Format</group>
      <groupName>格式问题</groupName>
      <ability>L2_HalfPunc</ability>
      <abilityName>全半角检查</abilityName>
      <candidateList>
        <item>）</item>
      </candidateList>
      <explain>文本全半角错误。</explain>
      <paraID>59BDEBD0</paraID>
      <start>17</start>
      <end>18</end>
      <status>unmodified</status>
      <modifiedWord/>
      <trackRevisions>false</trackRevisions>
    </reviewItem>
    <reviewItem>
      <errorID>1ffd33c6-7373-48ea-9dff-bf420a57e683</errorID>
      <errorWord>(</errorWord>
      <group>L1_Format</group>
      <groupName>格式问题</groupName>
      <ability>L2_HalfPunc</ability>
      <abilityName>全半角检查</abilityName>
      <candidateList>
        <item>（</item>
      </candidateList>
      <explain>文本全半角错误。</explain>
      <paraID>59BDEBD0</paraID>
      <start>36</start>
      <end>37</end>
      <status>unmodified</status>
      <modifiedWord/>
      <trackRevisions>false</trackRevisions>
    </reviewItem>
    <reviewItem>
      <errorID>a2b43a1f-de8b-4bdd-9737-95551d9be44a</errorID>
      <errorWord>)</errorWord>
      <group>L1_Format</group>
      <groupName>格式问题</groupName>
      <ability>L2_HalfPunc</ability>
      <abilityName>全半角检查</abilityName>
      <candidateList>
        <item>）</item>
      </candidateList>
      <explain>文本全半角错误。</explain>
      <paraID>59BDEBD0</paraID>
      <start>38</start>
      <end>39</end>
      <status>unmodified</status>
      <modifiedWord/>
      <trackRevisions>false</trackRevisions>
    </reviewItem>
    <reviewItem>
      <errorID>0db54bea-2d4a-4d4f-b9b0-7a0ae6de85a8</errorID>
      <errorWord>(</errorWord>
      <group>L1_Format</group>
      <groupName>格式问题</groupName>
      <ability>L2_HalfPunc</ability>
      <abilityName>全半角检查</abilityName>
      <candidateList>
        <item>（</item>
      </candidateList>
      <explain>文本全半角错误。</explain>
      <paraID>660C6693</paraID>
      <start>45</start>
      <end>46</end>
      <status>unmodified</status>
      <modifiedWord/>
      <trackRevisions>false</trackRevisions>
    </reviewItem>
    <reviewItem>
      <errorID>426e638c-fcba-4fde-9c15-e75b3aef70c2</errorID>
      <errorWord>)</errorWord>
      <group>L1_Format</group>
      <groupName>格式问题</groupName>
      <ability>L2_HalfPunc</ability>
      <abilityName>全半角检查</abilityName>
      <candidateList>
        <item>）</item>
      </candidateList>
      <explain>文本全半角错误。</explain>
      <paraID>660C6693</paraID>
      <start>47</start>
      <end>48</end>
      <status>unmodified</status>
      <modifiedWord/>
      <trackRevisions>false</trackRevisions>
    </reviewItem>
    <reviewItem>
      <errorID>16b8d54f-a57d-41c0-89b6-033e886d78b1</errorID>
      <errorWord>-</errorWord>
      <group>L1_Format</group>
      <groupName>格式问题</groupName>
      <ability>L2_HalfPunc</ability>
      <abilityName>全半角检查</abilityName>
      <candidateList>
        <item>－</item>
      </candidateList>
      <explain>文本全半角错误。</explain>
      <paraID>3D67A566</paraID>
      <start>38</start>
      <end>39</end>
      <status>unmodified</status>
      <modifiedWord/>
      <trackRevisions>false</trackRevisions>
    </reviewItem>
    <reviewItem>
      <errorID>ff465f3f-e7a6-45ef-a069-e18a9690e601</errorID>
      <errorWord>,</errorWord>
      <group>L1_Format</group>
      <groupName>格式问题</groupName>
      <ability>L2_HalfPunc</ability>
      <abilityName>全半角检查</abilityName>
      <candidateList>
        <item>，</item>
      </candidateList>
      <explain>文本全半角错误。</explain>
      <paraID>36F16A11</paraID>
      <start>98</start>
      <end>99</end>
      <status>unmodified</status>
      <modifiedWord/>
      <trackRevisions>false</trackRevisions>
    </reviewItem>
    <reviewItem>
      <errorID>6b5a5ce9-a409-4ad1-844c-94f537b42bd6</errorID>
      <errorWord>,</errorWord>
      <group>L1_Format</group>
      <groupName>格式问题</groupName>
      <ability>L2_HalfPunc</ability>
      <abilityName>全半角检查</abilityName>
      <candidateList>
        <item>，</item>
      </candidateList>
      <explain>文本全半角错误。</explain>
      <paraID>36F16A11</paraID>
      <start>107</start>
      <end>108</end>
      <status>unmodified</status>
      <modifiedWord/>
      <trackRevisions>false</trackRevisions>
    </reviewItem>
    <reviewItem>
      <errorID>bd302c89-eb62-45ec-acb6-0af39b4580c1</errorID>
      <errorWord>,</errorWord>
      <group>L1_Format</group>
      <groupName>格式问题</groupName>
      <ability>L2_HalfPunc</ability>
      <abilityName>全半角检查</abilityName>
      <candidateList>
        <item>，</item>
      </candidateList>
      <explain>文本全半角错误。</explain>
      <paraID>667ED0EF</paraID>
      <start>30</start>
      <end>31</end>
      <status>unmodified</status>
      <modifiedWord/>
      <trackRevisions>false</trackRevisions>
    </reviewItem>
    <reviewItem>
      <errorID>518d8ace-b07a-4d58-93e4-cc1312e23e6a</errorID>
      <errorWord>(</errorWord>
      <group>L1_Format</group>
      <groupName>格式问题</groupName>
      <ability>L2_HalfPunc</ability>
      <abilityName>全半角检查</abilityName>
      <candidateList>
        <item>（</item>
      </candidateList>
      <explain>文本全半角错误。</explain>
      <paraID>1643F141</paraID>
      <start>42</start>
      <end>43</end>
      <status>unmodified</status>
      <modifiedWord/>
      <trackRevisions>false</trackRevisions>
    </reviewItem>
    <reviewItem>
      <errorID>3a49da04-6518-4300-a0c2-f5074af59879</errorID>
      <errorWord>)</errorWord>
      <group>L1_Format</group>
      <groupName>格式问题</groupName>
      <ability>L2_HalfPunc</ability>
      <abilityName>全半角检查</abilityName>
      <candidateList>
        <item>）</item>
      </candidateList>
      <explain>文本全半角错误。</explain>
      <paraID>1643F141</paraID>
      <start>44</start>
      <end>45</end>
      <status>unmodified</status>
      <modifiedWord/>
      <trackRevisions>false</trackRevisions>
    </reviewItem>
    <reviewItem>
      <errorID>8cb39063-3782-4c3d-8a37-db3836a8c7f1</errorID>
      <errorWord>掺合</errorWord>
      <group>L1_Word</group>
      <groupName>字词问题</groupName>
      <ability>L2_Typo</ability>
      <abilityName>字词错误</abilityName>
      <candidateList>
        <item>掺和</item>
      </candidateList>
      <explain>（搀和）chān•huo〈动〉❶掺杂混合在一起：把黄土、石灰、沙土～起来铺在小路上。❷参加进去（多指搅乱、添麻烦）：这事你少～｜人家正忙着呢，别在这里瞎～。</explain>
      <paraID>478B1804</paraID>
      <start>20</start>
      <end>22</end>
      <status>unmodified</status>
      <modifiedWord/>
      <trackRevisions>false</trackRevisions>
    </reviewItem>
    <reviewItem>
      <errorID>564ee60c-f488-49e3-a7f4-aba58d9def42</errorID>
      <errorWord>-</errorWord>
      <group>L1_Format</group>
      <groupName>格式问题</groupName>
      <ability>L2_HalfPunc</ability>
      <abilityName>全半角检查</abilityName>
      <candidateList>
        <item>－</item>
      </candidateList>
      <explain>文本全半角错误。</explain>
      <paraID>478B1804</paraID>
      <start>39</start>
      <end>40</end>
      <status>unmodified</status>
      <modifiedWord/>
      <trackRevisions>false</trackRevisions>
    </reviewItem>
    <reviewItem>
      <errorID>7c6985a0-3a1f-41dc-ad44-7445ff312a92</errorID>
      <errorWord>-</errorWord>
      <group>L1_Format</group>
      <groupName>格式问题</groupName>
      <ability>L2_HalfPunc</ability>
      <abilityName>全半角检查</abilityName>
      <candidateList>
        <item>－</item>
      </candidateList>
      <explain>文本全半角错误。</explain>
      <paraID>478B1804</paraID>
      <start>42</start>
      <end>43</end>
      <status>unmodified</status>
      <modifiedWord/>
      <trackRevisions>false</trackRevisions>
    </reviewItem>
    <reviewItem>
      <errorID>55478f05-6dbb-4504-84cc-492e7a188847</errorID>
      <errorWord>称量系统</errorWord>
      <group>L1_Knowledge</group>
      <groupName>知识性问题</groupName>
      <ability>L2_Term</ability>
      <abilityName>专业术语</abilityName>
      <candidateList>
        <item>称重系统</item>
      </candidateList>
      <explain/>
      <paraID>478B1804</paraID>
      <start>43</start>
      <end>47</end>
      <status>unmodified</status>
      <modifiedWord/>
      <trackRevisions>false</trackRevisions>
    </reviewItem>
    <reviewItem>
      <errorID>ebe69cb1-c783-432b-a283-0b4f20175a28</errorID>
      <errorWord>，</errorWord>
      <group>L1_Word</group>
      <groupName>字词问题</groupName>
      <ability>L2_Typo</ability>
      <abilityName>字词错误</abilityName>
      <candidateList>
        <item>，以</item>
      </candidateList>
      <explain/>
      <paraID> BF9BF7F</paraID>
      <start>30</start>
      <end>31</end>
      <status>unmodified</status>
      <modifiedWord/>
      <trackRevisions>false</trackRevisions>
    </reviewItem>
    <reviewItem>
      <errorID>9d2edddf-54fd-4356-b183-25ffc105e696</errorID>
      <errorWord>(</errorWord>
      <group>L1_Format</group>
      <groupName>格式问题</groupName>
      <ability>L2_HalfPunc</ability>
      <abilityName>全半角检查</abilityName>
      <candidateList>
        <item>（</item>
      </candidateList>
      <explain>文本全半角错误。</explain>
      <paraID>348664FA</paraID>
      <start>83</start>
      <end>84</end>
      <status>unmodified</status>
      <modifiedWord/>
      <trackRevisions>false</trackRevisions>
    </reviewItem>
    <reviewItem>
      <errorID>07268e8e-7c8e-4e92-a8c1-1d65706e40ad</errorID>
      <errorWord>)</errorWord>
      <group>L1_Format</group>
      <groupName>格式问题</groupName>
      <ability>L2_HalfPunc</ability>
      <abilityName>全半角检查</abilityName>
      <candidateList>
        <item>）</item>
      </candidateList>
      <explain>文本全半角错误。</explain>
      <paraID>348664FA</paraID>
      <start>85</start>
      <end>86</end>
      <status>unmodified</status>
      <modifiedWord/>
      <trackRevisions>false</trackRevisions>
    </reviewItem>
    <reviewItem>
      <errorID>20cc640e-26fe-4229-b5ac-90971b2fa395</errorID>
      <errorWord>(</errorWord>
      <group>L1_Format</group>
      <groupName>格式问题</groupName>
      <ability>L2_HalfPunc</ability>
      <abilityName>全半角检查</abilityName>
      <candidateList>
        <item>（</item>
      </candidateList>
      <explain>文本全半角错误。</explain>
      <paraID>348664FA</paraID>
      <start>145</start>
      <end>146</end>
      <status>unmodified</status>
      <modifiedWord/>
      <trackRevisions>false</trackRevisions>
    </reviewItem>
    <reviewItem>
      <errorID>a19e7063-798d-4247-8ac2-4cd071049296</errorID>
      <errorWord>)</errorWord>
      <group>L1_Format</group>
      <groupName>格式问题</groupName>
      <ability>L2_HalfPunc</ability>
      <abilityName>全半角检查</abilityName>
      <candidateList>
        <item>）</item>
      </candidateList>
      <explain>文本全半角错误。</explain>
      <paraID>348664FA</paraID>
      <start>161</start>
      <end>162</end>
      <status>unmodified</status>
      <modifiedWord/>
      <trackRevisions>false</trackRevisions>
    </reviewItem>
    <reviewItem>
      <errorID>ce3d8f2c-f3e1-4f5f-9a0a-52c12763179f</errorID>
      <errorWord>;</errorWord>
      <group>L1_Format</group>
      <groupName>格式问题</groupName>
      <ability>L2_HalfPunc</ability>
      <abilityName>全半角检查</abilityName>
      <candidateList>
        <item>；</item>
      </candidateList>
      <explain>文本全半角错误。</explain>
      <paraID>3A1C81EE</paraID>
      <start>21</start>
      <end>22</end>
      <status>unmodified</status>
      <modifiedWord/>
      <trackRevisions>false</trackRevisions>
    </reviewItem>
    <reviewItem>
      <errorID>1d6e3491-82fe-41c1-94ec-2888108a1801</errorID>
      <errorWord>,</errorWord>
      <group>L1_Format</group>
      <groupName>格式问题</groupName>
      <ability>L2_HalfPunc</ability>
      <abilityName>全半角检查</abilityName>
      <candidateList>
        <item>，</item>
      </candidateList>
      <explain>文本全半角错误。</explain>
      <paraID>3A1C81EE</paraID>
      <start>55</start>
      <end>56</end>
      <status>unmodified</status>
      <modifiedWord/>
      <trackRevisions>false</trackRevisions>
    </reviewItem>
    <reviewItem>
      <errorID>60caa0c7-ae54-4743-a716-73e3e45f79ad</errorID>
      <errorWord>,</errorWord>
      <group>L1_Format</group>
      <groupName>格式问题</groupName>
      <ability>L2_HalfPunc</ability>
      <abilityName>全半角检查</abilityName>
      <candidateList>
        <item>，</item>
      </candidateList>
      <explain>文本全半角错误。</explain>
      <paraID>5DCDD798</paraID>
      <start>45</start>
      <end>46</end>
      <status>unmodified</status>
      <modifiedWord/>
      <trackRevisions>false</trackRevisions>
    </reviewItem>
    <reviewItem>
      <errorID>f7ed3b00-64b5-46ba-a60e-e1a7a4222be8</errorID>
      <errorWord>,</errorWord>
      <group>L1_Format</group>
      <groupName>格式问题</groupName>
      <ability>L2_HalfPunc</ability>
      <abilityName>全半角检查</abilityName>
      <candidateList>
        <item>，</item>
      </candidateList>
      <explain>文本全半角错误。</explain>
      <paraID>3CD4CB0B</paraID>
      <start>37</start>
      <end>38</end>
      <status>unmodified</status>
      <modifiedWord/>
      <trackRevisions>false</trackRevisions>
    </reviewItem>
    <reviewItem>
      <errorID>826c2a7c-3e2a-42a5-8cc3-72c336a0042d</errorID>
      <errorWord>系统应</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5123F63</paraID>
      <start>3</start>
      <end>6</end>
      <status>unmodified</status>
      <modifiedWord/>
      <trackRevisions>false</trackRevisions>
    </reviewItem>
    <reviewItem>
      <errorID>a8d14097-6bfb-4fbd-a09a-0d3e3ccb9dd3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5133C222</paraID>
      <start>13</start>
      <end>14</end>
      <status>unmodified</status>
      <modifiedWord/>
      <trackRevisions>false</trackRevisions>
    </reviewItem>
    <reviewItem>
      <errorID>9067784c-485a-4fa1-9f82-93bcb766ea7c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5133C222</paraID>
      <start>21</start>
      <end>22</end>
      <status>unmodified</status>
      <modifiedWord/>
      <trackRevisions>false</trackRevisions>
    </reviewItem>
    <reviewItem>
      <errorID>d299ad24-ea43-44ab-b6a4-0d0aba6cd0ab</errorID>
      <errorWord>,</errorWord>
      <group>L1_Format</group>
      <groupName>格式问题</groupName>
      <ability>L2_HalfPunc</ability>
      <abilityName>全半角检查</abilityName>
      <candidateList>
        <item>，</item>
      </candidateList>
      <explain>文本全半角错误。</explain>
      <paraID>41B0F850</paraID>
      <start>79</start>
      <end>80</end>
      <status>unmodified</status>
      <modifiedWord/>
      <trackRevisions>false</trackRevisions>
    </reviewItem>
    <reviewItem>
      <errorID>c9875b24-094a-4f03-9ecc-7c02a8189a0f</errorID>
      <errorWord>,</errorWord>
      <group>L1_Format</group>
      <groupName>格式问题</groupName>
      <ability>L2_HalfPunc</ability>
      <abilityName>全半角检查</abilityName>
      <candidateList>
        <item>，</item>
      </candidateList>
      <explain>文本全半角错误。</explain>
      <paraID>30817670</paraID>
      <start>17</start>
      <end>18</end>
      <status>unmodified</status>
      <modifiedWord/>
      <trackRevisions>false</trackRevisions>
    </reviewItem>
    <reviewItem>
      <errorID>c87c9f82-af56-4534-bdfc-34743d3723b5</errorID>
      <errorWord>(</errorWord>
      <group>L1_Format</group>
      <groupName>格式问题</groupName>
      <ability>L2_HalfPunc</ability>
      <abilityName>全半角检查</abilityName>
      <candidateList>
        <item>（</item>
      </candidateList>
      <explain>文本全半角错误。</explain>
      <paraID>2D73D270</paraID>
      <start>2</start>
      <end>3</end>
      <status>unmodified</status>
      <modifiedWord/>
      <trackRevisions>false</trackRevisions>
    </reviewItem>
    <reviewItem>
      <errorID>b1b3b074-5ad3-4113-9256-6fc7d09adddc</errorID>
      <errorWord>)</errorWord>
      <group>L1_Format</group>
      <groupName>格式问题</groupName>
      <ability>L2_HalfPunc</ability>
      <abilityName>全半角检查</abilityName>
      <candidateList>
        <item>）</item>
      </candidateList>
      <explain>文本全半角错误。</explain>
      <paraID>2D73D270</paraID>
      <start>4</start>
      <end>5</end>
      <status>unmodified</status>
      <modifiedWord/>
      <trackRevisions>false</trackRevisions>
    </reviewItem>
    <reviewItem>
      <errorID>cab84e24-2cea-4123-aa52-b9a8c3f085c1</errorID>
      <errorWord>，</errorWord>
      <group>L1_Word</group>
      <groupName>字词问题</groupName>
      <ability>L2_Typo</ability>
      <abilityName>字词错误</abilityName>
      <candidateList>
        <item>，对</item>
      </candidateList>
      <explain/>
      <paraID>4F5CCF14</paraID>
      <start>10</start>
      <end>11</end>
      <status>unmodified</status>
      <modifiedWord/>
      <trackRevisions>false</trackRevisions>
    </reviewItem>
    <reviewItem>
      <errorID>3e6853d8-fd89-4bb0-a3c9-405857212a20</errorID>
      <errorWord>减震</errorWord>
      <group>L1_Word</group>
      <groupName>字词问题</groupName>
      <ability>L2_Typo</ability>
      <abilityName>字词错误</abilityName>
      <candidateList>
        <item>减振</item>
      </candidateList>
      <explain>存在发音相同字词的误用。</explain>
      <paraID>4F5CCF14</paraID>
      <start>17</start>
      <end>19</end>
      <status>unmodified</status>
      <modifiedWord/>
      <trackRevisions>false</trackRevisions>
    </reviewItem>
    <reviewItem>
      <errorID>1acb008c-ce5e-4212-ae48-4f3c89ad4d65</errorID>
      <errorWord>现场勘察</errorWord>
      <group>L1_Word</group>
      <groupName>字词问题</groupName>
      <ability>L2_Typo</ability>
      <abilityName>字词错误</abilityName>
      <candidateList>
        <item>现场勘查</item>
      </candidateList>
      <explain/>
      <paraID>6F5BD4BA</paraID>
      <start>2</start>
      <end>6</end>
      <status>unmodified</status>
      <modifiedWord/>
      <trackRevisions>false</trackRevisions>
    </reviewItem>
    <reviewItem>
      <errorID>06418a26-1098-4994-9cfb-475d486bcd73</errorID>
      <errorWord>(</errorWord>
      <group>L1_Format</group>
      <groupName>格式问题</groupName>
      <ability>L2_HalfPunc</ability>
      <abilityName>全半角检查</abilityName>
      <candidateList>
        <item>（</item>
      </candidateList>
      <explain>文本全半角错误。</explain>
      <paraID>7DC31611</paraID>
      <start>100</start>
      <end>101</end>
      <status>unmodified</status>
      <modifiedWord/>
      <trackRevisions>false</trackRevisions>
    </reviewItem>
    <reviewItem>
      <errorID>4aab300b-e58e-428f-a3ec-f2fb82ef045a</errorID>
      <errorWord>)</errorWord>
      <group>L1_Format</group>
      <groupName>格式问题</groupName>
      <ability>L2_HalfPunc</ability>
      <abilityName>全半角检查</abilityName>
      <candidateList>
        <item>）</item>
      </candidateList>
      <explain>文本全半角错误。</explain>
      <paraID>7DC31611</paraID>
      <start>105</start>
      <end>106</end>
      <status>unmodified</status>
      <modifiedWord/>
      <trackRevisions>false</trackRevisions>
    </reviewItem>
    <reviewItem>
      <errorID>9cab23e2-784a-4131-9e2d-d2c61548456a</errorID>
      <errorWord>;</errorWord>
      <group>L1_Format</group>
      <groupName>格式问题</groupName>
      <ability>L2_HalfPunc</ability>
      <abilityName>全半角检查</abilityName>
      <candidateList>
        <item>；</item>
      </candidateList>
      <explain>文本全半角错误。</explain>
      <paraID>7DC31611</paraID>
      <start>179</start>
      <end>180</end>
      <status>unmodified</status>
      <modifiedWord/>
      <trackRevisions>false</trackRevisions>
    </reviewItem>
    <reviewItem>
      <errorID>5a783994-3a89-4d14-877e-27f62a6c8ba8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1CBB86BA</paraID>
      <start>15</start>
      <end>18</end>
      <status>unmodified</status>
      <modifiedWord/>
      <trackRevisions>false</trackRevisions>
    </reviewItem>
    <reviewItem>
      <errorID>4d92f789-11b5-41c1-a95a-2b4a6759189b</errorID>
      <errorWord>工</errorWord>
      <group>L1_Word</group>
      <groupName>字词问题</groupName>
      <ability>L2_Typo</ability>
      <abilityName>字词错误</abilityName>
      <candidateList>
        <item>共</item>
      </candidateList>
      <explain/>
      <paraID>7A8F5864</paraID>
      <start>0</start>
      <end>1</end>
      <status>unmodified</status>
      <modifiedWord/>
      <trackRevisions>false</trackRevisions>
    </reviewItem>
    <reviewItem>
      <errorID>93cc4628-54a3-414c-a27e-3c0aeaef68da</errorID>
      <errorWord>(</errorWord>
      <group>L1_Format</group>
      <groupName>格式问题</groupName>
      <ability>L2_HalfPunc</ability>
      <abilityName>全半角检查</abilityName>
      <candidateList>
        <item>（</item>
      </candidateList>
      <explain>文本全半角错误。</explain>
      <paraID>4E188DD1</paraID>
      <start>18</start>
      <end>19</end>
      <status>unmodified</status>
      <modifiedWord/>
      <trackRevisions>false</trackRevisions>
    </reviewItem>
    <reviewItem>
      <errorID>b32b19c0-cc70-40a2-81f1-c94a95952b53</errorID>
      <errorWord>)</errorWord>
      <group>L1_Format</group>
      <groupName>格式问题</groupName>
      <ability>L2_HalfPunc</ability>
      <abilityName>全半角检查</abilityName>
      <candidateList>
        <item>）</item>
      </candidateList>
      <explain>文本全半角错误。</explain>
      <paraID>4E188DD1</paraID>
      <start>23</start>
      <end>24</end>
      <status>unmodified</status>
      <modifiedWord/>
      <trackRevisions>false</trackRevisions>
    </reviewItem>
    <reviewItem>
      <errorID>34d0a594-6674-4b21-b232-47460c268bda</errorID>
      <errorWord>;</errorWord>
      <group>L1_Format</group>
      <groupName>格式问题</groupName>
      <ability>L2_HalfPunc</ability>
      <abilityName>全半角检查</abilityName>
      <candidateList>
        <item>；</item>
      </candidateList>
      <explain>文本全半角错误。</explain>
      <paraID>4E188DD1</paraID>
      <start>97</start>
      <end>98</end>
      <status>unmodified</status>
      <modifiedWord/>
      <trackRevisions>false</trackRevisions>
    </reviewItem>
    <reviewItem>
      <errorID>f9646107-3fb4-4a28-b064-cbf6a7bad27d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72A956AF</paraID>
      <start>4</start>
      <end>5</end>
      <status>unmodified</status>
      <modifiedWord/>
      <trackRevisions>false</trackRevisions>
    </reviewItem>
    <reviewItem>
      <errorID>a061a994-e93d-4528-9674-08da0093b690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122A26DE</paraID>
      <start>5</start>
      <end>6</end>
      <status>unmodified</status>
      <modifiedWord/>
      <trackRevisions>false</trackRevisions>
    </reviewItem>
    <reviewItem>
      <errorID>aa4c09d8-4d6f-479f-8944-2ed0672f9dc4</errorID>
      <errorWord>大</errorWord>
      <group>L1_Word</group>
      <groupName>字词问题</groupName>
      <ability>L2_Typo</ability>
      <abilityName>字词错误</abilityName>
      <candidateList>
        <item>的</item>
      </candidateList>
      <explain>“的”常用于连接修饰语与名词性中心语，表示属性、所属或描述。</explain>
      <paraID>36E6DBBA</paraID>
      <start>0</start>
      <end>1</end>
      <status>unmodified</status>
      <modifiedWord/>
      <trackRevisions>false</trackRevisions>
    </reviewItem>
    <reviewItem>
      <errorID>bb96676b-c93a-4b59-87a7-c2985fe0ae92</errorID>
      <errorWord>:</errorWord>
      <group>L1_Format</group>
      <groupName>格式问题</groupName>
      <ability>L2_HalfPunc</ability>
      <abilityName>全半角检查</abilityName>
      <candidateList>
        <item>：</item>
      </candidateList>
      <explain>文本全半角错误。</explain>
      <paraID>6743607E</paraID>
      <start>27</start>
      <end>28</end>
      <status>unmodified</status>
      <modifiedWord/>
      <trackRevisions>false</trackRevisions>
    </reviewItem>
    <reviewItem>
      <errorID>22ad907e-3a18-4651-a464-5d03c6be4689</errorID>
      <errorWord>效果</errorWord>
      <group>L1_Grammar</group>
      <groupName>语法问题</groupName>
      <ability>L2_Grammar</ability>
      <abilityName>语法错误</abilityName>
      <candidateList>
        <item>作用</item>
      </candidateList>
      <explain>“发挥～效果”搭配不当，建议修改为“发挥～作用”。</explain>
      <paraID>6743607E</paraID>
      <start>120</start>
      <end>122</end>
      <status>unmodified</status>
      <modifiedWord/>
      <trackRevisions>false</trackRevisions>
    </reviewItem>
    <reviewItem>
      <errorID>25065558-428b-4213-b500-c400e05c9580</errorID>
      <errorWord>(</errorWord>
      <group>L1_Format</group>
      <groupName>格式问题</groupName>
      <ability>L2_HalfPunc</ability>
      <abilityName>全半角检查</abilityName>
      <candidateList>
        <item>（</item>
      </candidateList>
      <explain>文本全半角错误。</explain>
      <paraID>535A37FF</paraID>
      <start>48</start>
      <end>49</end>
      <status>unmodified</status>
      <modifiedWord/>
      <trackRevisions>false</trackRevisions>
    </reviewItem>
    <reviewItem>
      <errorID>7e35cd44-710d-4240-aab6-ae9626c7cf0e</errorID>
      <errorWord>)</errorWord>
      <group>L1_Format</group>
      <groupName>格式问题</groupName>
      <ability>L2_HalfPunc</ability>
      <abilityName>全半角检查</abilityName>
      <candidateList>
        <item>）</item>
      </candidateList>
      <explain>文本全半角错误。</explain>
      <paraID>535A37FF</paraID>
      <start>56</start>
      <end>57</end>
      <status>unmodified</status>
      <modifiedWord/>
      <trackRevisions>false</trackRevisions>
    </reviewItem>
    <reviewItem>
      <errorID>741bf597-b6f9-4e9e-a62f-0849f39f16f8</errorID>
      <errorWord>场</errorWord>
      <group>L1_Word</group>
      <groupName>字词问题</groupName>
      <ability>L2_Typo</ability>
      <abilityName>字词错误</abilityName>
      <candidateList>
        <item>厂</item>
      </candidateList>
      <explain>存在发音相同字词的误用。</explain>
      <paraID>25705D13</paraID>
      <start>6</start>
      <end>7</end>
      <status>unmodified</status>
      <modifiedWord/>
      <trackRevisions>false</trackRevisions>
    </reviewItem>
    <reviewItem>
      <errorID>7af18ee9-7ab6-4c9c-83d7-1f0818c380ea</errorID>
      <errorWord>(</errorWord>
      <group>L1_Format</group>
      <groupName>格式问题</groupName>
      <ability>L2_HalfPunc</ability>
      <abilityName>全半角检查</abilityName>
      <candidateList>
        <item>（</item>
      </candidateList>
      <explain>文本全半角错误。</explain>
      <paraID>5CF1AA9B</paraID>
      <start>15</start>
      <end>16</end>
      <status>unmodified</status>
      <modifiedWord/>
      <trackRevisions>false</trackRevisions>
    </reviewItem>
    <reviewItem>
      <errorID>a922734c-39f0-43f5-86f4-1785530ed436</errorID>
      <errorWord>)</errorWord>
      <group>L1_Format</group>
      <groupName>格式问题</groupName>
      <ability>L2_HalfPunc</ability>
      <abilityName>全半角检查</abilityName>
      <candidateList>
        <item>）</item>
      </candidateList>
      <explain>文本全半角错误。</explain>
      <paraID>5CF1AA9B</paraID>
      <start>28</start>
      <end>29</end>
      <status>unmodified</status>
      <modifiedWord/>
      <trackRevisions>false</trackRevisions>
    </reviewItem>
    <reviewItem>
      <errorID>25d7b701-d4cd-4ab1-9670-892eecb4b46d</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3DEF9856</paraID>
      <start>0</start>
      <end>2</end>
      <status>unmodified</status>
      <modifiedWord/>
      <trackRevisions>false</trackRevisions>
    </reviewItem>
    <reviewItem>
      <errorID>1fb26eb8-d193-4c33-b7d6-3db64b4ade25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527F8EAA</paraID>
      <start>40</start>
      <end>41</end>
      <status>unmodified</status>
      <modifiedWord/>
      <trackRevisions>false</trackRevisions>
    </reviewItem>
    <reviewItem>
      <errorID>49fd1c96-5619-416c-bd73-011082bb5beb</errorID>
      <errorWord>完</errorWord>
      <group>L1_Word</group>
      <groupName>字词问题</groupName>
      <ability>L2_Typo</ability>
      <abilityName>字词错误</abilityName>
      <candidateList>
        <item>完成</item>
      </candidateList>
      <explain>〈动〉按照预期的目的结束；做成：～任务｜～作业｜计划完得成。</explain>
      <paraID>4ECEB71A</paraID>
      <start>29</start>
      <end>30</end>
      <status>unmodified</status>
      <modifiedWord/>
      <trackRevisions>false</trackRevisions>
    </reviewItem>
    <reviewItem>
      <errorID>199498fa-5cdf-48c8-b495-e9516b24d541</errorID>
      <errorWord>,</errorWord>
      <group>L1_Format</group>
      <groupName>格式问题</groupName>
      <ability>L2_HalfPunc</ability>
      <abilityName>全半角检查</abilityName>
      <candidateList>
        <item>，</item>
      </candidateList>
      <explain>文本全半角错误。</explain>
      <paraID>765F6C9D</paraID>
      <start>51</start>
      <end>52</end>
      <status>unmodified</status>
      <modifiedWord/>
      <trackRevisions>false</trackRevisions>
    </reviewItem>
    <reviewItem>
      <errorID>49dd1a63-57b1-4096-bb2f-56217c41fb5f</errorID>
      <errorWord>:</errorWord>
      <group>L1_Format</group>
      <groupName>格式问题</groupName>
      <ability>L2_HalfPunc</ability>
      <abilityName>全半角检查</abilityName>
      <candidateList>
        <item>：</item>
      </candidateList>
      <explain>文本全半角错误。</explain>
      <paraID>240F5058</paraID>
      <start>7</start>
      <end>8</end>
      <status>unmodified</status>
      <modifiedWord/>
      <trackRevisions>false</trackRevisions>
    </reviewItem>
    <reviewItem>
      <errorID>b7ac2528-da7d-44ab-bb23-662284855b47</errorID>
      <errorWord>:</errorWord>
      <group>L1_Format</group>
      <groupName>格式问题</groupName>
      <ability>L2_HalfPunc</ability>
      <abilityName>全半角检查</abilityName>
      <candidateList>
        <item>：</item>
      </candidateList>
      <explain>文本全半角错误。</explain>
      <paraID>7A8A03ED</paraID>
      <start>8</start>
      <end>9</end>
      <status>unmodified</status>
      <modifiedWord/>
      <trackRevisions>false</trackRevisions>
    </reviewItem>
    <reviewItem>
      <errorID>053c0f20-8585-405b-95d9-4a9abd57875a</errorID>
      <errorWord>个</errorWord>
      <group>L1_Knowledge</group>
      <groupName>知识性问题</groupName>
      <ability>L2_Knowledge</ability>
      <abilityName>其他知识</abilityName>
      <candidateList>
        <item>栋</item>
      </candidateList>
      <explain>请检查“个”是否为量词使用错误，建议修改为“栋”。</explain>
      <paraID>25698556</paraID>
      <start>39</start>
      <end>40</end>
      <status>unmodified</status>
      <modifiedWord/>
      <trackRevisions>false</trackRevisions>
    </reviewItem>
    <reviewItem>
      <errorID>7f749605-e71f-4233-a94d-c24ac9be47d4</errorID>
      <errorWord>一座</errorWord>
      <group>L1_Knowledge</group>
      <groupName>知识性问题</groupName>
      <ability>L2_Knowledge</ability>
      <abilityName>其他知识</abilityName>
      <candidateList>
        <item>一处</item>
      </candidateList>
      <explain/>
      <paraID>5A45D3F1</paraID>
      <start>15</start>
      <end>17</end>
      <status>unmodified</status>
      <modifiedWord/>
      <trackRevisions>false</trackRevisions>
    </reviewItem>
    <reviewItem>
      <errorID>f4faf863-d766-4a8a-8c96-b1e723ea6ffe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60C582D6</paraID>
      <start>47</start>
      <end>48</end>
      <status>unmodified</status>
      <modifiedWord/>
      <trackRevisions>false</trackRevisions>
    </reviewItem>
    <reviewItem>
      <errorID>39350144-a4bc-4dca-806d-fb69a25f11bb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60C582D6</paraID>
      <start>57</start>
      <end>58</end>
      <status>unmodified</status>
      <modifiedWord/>
      <trackRevisions>false</trackRevisions>
    </reviewItem>
    <reviewItem>
      <errorID>b65197cc-626a-490d-b866-a71690163c58</errorID>
      <errorWord>拌合</errorWord>
      <group>L1_Word</group>
      <groupName>字词问题</groupName>
      <ability>L2_Typo</ability>
      <abilityName>字词错误</abilityName>
      <candidateList>
        <item>拌和</item>
      </candidateList>
      <explain>存在发音相同字词的误用。</explain>
      <paraID>6E3A6657</paraID>
      <start>85</start>
      <end>87</end>
      <status>unmodified</status>
      <modifiedWord/>
      <trackRevisions>false</trackRevisions>
    </reviewItem>
    <reviewItem>
      <errorID>811cd8e5-cc92-4b9a-b1fb-7be2d682d7bd</errorID>
      <errorWord>拌和</errorWord>
      <group>L1_Word</group>
      <groupName>字词问题</groupName>
      <ability>L2_Typo</ability>
      <abilityName>字词错误</abilityName>
      <candidateList>
        <item>拌合</item>
      </candidateList>
      <explain/>
      <paraID>6E3A6657</paraID>
      <start>122</start>
      <end>124</end>
      <status>unmodified</status>
      <modifiedWord/>
      <trackRevisions>false</trackRevisions>
    </reviewItem>
    <reviewItem>
      <errorID>40220d66-d558-4b01-99ba-e9211ef8c22b</errorID>
      <errorWord>减小</errorWord>
      <group>L1_Word</group>
      <groupName>字词问题</groupName>
      <ability>L2_Typo</ability>
      <abilityName>字词错误</abilityName>
      <candidateList>
        <item>减少</item>
      </candidateList>
      <explain>〈动〉减去一部分：～人员｜～麻烦｜工作中的缺点～了。</explain>
      <paraID>6E3A6657</paraID>
      <start>147</start>
      <end>149</end>
      <status>unmodified</status>
      <modifiedWord/>
      <trackRevisions>false</trackRevisions>
    </reviewItem>
    <reviewItem>
      <errorID>c49ff5d7-7526-46ae-9702-9f0a5d2509dd</errorID>
      <errorWord>给料</errorWord>
      <group>L1_Word</group>
      <groupName>字词问题</groupName>
      <ability>L2_Typo</ability>
      <abilityName>字词错误</abilityName>
      <candidateList>
        <item>涂料</item>
      </candidateList>
      <explain/>
      <paraID>14D057E2</paraID>
      <start>0</start>
      <end>2</end>
      <status>unmodified</status>
      <modifiedWord/>
      <trackRevisions>false</trackRevisions>
    </reviewItem>
    <reviewItem>
      <errorID>2b1d702a-920f-4834-8fc2-d90fe47dc2a1</errorID>
      <errorWord>（</errorWord>
      <group>L1_Format</group>
      <groupName>格式问题</groupName>
      <ability>L2_HalfPunc</ability>
      <abilityName>全半角检查</abilityName>
      <candidateList>
        <item>(</item>
      </candidateList>
      <explain>文本全半角错误。</explain>
      <paraID>7658FFD0</paraID>
      <start>3</start>
      <end>4</end>
      <status>unmodified</status>
      <modifiedWord/>
      <trackRevisions>false</trackRevisions>
    </reviewItem>
    <reviewItem>
      <errorID>91cf40c4-80b6-4d60-9a7d-525ce7cfcf10</errorID>
      <errorWord>）</errorWord>
      <group>L1_Format</group>
      <groupName>格式问题</groupName>
      <ability>L2_HalfPunc</ability>
      <abilityName>全半角检查</abilityName>
      <candidateList>
        <item>)</item>
      </candidateList>
      <explain>文本全半角错误。</explain>
      <paraID>7658FFD0</paraID>
      <start>5</start>
      <end>6</end>
      <status>unmodified</status>
      <modifiedWord/>
      <trackRevisions>false</trackRevisions>
    </reviewItem>
    <reviewItem>
      <errorID>849a34b2-7e17-4df9-bc60-c7aa8b9a2594</errorID>
      <errorWord>年</errorWord>
      <group>L1_Word</group>
      <groupName>字词问题</groupName>
      <ability>L2_Typo</ability>
      <abilityName>字词错误</abilityName>
      <candidateList>
        <item>年度</item>
      </candidateList>
      <explain/>
      <paraID>4F4C2FB9</paraID>
      <start>0</start>
      <end>1</end>
      <status>unmodified</status>
      <modifiedWord/>
      <trackRevisions>false</trackRevisions>
    </reviewItem>
    <reviewItem>
      <errorID>74e57608-7176-489a-b864-dc01f7218709</errorID>
      <errorWord>》（试行）</errorWord>
      <group>L1_Word</group>
      <groupName>字词问题</groupName>
      <ability>L2_Typo</ability>
      <abilityName>字词错误</abilityName>
      <candidateList>
        <item>（试行）》</item>
      </candidateList>
      <explain/>
      <paraID>5180F60C</paraID>
      <start>43</start>
      <end>48</end>
      <status>unmodified</status>
      <modifiedWord/>
      <trackRevisions>false</trackRevisions>
    </reviewItem>
    <reviewItem>
      <errorID>5372079c-6d30-4f1a-b3fa-ac3b0ce87884</errorID>
      <errorWord>种</errorWord>
      <group>L1_Word</group>
      <groupName>字词问题</groupName>
      <ability>L2_Typo</ability>
      <abilityName>字词错误</abilityName>
      <candidateList>
        <item>类</item>
      </candidateList>
      <explain/>
      <paraID>608A307F</paraID>
      <start>5</start>
      <end>6</end>
      <status>unmodified</status>
      <modifiedWord/>
      <trackRevisions>false</trackRevisions>
    </reviewItem>
    <reviewItem>
      <errorID>3ac5ce62-33cd-4916-95fb-4ab97339cff0</errorID>
      <errorWord>(</errorWord>
      <group>L1_Format</group>
      <groupName>格式问题</groupName>
      <ability>L2_HalfPunc</ability>
      <abilityName>全半角检查</abilityName>
      <candidateList>
        <item>（</item>
      </candidateList>
      <explain>文本全半角错误。</explain>
      <paraID>7D21ED15</paraID>
      <start>146</start>
      <end>147</end>
      <status>unmodified</status>
      <modifiedWord/>
      <trackRevisions>false</trackRevisions>
    </reviewItem>
    <reviewItem>
      <errorID>4ba95922-a720-4295-b8ee-d3b17f9af833</errorID>
      <errorWord>)</errorWord>
      <group>L1_Format</group>
      <groupName>格式问题</groupName>
      <ability>L2_HalfPunc</ability>
      <abilityName>全半角检查</abilityName>
      <candidateList>
        <item>）</item>
      </candidateList>
      <explain>文本全半角错误。</explain>
      <paraID>7D21ED15</paraID>
      <start>149</start>
      <end>150</end>
      <status>unmodified</status>
      <modifiedWord/>
      <trackRevisions>false</trackRevisions>
    </reviewItem>
    <reviewItem>
      <errorID>2e7fcec3-7e7c-4ca5-bb2e-5d7183b9fa6b</errorID>
      <errorWord>(</errorWord>
      <group>L1_Format</group>
      <groupName>格式问题</groupName>
      <ability>L2_HalfPunc</ability>
      <abilityName>全半角检查</abilityName>
      <candidateList>
        <item>（</item>
      </candidateList>
      <explain>文本全半角错误。</explain>
      <paraID>7D21ED15</paraID>
      <start>181</start>
      <end>182</end>
      <status>unmodified</status>
      <modifiedWord/>
      <trackRevisions>false</trackRevisions>
    </reviewItem>
    <reviewItem>
      <errorID>03e2be68-3937-4e2a-ad3c-50076d3c5fae</errorID>
      <errorWord>)</errorWord>
      <group>L1_Format</group>
      <groupName>格式问题</groupName>
      <ability>L2_HalfPunc</ability>
      <abilityName>全半角检查</abilityName>
      <candidateList>
        <item>）</item>
      </candidateList>
      <explain>文本全半角错误。</explain>
      <paraID>7D21ED15</paraID>
      <start>184</start>
      <end>185</end>
      <status>unmodified</status>
      <modifiedWord/>
      <trackRevisions>false</trackRevisions>
    </reviewItem>
    <reviewItem>
      <errorID>fffbda24-2428-4030-a01e-d282ab4605bf</errorID>
      <errorWord>(</errorWord>
      <group>L1_Format</group>
      <groupName>格式问题</groupName>
      <ability>L2_HalfPunc</ability>
      <abilityName>全半角检查</abilityName>
      <candidateList>
        <item>（</item>
      </candidateList>
      <explain>文本全半角错误。</explain>
      <paraID>1B841F40</paraID>
      <start>33</start>
      <end>34</end>
      <status>unmodified</status>
      <modifiedWord/>
      <trackRevisions>false</trackRevisions>
    </reviewItem>
    <reviewItem>
      <errorID>0437a8be-df15-40dc-b2c3-f614ad12b41a</errorID>
      <errorWord>)</errorWord>
      <group>L1_Format</group>
      <groupName>格式问题</groupName>
      <ability>L2_HalfPunc</ability>
      <abilityName>全半角检查</abilityName>
      <candidateList>
        <item>）</item>
      </candidateList>
      <explain>文本全半角错误。</explain>
      <paraID>1B841F40</paraID>
      <start>45</start>
      <end>46</end>
      <status>unmodified</status>
      <modifiedWord/>
      <trackRevisions>false</trackRevisions>
    </reviewItem>
    <reviewItem>
      <errorID>9b426272-3617-4e88-ae35-d35928f5caeb</errorID>
      <errorWord>制标</errorWord>
      <group>L1_Word</group>
      <groupName>字词问题</groupName>
      <ability>L2_Typo</ability>
      <abilityName>字词错误</abilityName>
      <candidateList>
        <item>指标</item>
      </candidateList>
      <explain>存在发音相同字词的误用。</explain>
      <paraID> AE57000</paraID>
      <start>0</start>
      <end>2</end>
      <status>unmodified</status>
      <modifiedWord/>
      <trackRevisions>false</trackRevisions>
    </reviewItem>
    <reviewItem>
      <errorID>ea69d010-69d2-48a5-93a3-be258113d5e2</errorID>
      <errorWord>(</errorWord>
      <group>L1_Format</group>
      <groupName>格式问题</groupName>
      <ability>L2_HalfPunc</ability>
      <abilityName>全半角检查</abilityName>
      <candidateList>
        <item>（</item>
      </candidateList>
      <explain>文本全半角错误。</explain>
      <paraID>599A07F4</paraID>
      <start>72</start>
      <end>73</end>
      <status>unmodified</status>
      <modifiedWord/>
      <trackRevisions>false</trackRevisions>
    </reviewItem>
    <reviewItem>
      <errorID>f3aeda66-1207-4e22-8ef6-e099ba742c68</errorID>
      <errorWord>)</errorWord>
      <group>L1_Format</group>
      <groupName>格式问题</groupName>
      <ability>L2_HalfPunc</ability>
      <abilityName>全半角检查</abilityName>
      <candidateList>
        <item>）</item>
      </candidateList>
      <explain>文本全半角错误。</explain>
      <paraID>599A07F4</paraID>
      <start>85</start>
      <end>86</end>
      <status>unmodified</status>
      <modifiedWord/>
      <trackRevisions>false</trackRevisions>
    </reviewItem>
    <reviewItem>
      <errorID>dd12aaf1-3fa5-4cf3-9a52-ece8eb4178fe</errorID>
      <errorWord>)</errorWord>
      <group>L1_Format</group>
      <groupName>格式问题</groupName>
      <ability>L2_HalfPunc</ability>
      <abilityName>全半角检查</abilityName>
      <candidateList>
        <item>）</item>
      </candidateList>
      <explain>文本全半角错误。</explain>
      <paraID>6B451FE5</paraID>
      <start>31</start>
      <end>32</end>
      <status>unmodified</status>
      <modifiedWord/>
      <trackRevisions>false</trackRevisions>
    </reviewItem>
    <reviewItem>
      <errorID>0dcf40ed-c45c-4709-9386-ce7936f90343</errorID>
      <errorWord>污水厂</errorWord>
      <group>L1_Word</group>
      <groupName>字词问题</groupName>
      <ability>L2_Typo</ability>
      <abilityName>字词错误</abilityName>
      <candidateList>
        <item>污水处理厂</item>
      </candidateList>
      <explain/>
      <paraID>30D2B18D</paraID>
      <start>0</start>
      <end>3</end>
      <status>unmodified</status>
      <modifiedWord/>
      <trackRevisions>false</trackRevisions>
    </reviewItem>
    <reviewItem>
      <errorID>5d72bd9f-a834-4812-8911-15006edfbc12</errorID>
      <errorWord>(</errorWord>
      <group>L1_Punc</group>
      <groupName>标点问题</groupName>
      <ability>L2_Punc</ability>
      <abilityName>标点符号检查</abilityName>
      <candidateList/>
      <explain/>
      <paraID>3F214336</paraID>
      <start>44</start>
      <end>45</end>
      <status>unmodified</status>
      <modifiedWord/>
      <trackRevisions>false</trackRevisions>
    </reviewItem>
    <reviewItem>
      <errorID>c2a88fa1-190d-484b-b660-31279b91317b</errorID>
      <errorWord>超过的</errorWord>
      <group>L1_Word</group>
      <groupName>字词问题</groupName>
      <ability>L2_Typo</ability>
      <abilityName>字词错误</abilityName>
      <candidateList>
        <item>超过</item>
      </candidateList>
      <explain/>
      <paraID>47A8AD58</paraID>
      <start>28</start>
      <end>31</end>
      <status>unmodified</status>
      <modifiedWord/>
      <trackRevisions>false</trackRevisions>
    </reviewItem>
    <reviewItem>
      <errorID>56697817-be3a-4777-8a34-4d9ecf99d55f</errorID>
      <errorWord>(</errorWord>
      <group>L1_Format</group>
      <groupName>格式问题</groupName>
      <ability>L2_HalfPunc</ability>
      <abilityName>全半角检查</abilityName>
      <candidateList>
        <item>（</item>
      </candidateList>
      <explain>文本全半角错误。</explain>
      <paraID>25E061BC</paraID>
      <start>145</start>
      <end>146</end>
      <status>unmodified</status>
      <modifiedWord/>
      <trackRevisions>false</trackRevisions>
    </reviewItem>
    <reviewItem>
      <errorID>dd38b006-167d-45ae-8014-7130e6c6237d</errorID>
      <errorWord>)</errorWord>
      <group>L1_Format</group>
      <groupName>格式问题</groupName>
      <ability>L2_HalfPunc</ability>
      <abilityName>全半角检查</abilityName>
      <candidateList>
        <item>）</item>
      </candidateList>
      <explain>文本全半角错误。</explain>
      <paraID>25E061BC</paraID>
      <start>158</start>
      <end>159</end>
      <status>unmodified</status>
      <modifiedWord/>
      <trackRevisions>false</trackRevisions>
    </reviewItem>
    <reviewItem>
      <errorID>a349fd21-05bf-4f75-ba3d-54f0314e8cfd</errorID>
      <errorWord>(</errorWord>
      <group>L1_Format</group>
      <groupName>格式问题</groupName>
      <ability>L2_HalfPunc</ability>
      <abilityName>全半角检查</abilityName>
      <candidateList>
        <item>（</item>
      </candidateList>
      <explain>文本全半角错误。</explain>
      <paraID>7798B6B4</paraID>
      <start>142</start>
      <end>143</end>
      <status>unmodified</status>
      <modifiedWord/>
      <trackRevisions>false</trackRevisions>
    </reviewItem>
    <reviewItem>
      <errorID>647bc82b-950b-43a9-aea2-cb67f8aa3ca3</errorID>
      <errorWord>)</errorWord>
      <group>L1_Format</group>
      <groupName>格式问题</groupName>
      <ability>L2_HalfPunc</ability>
      <abilityName>全半角检查</abilityName>
      <candidateList>
        <item>）</item>
      </candidateList>
      <explain>文本全半角错误。</explain>
      <paraID>7798B6B4</paraID>
      <start>156</start>
      <end>157</end>
      <status>unmodified</status>
      <modifiedWord/>
      <trackRevisions>false</trackRevisions>
    </reviewItem>
    <reviewItem>
      <errorID>8a8307c1-d741-4078-970d-e5ab577dc8ec</errorID>
      <errorWord>&lt;</errorWord>
      <group>L1_Format</group>
      <groupName>格式问题</groupName>
      <ability>L2_HalfPunc</ability>
      <abilityName>全半角检查</abilityName>
      <candidateList>
        <item>〈</item>
      </candidateList>
      <explain>文本全半角错误。</explain>
      <paraID>161A9BDC</paraID>
      <start>10</start>
      <end>11</end>
      <status>unmodified</status>
      <modifiedWord/>
      <trackRevisions>false</trackRevisions>
    </reviewItem>
    <reviewItem>
      <errorID>535ea024-e813-4733-b08a-175cbc0ab556</errorID>
      <errorWord>&gt;的通知》</errorWord>
      <group>L1_Punc</group>
      <groupName>标点问题</groupName>
      <ability>L2_Punc</ability>
      <abilityName>标点符号检查</abilityName>
      <candidateList>
        <item>〉的通知》</item>
      </candidateList>
      <explain/>
      <paraID>161A9BDC</paraID>
      <start>27</start>
      <end>32</end>
      <status>unmodified</status>
      <modifiedWord/>
      <trackRevisions>false</trackRevisions>
    </reviewItem>
    <reviewItem>
      <errorID>30e760da-c06f-446c-b4ee-f4cd5eb45837</errorID>
      <errorWord>[2021]</errorWord>
      <group>L1_Punc</group>
      <groupName>标点问题</groupName>
      <ability>L2_Punc</ability>
      <abilityName>标点符号检查</abilityName>
      <candidateList>
        <item>〔2021〕</item>
      </candidateList>
      <explain/>
      <paraID>161A9BDC</paraID>
      <start>35</start>
      <end>41</end>
      <status>unmodified</status>
      <modifiedWord/>
      <trackRevisions>false</trackRevisions>
    </reviewItem>
    <reviewItem>
      <errorID>a6be9b8b-cd5a-4b69-accc-8f202520e369</errorID>
      <errorWord>是颗粒物</errorWord>
      <group>L1_Knowledge</group>
      <groupName>知识性问题</groupName>
      <ability>L2_Term</ability>
      <abilityName>专业术语</abilityName>
      <candidateList>
        <item>细颗粒物</item>
      </candidateList>
      <explain/>
      <paraID>14074D26</paraID>
      <start>32</start>
      <end>36</end>
      <status>unmodified</status>
      <modifiedWord/>
      <trackRevisions>false</trackRevisions>
    </reviewItem>
    <reviewItem>
      <errorID>5612f9f8-3338-4fb4-946f-13f4f06d0bf4</errorID>
      <errorWord>(</errorWord>
      <group>L1_Format</group>
      <groupName>格式问题</groupName>
      <ability>L2_HalfPunc</ability>
      <abilityName>全半角检查</abilityName>
      <candidateList>
        <item>（</item>
      </candidateList>
      <explain>文本全半角错误。</explain>
      <paraID>6EC31C20</paraID>
      <start>15</start>
      <end>16</end>
      <status>unmodified</status>
      <modifiedWord/>
      <trackRevisions>false</trackRevisions>
    </reviewItem>
    <reviewItem>
      <errorID>27712ea5-1f41-40e4-8ced-95d73df3c703</errorID>
      <errorWord>)</errorWord>
      <group>L1_Format</group>
      <groupName>格式问题</groupName>
      <ability>L2_HalfPunc</ability>
      <abilityName>全半角检查</abilityName>
      <candidateList>
        <item>）</item>
      </candidateList>
      <explain>文本全半角错误。</explain>
      <paraID>6EC31C20</paraID>
      <start>22</start>
      <end>23</end>
      <status>unmodified</status>
      <modifiedWord/>
      <trackRevisions>false</trackRevisions>
    </reviewItem>
    <reviewItem>
      <errorID>26491783-17d1-4fe8-a053-f660653427f8</errorID>
      <errorWord>老量</errorWord>
      <group>L1_Word</group>
      <groupName>字词问题</groupName>
      <ability>L2_Typo</ability>
      <abilityName>字词错误</abilityName>
      <candidateList>
        <item>力量</item>
      </candidateList>
      <explain/>
      <paraID>5CB7BFDE</paraID>
      <start>3</start>
      <end>5</end>
      <status>unmodified</status>
      <modifiedWord/>
      <trackRevisions>false</trackRevisions>
    </reviewItem>
    <reviewItem>
      <errorID>b8a2b7a2-b614-42ca-9f71-b8fa51bfeae8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5BCB375F</paraID>
      <start>0</start>
      <end>2</end>
      <status>unmodified</status>
      <modifiedWord/>
      <trackRevisions>false</trackRevisions>
    </reviewItem>
    <reviewItem>
      <errorID>747879a5-927f-4eb0-b424-cfd2e8cd01d8</errorID>
      <errorWord>灌筑</errorWord>
      <group>L1_Word</group>
      <groupName>字词问题</groupName>
      <ability>L2_Typo</ability>
      <abilityName>字词错误</abilityName>
      <candidateList>
        <item>灌注</item>
      </candidateList>
      <explain>〈动〉浇进；注入：把铁水～到砂型里，凝固后就成了铸件◇她把心血全都～在孩子的身上。</explain>
      <paraID>49E68B55</paraID>
      <start>128</start>
      <end>130</end>
      <status>unmodified</status>
      <modifiedWord/>
      <trackRevisions>false</trackRevisions>
    </reviewItem>
    <reviewItem>
      <errorID>b51c924b-a46b-47f5-b707-6117927c44cf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5CFC04B0</paraID>
      <start>0</start>
      <end>2</end>
      <status>unmodified</status>
      <modifiedWord/>
      <trackRevisions>false</trackRevisions>
    </reviewItem>
    <reviewItem>
      <errorID>eeffaf94-a000-4612-99f2-2dfd69830e39</errorID>
      <errorWord>法律、法规</errorWord>
      <group>L1_Word</group>
      <groupName>字词问题</groupName>
      <ability>L2_Typo</ability>
      <abilityName>字词错误</abilityName>
      <candidateList>
        <item>法律法规</item>
      </candidateList>
      <explain/>
      <paraID>7CD538B1</paraID>
      <start>63</start>
      <end>68</end>
      <status>unmodified</status>
      <modifiedWord/>
      <trackRevisions>false</trackRevisions>
    </reviewItem>
    <reviewItem>
      <errorID>50258d62-bf26-41e9-8af5-a95ee290ce94</errorID>
      <errorWord>工地</errorWord>
      <group>L1_Word</group>
      <groupName>字词问题</groupName>
      <ability>L2_Typo</ability>
      <abilityName>字词错误</abilityName>
      <candidateList>
        <item>场地</item>
      </candidateList>
      <explain/>
      <paraID>69C63C28</paraID>
      <start>5</start>
      <end>7</end>
      <status>unmodified</status>
      <modifiedWord/>
      <trackRevisions>false</trackRevisions>
    </reviewItem>
    <reviewItem>
      <errorID>fea8001d-bd63-421f-852b-d61011f99474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11FF8D94</paraID>
      <start>0</start>
      <end>2</end>
      <status>unmodified</status>
      <modifiedWord/>
      <trackRevisions>false</trackRevisions>
    </reviewItem>
    <reviewItem>
      <errorID>0dd15d76-5f2f-4cc7-85e3-77ea1bbd749c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347BE47B</paraID>
      <start>0</start>
      <end>2</end>
      <status>unmodified</status>
      <modifiedWord/>
      <trackRevisions>false</trackRevisions>
    </reviewItem>
    <reviewItem>
      <errorID>88b8b702-993b-4dda-9a5b-dc9adfc7906a</errorID>
      <errorWord>，如</errorWord>
      <group>L1_Word</group>
      <groupName>字词问题</groupName>
      <ability>L2_Typo</ability>
      <abilityName>字词错误</abilityName>
      <candidateList>
        <item>，</item>
      </candidateList>
      <explain/>
      <paraID>4F32C0E3</paraID>
      <start>53</start>
      <end>55</end>
      <status>unmodified</status>
      <modifiedWord/>
      <trackRevisions>false</trackRevisions>
    </reviewItem>
    <reviewItem>
      <errorID>edbce6e0-9cb3-4c45-ab3e-a15898f10333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5FD1D3DA</paraID>
      <start>0</start>
      <end>2</end>
      <status>unmodified</status>
      <modifiedWord/>
      <trackRevisions>false</trackRevisions>
    </reviewItem>
    <reviewItem>
      <errorID>66854cb3-adce-4b14-975f-4bad281cb453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4111615B</paraID>
      <start>0</start>
      <end>2</end>
      <status>unmodified</status>
      <modifiedWord/>
      <trackRevisions>false</trackRevisions>
    </reviewItem>
    <reviewItem>
      <errorID>801f6e30-ac2b-4910-bd03-8bea76494f00</errorID>
      <errorWord>(</errorWord>
      <group>L1_Format</group>
      <groupName>格式问题</groupName>
      <ability>L2_HalfPunc</ability>
      <abilityName>全半角检查</abilityName>
      <candidateList>
        <item>（</item>
      </candidateList>
      <explain>文本全半角错误。</explain>
      <paraID>556CB3AD</paraID>
      <start>16</start>
      <end>17</end>
      <status>unmodified</status>
      <modifiedWord/>
      <trackRevisions>false</trackRevisions>
    </reviewItem>
    <reviewItem>
      <errorID>6d1b53cb-13c5-42fc-8fde-bbf765d49573</errorID>
      <errorWord>)</errorWord>
      <group>L1_Format</group>
      <groupName>格式问题</groupName>
      <ability>L2_HalfPunc</ability>
      <abilityName>全半角检查</abilityName>
      <candidateList>
        <item>）</item>
      </candidateList>
      <explain>文本全半角错误。</explain>
      <paraID>556CB3AD</paraID>
      <start>22</start>
      <end>23</end>
      <status>unmodified</status>
      <modifiedWord/>
      <trackRevisions>false</trackRevisions>
    </reviewItem>
    <reviewItem>
      <errorID>28ae8411-6453-4d5d-a8b8-879ced30c68b</errorID>
      <errorWord>(</errorWord>
      <group>L1_Format</group>
      <groupName>格式问题</groupName>
      <ability>L2_HalfPunc</ability>
      <abilityName>全半角检查</abilityName>
      <candidateList>
        <item>（</item>
      </candidateList>
      <explain>文本全半角错误。</explain>
      <paraID>284226F0</paraID>
      <start>16</start>
      <end>17</end>
      <status>unmodified</status>
      <modifiedWord/>
      <trackRevisions>false</trackRevisions>
    </reviewItem>
    <reviewItem>
      <errorID>16054a3d-1f1e-4838-a613-f1413afc54df</errorID>
      <errorWord>)</errorWord>
      <group>L1_Format</group>
      <groupName>格式问题</groupName>
      <ability>L2_HalfPunc</ability>
      <abilityName>全半角检查</abilityName>
      <candidateList>
        <item>）</item>
      </candidateList>
      <explain>文本全半角错误。</explain>
      <paraID>284226F0</paraID>
      <start>22</start>
      <end>23</end>
      <status>unmodified</status>
      <modifiedWord/>
      <trackRevisions>false</trackRevisions>
    </reviewItem>
    <reviewItem>
      <errorID>445737fc-55d0-478a-a397-b8918917658d</errorID>
      <errorWord>（</errorWord>
      <group>L1_Format</group>
      <groupName>格式问题</groupName>
      <ability>L2_HalfPunc</ability>
      <abilityName>全半角检查</abilityName>
      <candidateList>
        <item>(</item>
      </candidateList>
      <explain>文本全半角错误。</explain>
      <paraID> F42B01B</paraID>
      <start>0</start>
      <end>1</end>
      <status>unmodified</status>
      <modifiedWord/>
      <trackRevisions>false</trackRevisions>
    </reviewItem>
    <reviewItem>
      <errorID>3aa27c5c-7792-459a-a74b-267be5fa1c6f</errorID>
      <errorWord>）</errorWord>
      <group>L1_Format</group>
      <groupName>格式问题</groupName>
      <ability>L2_HalfPunc</ability>
      <abilityName>全半角检查</abilityName>
      <candidateList>
        <item>)</item>
      </candidateList>
      <explain>文本全半角错误。</explain>
      <paraID> F42B01B</paraID>
      <start>6</start>
      <end>7</end>
      <status>unmodified</status>
      <modifiedWord/>
      <trackRevisions>false</trackRevisions>
    </reviewItem>
    <reviewItem>
      <errorID>969661e1-69d4-4e51-8704-58bff3cd0f91</errorID>
      <errorWord>（</errorWord>
      <group>L1_Format</group>
      <groupName>格式问题</groupName>
      <ability>L2_HalfPunc</ability>
      <abilityName>全半角检查</abilityName>
      <candidateList>
        <item>(</item>
      </candidateList>
      <explain>文本全半角错误。</explain>
      <paraID>6981654D</paraID>
      <start>0</start>
      <end>1</end>
      <status>unmodified</status>
      <modifiedWord/>
      <trackRevisions>false</trackRevisions>
    </reviewItem>
    <reviewItem>
      <errorID>dc045ac7-968d-4467-b7b9-930e93c0e012</errorID>
      <errorWord>）</errorWord>
      <group>L1_Format</group>
      <groupName>格式问题</groupName>
      <ability>L2_HalfPunc</ability>
      <abilityName>全半角检查</abilityName>
      <candidateList>
        <item>)</item>
      </candidateList>
      <explain>文本全半角错误。</explain>
      <paraID>6981654D</paraID>
      <start>4</start>
      <end>5</end>
      <status>unmodified</status>
      <modifiedWord/>
      <trackRevisions>false</trackRevisions>
    </reviewItem>
    <reviewItem>
      <errorID>8e481672-dc2d-499a-91bb-1b18cf4819a8</errorID>
      <errorWord>（</errorWord>
      <group>L1_Format</group>
      <groupName>格式问题</groupName>
      <ability>L2_HalfPunc</ability>
      <abilityName>全半角检查</abilityName>
      <candidateList>
        <item>(</item>
      </candidateList>
      <explain>文本全半角错误。</explain>
      <paraID>5C5E7D88</paraID>
      <start>0</start>
      <end>1</end>
      <status>unmodified</status>
      <modifiedWord/>
      <trackRevisions>false</trackRevisions>
    </reviewItem>
    <reviewItem>
      <errorID>1a4f9e9b-53e9-43e7-acca-17dbe812edaa</errorID>
      <errorWord>）</errorWord>
      <group>L1_Format</group>
      <groupName>格式问题</groupName>
      <ability>L2_HalfPunc</ability>
      <abilityName>全半角检查</abilityName>
      <candidateList>
        <item>)</item>
      </candidateList>
      <explain>文本全半角错误。</explain>
      <paraID>5C5E7D88</paraID>
      <start>2</start>
      <end>3</end>
      <status>unmodified</status>
      <modifiedWord/>
      <trackRevisions>false</trackRevisions>
    </reviewItem>
    <reviewItem>
      <errorID>d266ba9b-e7c8-4569-9725-54fd562c6014</errorID>
      <errorWord>（</errorWord>
      <group>L1_Format</group>
      <groupName>格式问题</groupName>
      <ability>L2_HalfPunc</ability>
      <abilityName>全半角检查</abilityName>
      <candidateList>
        <item>(</item>
      </candidateList>
      <explain>文本全半角错误。</explain>
      <paraID> CCE730A</paraID>
      <start>0</start>
      <end>1</end>
      <status>unmodified</status>
      <modifiedWord/>
      <trackRevisions>false</trackRevisions>
    </reviewItem>
    <reviewItem>
      <errorID>3ae68d34-c1a5-41e7-afd1-1eacb4e2fae8</errorID>
      <errorWord>）</errorWord>
      <group>L1_Format</group>
      <groupName>格式问题</groupName>
      <ability>L2_HalfPunc</ability>
      <abilityName>全半角检查</abilityName>
      <candidateList>
        <item>)</item>
      </candidateList>
      <explain>文本全半角错误。</explain>
      <paraID> CCE730A</paraID>
      <start>6</start>
      <end>7</end>
      <status>unmodified</status>
      <modifiedWord/>
      <trackRevisions>false</trackRevisions>
    </reviewItem>
    <reviewItem>
      <errorID>cb9aacf4-b576-4d52-9d96-da55b51bd474</errorID>
      <errorWord>（</errorWord>
      <group>L1_Format</group>
      <groupName>格式问题</groupName>
      <ability>L2_HalfPunc</ability>
      <abilityName>全半角检查</abilityName>
      <candidateList>
        <item>(</item>
      </candidateList>
      <explain>文本全半角错误。</explain>
      <paraID>2BEEE5B1</paraID>
      <start>0</start>
      <end>1</end>
      <status>unmodified</status>
      <modifiedWord/>
      <trackRevisions>false</trackRevisions>
    </reviewItem>
    <reviewItem>
      <errorID>afb3405d-640a-4660-a0f5-25d670d86089</errorID>
      <errorWord>）</errorWord>
      <group>L1_Format</group>
      <groupName>格式问题</groupName>
      <ability>L2_HalfPunc</ability>
      <abilityName>全半角检查</abilityName>
      <candidateList>
        <item>)</item>
      </candidateList>
      <explain>文本全半角错误。</explain>
      <paraID>2BEEE5B1</paraID>
      <start>5</start>
      <end>6</end>
      <status>unmodified</status>
      <modifiedWord/>
      <trackRevisions>false</trackRevisions>
    </reviewItem>
    <reviewItem>
      <errorID>6c1f9954-1092-480c-bafe-fdf3b33580f6</errorID>
      <errorWord>.</errorWord>
      <group>L1_Punc</group>
      <groupName>标点问题</groupName>
      <ability>L2_Punc</ability>
      <abilityName>标点符号检查</abilityName>
      <candidateList/>
      <explain/>
      <paraID>33354713</paraID>
      <start>0</start>
      <end>1</end>
      <status>unmodified</status>
      <modifiedWord/>
      <trackRevisions>false</trackRevisions>
    </reviewItem>
    <reviewItem>
      <errorID>8e111572-4af5-4233-8a5c-6dfacfe4272c</errorID>
      <errorWord>（</errorWord>
      <group>L1_Format</group>
      <groupName>格式问题</groupName>
      <ability>L2_HalfPunc</ability>
      <abilityName>全半角检查</abilityName>
      <candidateList>
        <item>(</item>
      </candidateList>
      <explain>文本全半角错误。</explain>
      <paraID>333F83EC</paraID>
      <start>5</start>
      <end>6</end>
      <status>unmodified</status>
      <modifiedWord/>
      <trackRevisions>false</trackRevisions>
    </reviewItem>
    <reviewItem>
      <errorID>4bab981a-0486-479b-8a50-e1bef03f92d6</errorID>
      <errorWord>）</errorWord>
      <group>L1_Format</group>
      <groupName>格式问题</groupName>
      <ability>L2_HalfPunc</ability>
      <abilityName>全半角检查</abilityName>
      <candidateList>
        <item>)</item>
      </candidateList>
      <explain>文本全半角错误。</explain>
      <paraID>333F83EC</paraID>
      <start>9</start>
      <end>10</end>
      <status>unmodified</status>
      <modifiedWord/>
      <trackRevisions>false</trackRevisions>
    </reviewItem>
    <reviewItem>
      <errorID>bf189bcc-2e31-4d02-b7cb-508892e38c39</errorID>
      <errorWord>（</errorWord>
      <group>L1_Format</group>
      <groupName>格式问题</groupName>
      <ability>L2_HalfPunc</ability>
      <abilityName>全半角检查</abilityName>
      <candidateList>
        <item>(</item>
      </candidateList>
      <explain>文本全半角错误。</explain>
      <paraID>26F10228</paraID>
      <start>5</start>
      <end>6</end>
      <status>unmodified</status>
      <modifiedWord/>
      <trackRevisions>false</trackRevisions>
    </reviewItem>
    <reviewItem>
      <errorID>3faa4b43-90c8-4424-af87-4a901d49c454</errorID>
      <errorWord>）</errorWord>
      <group>L1_Format</group>
      <groupName>格式问题</groupName>
      <ability>L2_HalfPunc</ability>
      <abilityName>全半角检查</abilityName>
      <candidateList>
        <item>)</item>
      </candidateList>
      <explain>文本全半角错误。</explain>
      <paraID>26F10228</paraID>
      <start>9</start>
      <end>10</end>
      <status>unmodified</status>
      <modifiedWord/>
      <trackRevisions>false</trackRevisions>
    </reviewItem>
    <reviewItem>
      <errorID>74e893ce-c58a-4f96-aaeb-cc88e1408938</errorID>
      <errorWord>罐装</errorWord>
      <group>L1_Word</group>
      <groupName>字词问题</groupName>
      <ability>L2_Typo</ability>
      <abilityName>字词错误</abilityName>
      <candidateList>
        <item>灌装</item>
      </candidateList>
      <explain/>
      <paraID>5A216C0D</paraID>
      <start>33</start>
      <end>35</end>
      <status>unmodified</status>
      <modifiedWord/>
      <trackRevisions>false</trackRevisions>
    </reviewItem>
    <reviewItem>
      <errorID>bc47200f-ca19-4d1d-9b15-50efe8469f55</errorID>
      <errorWord>程</errorWord>
      <group>L1_Word</group>
      <groupName>字词问题</groupName>
      <ability>L2_Typo</ability>
      <abilityName>字词错误</abilityName>
      <candidateList>
        <item>程中</item>
      </candidateList>
      <explain/>
      <paraID>10D4D431</paraID>
      <start>48</start>
      <end>49</end>
      <status>unmodified</status>
      <modifiedWord/>
      <trackRevisions>false</trackRevisions>
    </reviewItem>
    <reviewItem>
      <errorID>bc572144-592a-4f8c-aa3e-6c16093cc991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5C440057</paraID>
      <start>113</start>
      <end>114</end>
      <status>unmodified</status>
      <modifiedWord/>
      <trackRevisions>false</trackRevisions>
    </reviewItem>
    <reviewItem>
      <errorID>bb9b4ac6-55fe-474d-8307-35d04e3274ed</errorID>
      <errorWord>-</errorWord>
      <group>L1_Format</group>
      <groupName>格式问题</groupName>
      <ability>L2_HalfPunc</ability>
      <abilityName>全半角检查</abilityName>
      <candidateList>
        <item>－</item>
      </candidateList>
      <explain>文本全半角错误。</explain>
      <paraID>5C440057</paraID>
      <start>118</start>
      <end>119</end>
      <status>unmodified</status>
      <modifiedWord/>
      <trackRevisions>false</trackRevisions>
    </reviewItem>
    <reviewItem>
      <errorID>08ecb106-c868-447a-b376-b5f8f1888627</errorID>
      <errorWord>（</errorWord>
      <group>L1_Format</group>
      <groupName>格式问题</groupName>
      <ability>L2_HalfPunc</ability>
      <abilityName>全半角检查</abilityName>
      <candidateList>
        <item>(</item>
      </candidateList>
      <explain>文本全半角错误。</explain>
      <paraID>36DC48A5</paraID>
      <start>5</start>
      <end>6</end>
      <status>unmodified</status>
      <modifiedWord/>
      <trackRevisions>false</trackRevisions>
    </reviewItem>
    <reviewItem>
      <errorID>0812927a-fd67-42a5-a79f-6dfe50d0c0fa</errorID>
      <errorWord>）</errorWord>
      <group>L1_Format</group>
      <groupName>格式问题</groupName>
      <ability>L2_HalfPunc</ability>
      <abilityName>全半角检查</abilityName>
      <candidateList>
        <item>)</item>
      </candidateList>
      <explain>文本全半角错误。</explain>
      <paraID>36DC48A5</paraID>
      <start>9</start>
      <end>10</end>
      <status>unmodified</status>
      <modifiedWord/>
      <trackRevisions>false</trackRevisions>
    </reviewItem>
    <reviewItem>
      <errorID>fd304f9d-81c0-4d7c-ae7a-3b23afd6a59a</errorID>
      <errorWord>（</errorWord>
      <group>L1_Format</group>
      <groupName>格式问题</groupName>
      <ability>L2_HalfPunc</ability>
      <abilityName>全半角检查</abilityName>
      <candidateList>
        <item>(</item>
      </candidateList>
      <explain>文本全半角错误。</explain>
      <paraID>35BEE9D3</paraID>
      <start>5</start>
      <end>6</end>
      <status>unmodified</status>
      <modifiedWord/>
      <trackRevisions>false</trackRevisions>
    </reviewItem>
    <reviewItem>
      <errorID>2936959d-8903-4616-9dfe-9cacbdc0cb66</errorID>
      <errorWord>）</errorWord>
      <group>L1_Format</group>
      <groupName>格式问题</groupName>
      <ability>L2_HalfPunc</ability>
      <abilityName>全半角检查</abilityName>
      <candidateList>
        <item>)</item>
      </candidateList>
      <explain>文本全半角错误。</explain>
      <paraID>35BEE9D3</paraID>
      <start>9</start>
      <end>10</end>
      <status>unmodified</status>
      <modifiedWord/>
      <trackRevisions>false</trackRevisions>
    </reviewItem>
    <reviewItem>
      <errorID>81fc55da-494f-4f76-8276-dd2ca722dfcd</errorID>
      <errorWord>设</errorWord>
      <group>L1_Word</group>
      <groupName>字词问题</groupName>
      <ability>L2_Typo</ability>
      <abilityName>字词错误</abilityName>
      <candidateList>
        <item>设立</item>
      </candidateList>
      <explain/>
      <paraID>73344B77</paraID>
      <start>19</start>
      <end>20</end>
      <status>unmodified</status>
      <modifiedWord/>
      <trackRevisions>false</trackRevisions>
    </reviewItem>
    <reviewItem>
      <errorID>68438ff2-de8d-442f-bbdb-bc3577adc74b</errorID>
      <errorWord>(</errorWord>
      <group>L1_Format</group>
      <groupName>格式问题</groupName>
      <ability>L2_HalfPunc</ability>
      <abilityName>全半角检查</abilityName>
      <candidateList>
        <item>（</item>
      </candidateList>
      <explain>文本全半角错误。</explain>
      <paraID>2A78017A</paraID>
      <start>7</start>
      <end>8</end>
      <status>unmodified</status>
      <modifiedWord/>
      <trackRevisions>false</trackRevisions>
    </reviewItem>
    <reviewItem>
      <errorID>509583ee-69ad-4c3d-83b6-b245019d5349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63E1FC15</paraID>
      <start>88</start>
      <end>89</end>
      <status>unmodified</status>
      <modifiedWord/>
      <trackRevisions>false</trackRevisions>
    </reviewItem>
    <reviewItem>
      <errorID>1f334311-b09f-41b3-bdd0-7050db8798e7</errorID>
      <errorWord>生物填料</errorWord>
      <group>L1_Knowledge</group>
      <groupName>知识性问题</groupName>
      <ability>L2_Term</ability>
      <abilityName>专业术语</abilityName>
      <candidateList>
        <item>生物敷料</item>
      </candidateList>
      <explain/>
      <paraID>63E1FC15</paraID>
      <start>101</start>
      <end>105</end>
      <status>unmodified</status>
      <modifiedWord/>
      <trackRevisions>false</trackRevisions>
    </reviewItem>
    <reviewItem>
      <errorID>92db5a6c-0877-44f7-9bda-f3e9ed792a81</errorID>
      <errorWord>(</errorWord>
      <group>L1_Format</group>
      <groupName>格式问题</groupName>
      <ability>L2_HalfPunc</ability>
      <abilityName>全半角检查</abilityName>
      <candidateList>
        <item>（</item>
      </candidateList>
      <explain>文本全半角错误。</explain>
      <paraID> 52CE6E9</paraID>
      <start>93</start>
      <end>94</end>
      <status>unmodified</status>
      <modifiedWord/>
      <trackRevisions>false</trackRevisions>
    </reviewItem>
    <reviewItem>
      <errorID>a63006c9-acb5-43b6-b0b3-1602c353a100</errorID>
      <errorWord>)</errorWord>
      <group>L1_Format</group>
      <groupName>格式问题</groupName>
      <ability>L2_HalfPunc</ability>
      <abilityName>全半角检查</abilityName>
      <candidateList>
        <item>）</item>
      </candidateList>
      <explain>文本全半角错误。</explain>
      <paraID> 52CE6E9</paraID>
      <start>104</start>
      <end>105</end>
      <status>unmodified</status>
      <modifiedWord/>
      <trackRevisions>false</trackRevisions>
    </reviewItem>
    <reviewItem>
      <errorID>1f450176-4d68-4d8e-890f-c6a292fe29d6</errorID>
      <errorWord>85%-95%</errorWord>
      <group>L1_Knowledge</group>
      <groupName>知识性问题</groupName>
      <ability>L2_Knowledge</ability>
      <abilityName>其他知识</abilityName>
      <candidateList>
        <item>85%—95%</item>
      </candidateList>
      <explain>1. “85%-95%”中的单位“%”仅出现在后一个数字上，容易引起歧义；根据《现代汉语标点符号数字用法规范手册》，数字表示范围两边需要使用统一的格式。2. 根据标点国标 4.13 中的规则，数字、时间或地域连接符应使用（视觉上更长的）“—”或“～”。</explain>
      <paraID>56C2F673</paraID>
      <start>22</start>
      <end>29</end>
      <status>unmodified</status>
      <modifiedWord/>
      <trackRevisions>false</trackRevisions>
    </reviewItem>
    <reviewItem>
      <errorID>66071d9f-daa4-4621-b7e8-817833da7e68</errorID>
      <errorWord>70%-85%</errorWord>
      <group>L1_Knowledge</group>
      <groupName>知识性问题</groupName>
      <ability>L2_Knowledge</ability>
      <abilityName>其他知识</abilityName>
      <candidateList>
        <item>70%—85%</item>
      </candidateList>
      <explain>1. “70%-85%”中的单位“%”仅出现在后一个数字上，容易引起歧义；根据《现代汉语标点符号数字用法规范手册》，数字表示范围两边需要使用统一的格式。2. 根据标点国标 4.13 中的规则，数字、时间或地域连接符应使用（视觉上更长的）“—”或“～”。</explain>
      <paraID>56C2F673</paraID>
      <start>47</start>
      <end>54</end>
      <status>unmodified</status>
      <modifiedWord/>
      <trackRevisions>false</trackRevisions>
    </reviewItem>
    <reviewItem>
      <errorID>e31d108c-9c6d-4033-85ca-add634cd9a4d</errorID>
      <errorWord>(</errorWord>
      <group>L1_Format</group>
      <groupName>格式问题</groupName>
      <ability>L2_HalfPunc</ability>
      <abilityName>全半角检查</abilityName>
      <candidateList>
        <item>（</item>
      </candidateList>
      <explain>文本全半角错误。</explain>
      <paraID>4BC0FA9C</paraID>
      <start>18</start>
      <end>19</end>
      <status>unmodified</status>
      <modifiedWord/>
      <trackRevisions>false</trackRevisions>
    </reviewItem>
    <reviewItem>
      <errorID>f16004f6-4768-412e-9c26-00b30d858023</errorID>
      <errorWord>)</errorWord>
      <group>L1_Format</group>
      <groupName>格式问题</groupName>
      <ability>L2_HalfPunc</ability>
      <abilityName>全半角检查</abilityName>
      <candidateList>
        <item>）</item>
      </candidateList>
      <explain>文本全半角错误。</explain>
      <paraID>4BC0FA9C</paraID>
      <start>29</start>
      <end>30</end>
      <status>unmodified</status>
      <modifiedWord/>
      <trackRevisions>false</trackRevisions>
    </reviewItem>
    <reviewItem>
      <errorID>810412e8-6a79-43be-8e3a-0eea418afb52</errorID>
      <errorWord>，</errorWord>
      <group>L1_Word</group>
      <groupName>字词问题</groupName>
      <ability>L2_Typo</ability>
      <abilityName>字词错误</abilityName>
      <candidateList>
        <item>，该</item>
      </candidateList>
      <explain/>
      <paraID>20297819</paraID>
      <start>28</start>
      <end>29</end>
      <status>unmodified</status>
      <modifiedWord/>
      <trackRevisions>false</trackRevisions>
    </reviewItem>
    <reviewItem>
      <errorID>075351db-fee8-4148-89bd-fc67824fa03b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45FD01AF</paraID>
      <start>0</start>
      <end>2</end>
      <status>unmodified</status>
      <modifiedWord/>
      <trackRevisions>false</trackRevisions>
    </reviewItem>
    <reviewItem>
      <errorID>cd1aa8eb-f7d8-4fff-b895-3cc4343c655b</errorID>
      <errorWord>，</errorWord>
      <group>L1_Format</group>
      <groupName>格式问题</groupName>
      <ability>L2_HalfPunc</ability>
      <abilityName>全半角检查</abilityName>
      <candidateList>
        <item>, </item>
      </candidateList>
      <explain>文本全半角错误。</explain>
      <paraID>41D61560</paraID>
      <start>14</start>
      <end>15</end>
      <status>unmodified</status>
      <modifiedWord/>
      <trackRevisions>false</trackRevisions>
    </reviewItem>
    <reviewItem>
      <errorID>46eb98bc-8d6f-44e3-85de-dcbc4862812a</errorID>
      <errorWord>(</errorWord>
      <group>L1_Format</group>
      <groupName>格式问题</groupName>
      <ability>L2_HalfPunc</ability>
      <abilityName>全半角检查</abilityName>
      <candidateList>
        <item>（</item>
      </candidateList>
      <explain>文本全半角错误。</explain>
      <paraID> E2CA056</paraID>
      <start>2</start>
      <end>3</end>
      <status>unmodified</status>
      <modifiedWord/>
      <trackRevisions>false</trackRevisions>
    </reviewItem>
    <reviewItem>
      <errorID>468fafb7-114f-4141-94c1-5d42256d063e</errorID>
      <errorWord>)</errorWord>
      <group>L1_Format</group>
      <groupName>格式问题</groupName>
      <ability>L2_HalfPunc</ability>
      <abilityName>全半角检查</abilityName>
      <candidateList>
        <item>）</item>
      </candidateList>
      <explain>文本全半角错误。</explain>
      <paraID> E2CA056</paraID>
      <start>7</start>
      <end>8</end>
      <status>unmodified</status>
      <modifiedWord/>
      <trackRevisions>false</trackRevisions>
    </reviewItem>
    <reviewItem>
      <errorID>b35089c0-6e87-4c28-be33-1fa674649d8f</errorID>
      <errorWord>(</errorWord>
      <group>L1_Format</group>
      <groupName>格式问题</groupName>
      <ability>L2_HalfPunc</ability>
      <abilityName>全半角检查</abilityName>
      <candidateList>
        <item>（</item>
      </candidateList>
      <explain>文本全半角错误。</explain>
      <paraID>610FC94C</paraID>
      <start>3</start>
      <end>4</end>
      <status>unmodified</status>
      <modifiedWord/>
      <trackRevisions>false</trackRevisions>
    </reviewItem>
    <reviewItem>
      <errorID>6e821c29-a4ed-4d7a-99a1-c8f949a280f4</errorID>
      <errorWord>)</errorWord>
      <group>L1_Format</group>
      <groupName>格式问题</groupName>
      <ability>L2_HalfPunc</ability>
      <abilityName>全半角检查</abilityName>
      <candidateList>
        <item>）</item>
      </candidateList>
      <explain>文本全半角错误。</explain>
      <paraID>610FC94C</paraID>
      <start>7</start>
      <end>8</end>
      <status>unmodified</status>
      <modifiedWord/>
      <trackRevisions>false</trackRevisions>
    </reviewItem>
    <reviewItem>
      <errorID>018fe81d-6c74-4198-ba20-4e89cab56860</errorID>
      <errorWord>(</errorWord>
      <group>L1_Format</group>
      <groupName>格式问题</groupName>
      <ability>L2_HalfPunc</ability>
      <abilityName>全半角检查</abilityName>
      <candidateList>
        <item>（</item>
      </candidateList>
      <explain>文本全半角错误。</explain>
      <paraID>648F703A</paraID>
      <start>2</start>
      <end>3</end>
      <status>unmodified</status>
      <modifiedWord/>
      <trackRevisions>false</trackRevisions>
    </reviewItem>
    <reviewItem>
      <errorID>33fd2753-e4c5-47e8-941c-cf86f0e1ecb8</errorID>
      <errorWord>)</errorWord>
      <group>L1_Format</group>
      <groupName>格式问题</groupName>
      <ability>L2_HalfPunc</ability>
      <abilityName>全半角检查</abilityName>
      <candidateList>
        <item>）</item>
      </candidateList>
      <explain>文本全半角错误。</explain>
      <paraID>648F703A</paraID>
      <start>7</start>
      <end>8</end>
      <status>unmodified</status>
      <modifiedWord/>
      <trackRevisions>false</trackRevisions>
    </reviewItem>
    <reviewItem>
      <errorID>7391d9b4-0977-4d77-b2c0-b41680a3aa9b</errorID>
      <errorWord>(</errorWord>
      <group>L1_Format</group>
      <groupName>格式问题</groupName>
      <ability>L2_HalfPunc</ability>
      <abilityName>全半角检查</abilityName>
      <candidateList>
        <item>（</item>
      </candidateList>
      <explain>文本全半角错误。</explain>
      <paraID>6DD13F7A</paraID>
      <start>3</start>
      <end>4</end>
      <status>unmodified</status>
      <modifiedWord/>
      <trackRevisions>false</trackRevisions>
    </reviewItem>
    <reviewItem>
      <errorID>3fd10985-f9be-4ac2-a14c-4c6dd3c4b191</errorID>
      <errorWord>)</errorWord>
      <group>L1_Format</group>
      <groupName>格式问题</groupName>
      <ability>L2_HalfPunc</ability>
      <abilityName>全半角检查</abilityName>
      <candidateList>
        <item>）</item>
      </candidateList>
      <explain>文本全半角错误。</explain>
      <paraID>6DD13F7A</paraID>
      <start>7</start>
      <end>8</end>
      <status>unmodified</status>
      <modifiedWord/>
      <trackRevisions>false</trackRevisions>
    </reviewItem>
    <reviewItem>
      <errorID>2e838fbe-8b56-48a2-a790-94f2dd4640f7</errorID>
      <errorWord>,</errorWord>
      <group>L1_Format</group>
      <groupName>格式问题</groupName>
      <ability>L2_HalfPunc</ability>
      <abilityName>全半角检查</abilityName>
      <candidateList>
        <item>，</item>
      </candidateList>
      <explain>文本全半角错误。</explain>
      <paraID>4ECD645A</paraID>
      <start>30</start>
      <end>31</end>
      <status>unmodified</status>
      <modifiedWord/>
      <trackRevisions>false</trackRevisions>
    </reviewItem>
    <reviewItem>
      <errorID>ea1fb082-fad2-493f-bb60-b503407e1de6</errorID>
      <errorWord>,</errorWord>
      <group>L1_Format</group>
      <groupName>格式问题</groupName>
      <ability>L2_HalfPunc</ability>
      <abilityName>全半角检查</abilityName>
      <candidateList>
        <item>，</item>
      </candidateList>
      <explain>文本全半角错误。</explain>
      <paraID>4ECD645A</paraID>
      <start>34</start>
      <end>35</end>
      <status>unmodified</status>
      <modifiedWord/>
      <trackRevisions>false</trackRevisions>
    </reviewItem>
    <reviewItem>
      <errorID>e996fc51-a081-4f1e-815b-580bbfa9a6a7</errorID>
      <errorWord>.</errorWord>
      <group>L1_Format</group>
      <groupName>格式问题</groupName>
      <ability>L2_HalfPunc</ability>
      <abilityName>全半角检查</abilityName>
      <candidateList>
        <item>。</item>
      </candidateList>
      <explain>文本全半角错误。</explain>
      <paraID>4ECD645A</paraID>
      <start>38</start>
      <end>39</end>
      <status>unmodified</status>
      <modifiedWord/>
      <trackRevisions>false</trackRevisions>
    </reviewItem>
    <reviewItem>
      <errorID>7c8db7b5-89df-4fa4-916f-604ea69234b9</errorID>
      <errorWord>,</errorWord>
      <group>L1_Format</group>
      <groupName>格式问题</groupName>
      <ability>L2_HalfPunc</ability>
      <abilityName>全半角检查</abilityName>
      <candidateList>
        <item>，</item>
      </candidateList>
      <explain>文本全半角错误。</explain>
      <paraID>4ECD645A</paraID>
      <start>46</start>
      <end>47</end>
      <status>unmodified</status>
      <modifiedWord/>
      <trackRevisions>false</trackRevisions>
    </reviewItem>
    <reviewItem>
      <errorID>907862f9-30b5-4eae-be9a-8d5955890d86</errorID>
      <errorWord>21%~65%</errorWord>
      <group>L1_Knowledge</group>
      <groupName>知识性问题</groupName>
      <ability>L2_Knowledge</ability>
      <abilityName>其他知识</abilityName>
      <candidateList>
        <item>21%～65%</item>
      </candidateList>
      <explain>1. “21%~65%”中的单位“%”仅出现在后一个数字上，容易引起歧义；根据《现代汉语标点符号数字用法规范手册》，数字表示范围两边需要使用统一的格式。2. 根据标点国标 4.13 中的规则，数字、时间或地域连接符应使用（视觉上更长的）“—”或“～”。</explain>
      <paraID>4ECD645A</paraID>
      <start>87</start>
      <end>94</end>
      <status>unmodified</status>
      <modifiedWord/>
      <trackRevisions>false</trackRevisions>
    </reviewItem>
    <reviewItem>
      <errorID>d9675d61-6a76-4757-ae1c-8bbd1230f6b2</errorID>
      <errorWord>29%~72%</errorWord>
      <group>L1_Knowledge</group>
      <groupName>知识性问题</groupName>
      <ability>L2_Knowledge</ability>
      <abilityName>其他知识</abilityName>
      <candidateList>
        <item>29%～72%</item>
      </candidateList>
      <explain>1. “29%~72%”中的单位“%”仅出现在后一个数字上，容易引起歧义；根据《现代汉语标点符号数字用法规范手册》，数字表示范围两边需要使用统一的格式。2. 根据标点国标 4.13 中的规则，数字、时间或地域连接符应使用（视觉上更长的）“—”或“～”。</explain>
      <paraID>4ECD645A</paraID>
      <start>95</start>
      <end>102</end>
      <status>unmodified</status>
      <modifiedWord/>
      <trackRevisions>false</trackRevisions>
    </reviewItem>
    <reviewItem>
      <errorID>a931292e-0307-4c34-93d9-ac58ac8e83a7</errorID>
      <errorWord>（</errorWord>
      <group>L1_Punc</group>
      <groupName>标点问题</groupName>
      <ability>L2_Punc</ability>
      <abilityName>标点符号检查</abilityName>
      <candidateList/>
      <explain/>
      <paraID>4ECD645A</paraID>
      <start>165</start>
      <end>166</end>
      <status>unmodified</status>
      <modifiedWord/>
      <trackRevisions>false</trackRevisions>
    </reviewItem>
    <reviewItem>
      <errorID>513f4879-744c-42c0-93fb-8cbf8cc94fa9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9C824A2</paraID>
      <start>40</start>
      <end>41</end>
      <status>unmodified</status>
      <modifiedWord/>
      <trackRevisions>false</trackRevisions>
    </reviewItem>
    <reviewItem>
      <errorID>cccc015d-1f5a-47fd-9b5d-090aefeed5e0</errorID>
      <errorWord>:</errorWord>
      <group>L1_Format</group>
      <groupName>格式问题</groupName>
      <ability>L2_HalfPunc</ability>
      <abilityName>全半角检查</abilityName>
      <candidateList>
        <item>：</item>
      </candidateList>
      <explain>文本全半角错误。</explain>
      <paraID>13B26B35</paraID>
      <start>7</start>
      <end>8</end>
      <status>unmodified</status>
      <modifiedWord/>
      <trackRevisions>false</trackRevisions>
    </reviewItem>
    <reviewItem>
      <errorID>94788a3f-eb0c-431c-84e8-ad1b175dac0c</errorID>
      <errorWord>:</errorWord>
      <group>L1_Format</group>
      <groupName>格式问题</groupName>
      <ability>L2_HalfPunc</ability>
      <abilityName>全半角检查</abilityName>
      <candidateList>
        <item>：</item>
      </candidateList>
      <explain>文本全半角错误。</explain>
      <paraID>3E686CB6</paraID>
      <start>8</start>
      <end>9</end>
      <status>unmodified</status>
      <modifiedWord/>
      <trackRevisions>false</trackRevisions>
    </reviewItem>
    <reviewItem>
      <errorID>2af056c2-872f-4bd5-a378-2e2d2650c50e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610FD0B</paraID>
      <start>0</start>
      <end>2</end>
      <status>unmodified</status>
      <modifiedWord/>
      <trackRevisions>false</trackRevisions>
    </reviewItem>
    <reviewItem>
      <errorID>eaaec98d-1556-4539-af60-47483666b64f</errorID>
      <errorWord>~</errorWord>
      <group>L1_Format</group>
      <groupName>格式问题</groupName>
      <ability>L2_HalfPunc</ability>
      <abilityName>全半角检查</abilityName>
      <candidateList>
        <item>～</item>
      </candidateList>
      <explain>文本全半角错误。</explain>
      <paraID>329EB26C</paraID>
      <start>71</start>
      <end>72</end>
      <status>unmodified</status>
      <modifiedWord/>
      <trackRevisions>false</trackRevisions>
    </reviewItem>
    <reviewItem>
      <errorID>c4064b9f-20d3-41f2-a846-44e63b32765c</errorID>
      <errorWord>50%~60%</errorWord>
      <group>L1_Knowledge</group>
      <groupName>知识性问题</groupName>
      <ability>L2_Knowledge</ability>
      <abilityName>其他知识</abilityName>
      <candidateList>
        <item>50%～60%</item>
      </candidateList>
      <explain>1. “50%~60%”中的单位“%”仅出现在后一个数字上，容易引起歧义；根据《现代汉语标点符号数字用法规范手册》，数字表示范围两边需要使用统一的格式。2. 根据标点国标 4.13 中的规则，数字、时间或地域连接符应使用（视觉上更长的）“—”或“～”。</explain>
      <paraID>329EB26C</paraID>
      <start>84</start>
      <end>91</end>
      <status>unmodified</status>
      <modifiedWord/>
      <trackRevisions>false</trackRevisions>
    </reviewItem>
    <reviewItem>
      <errorID>ef8dc4be-80e4-44aa-86a8-d75baa0e193c</errorID>
      <errorWord>、</errorWord>
      <group>L1_Punc</group>
      <groupName>标点问题</groupName>
      <ability>L2_Punc</ability>
      <abilityName>标点符号检查</abilityName>
      <candidateList>
        <item>.</item>
      </candidateList>
      <explain/>
      <paraID>7E4171A8</paraID>
      <start>1</start>
      <end>2</end>
      <status>unmodified</status>
      <modifiedWord/>
      <trackRevisions>false</trackRevisions>
    </reviewItem>
    <reviewItem>
      <errorID>577fd9a2-38bb-4069-a0a5-a6bbc6bb4ec5</errorID>
      <errorWord>、</errorWord>
      <group>L1_Punc</group>
      <groupName>标点问题</groupName>
      <ability>L2_Punc</ability>
      <abilityName>标点符号检查</abilityName>
      <candidateList>
        <item>.</item>
      </candidateList>
      <explain/>
      <paraID>778752AA</paraID>
      <start>1</start>
      <end>2</end>
      <status>unmodified</status>
      <modifiedWord/>
      <trackRevisions>false</trackRevisions>
    </reviewItem>
    <reviewItem>
      <errorID>a9ff8dc1-5457-462e-8394-c866fa83878c</errorID>
      <errorWord>、</errorWord>
      <group>L1_Punc</group>
      <groupName>标点问题</groupName>
      <ability>L2_Punc</ability>
      <abilityName>标点符号检查</abilityName>
      <candidateList>
        <item>.</item>
      </candidateList>
      <explain/>
      <paraID>12C19C62</paraID>
      <start>1</start>
      <end>2</end>
      <status>unmodified</status>
      <modifiedWord/>
      <trackRevisions>false</trackRevisions>
    </reviewItem>
    <reviewItem>
      <errorID>d0659287-ff47-4d51-be77-c35a4cd2cd5e</errorID>
      <errorWord>、</errorWord>
      <group>L1_Punc</group>
      <groupName>标点问题</groupName>
      <ability>L2_Punc</ability>
      <abilityName>标点符号检查</abilityName>
      <candidateList>
        <item>.</item>
      </candidateList>
      <explain/>
      <paraID>744B4F93</paraID>
      <start>1</start>
      <end>2</end>
      <status>unmodified</status>
      <modifiedWord/>
      <trackRevisions>false</trackRevisions>
    </reviewItem>
    <reviewItem>
      <errorID>5081afa3-fa73-4677-a1d7-0bf60d6a7762</errorID>
      <errorWord>须</errorWord>
      <group>L1_Word</group>
      <groupName>字词问题</groupName>
      <ability>L2_Typo</ability>
      <abilityName>字词错误</abilityName>
      <candidateList>
        <item>需</item>
      </candidateList>
      <explain>存在发音相同字词的误用。</explain>
      <paraID>744B4F93</paraID>
      <start>10</start>
      <end>11</end>
      <status>unmodified</status>
      <modifiedWord/>
      <trackRevisions>false</trackRevisions>
    </reviewItem>
    <reviewItem>
      <errorID>988f58a0-88c0-4951-85e1-149ee7cd9323</errorID>
      <errorWord>进入进入</errorWord>
      <group>L1_Word</group>
      <groupName>字词问题</groupName>
      <ability>L2_Typo</ability>
      <abilityName>字词错误</abilityName>
      <candidateList>
        <item>进入</item>
      </candidateList>
      <explain>〈动〉支进到某个范围或某个时期里：～学校｜～新阶段◇～角色。</explain>
      <paraID>472F2B98</paraID>
      <start>286</start>
      <end>290</end>
      <status>unmodified</status>
      <modifiedWord/>
      <trackRevisions>false</trackRevisions>
    </reviewItem>
    <reviewItem>
      <errorID>87e5d197-f5ce-4014-9c29-306c275b60dc</errorID>
      <errorWord>浓度较</errorWord>
      <group>L1_Word</group>
      <groupName>字词问题</groupName>
      <ability>L2_Typo</ability>
      <abilityName>字词错误</abilityName>
      <candidateList>
        <item>浓度</item>
      </candidateList>
      <explain/>
      <paraID>3E51A19B</paraID>
      <start>32</start>
      <end>35</end>
      <status>unmodified</status>
      <modifiedWord/>
      <trackRevisions>false</trackRevisions>
    </reviewItem>
    <reviewItem>
      <errorID>8707064f-6fd8-4b57-b740-64141fc7a3f5</errorID>
      <errorWord>分钟时</errorWord>
      <group>L1_Word</group>
      <groupName>字词问题</groupName>
      <ability>L2_Typo</ability>
      <abilityName>字词错误</abilityName>
      <candidateList>
        <item>分钟</item>
      </candidateList>
      <explain/>
      <paraID> 4AF7C74</paraID>
      <start>174</start>
      <end>177</end>
      <status>unmodified</status>
      <modifiedWord/>
      <trackRevisions>false</trackRevisions>
    </reviewItem>
    <reviewItem>
      <errorID>18841e71-7a2e-4546-aad8-55537886f6ce</errorID>
      <errorWord>设置</errorWord>
      <group>L1_Word</group>
      <groupName>字词问题</groupName>
      <ability>L2_Typo</ability>
      <abilityName>字词错误</abilityName>
      <candidateList>
        <item>设施</item>
      </candidateList>
      <explain>存在发音相近字词的误用。</explain>
      <paraID>7EC00B9A</paraID>
      <start>32</start>
      <end>34</end>
      <status>unmodified</status>
      <modifiedWord/>
      <trackRevisions>false</trackRevisions>
    </reviewItem>
    <reviewItem>
      <errorID>478b456e-ef95-40e0-9723-2dea7f333d66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40292D2E</paraID>
      <start>0</start>
      <end>2</end>
      <status>unmodified</status>
      <modifiedWord/>
      <trackRevisions>false</trackRevisions>
    </reviewItem>
    <reviewItem>
      <errorID>87436132-99df-4747-b281-ef2e9a3c3739</errorID>
      <errorWord>故生活</errorWord>
      <group>L1_Word</group>
      <groupName>字词问题</groupName>
      <ability>L2_Typo</ability>
      <abilityName>字词错误</abilityName>
      <candidateList>
        <item>生活</item>
      </candidateList>
      <explain>❶〈名〉人或生物为了生存和发展而进行的各种活动：政治～｜日常～｜观察蜜蜂和蚂蚁的～。❷〈动〉进行各种活动：老人一直和儿孙们～在一起。❸〈动〉生存：一个人脱离了社会就不能～下去。❹〈名〉衣、食、住、行等方面的情况：人民的～不断提高。❺〈方〉〈名〉活儿（主要指工业、农业、手工业方面的）：做～｜～忙。</explain>
      <paraID>19597057</paraID>
      <start>16</start>
      <end>19</end>
      <status>unmodified</status>
      <modifiedWord/>
      <trackRevisions>false</trackRevisions>
    </reviewItem>
    <reviewItem>
      <errorID>fa781428-71ad-43aa-b872-1ebc130d85f1</errorID>
      <errorWord>栏</errorWord>
      <group>L1_Word</group>
      <groupName>字词问题</groupName>
      <ability>L2_Typo</ability>
      <abilityName>字词错误</abilityName>
      <candidateList>
        <item>栅</item>
      </candidateList>
      <explain/>
      <paraID>6BEEF591</paraID>
      <start>32</start>
      <end>33</end>
      <status>unmodified</status>
      <modifiedWord/>
      <trackRevisions>false</trackRevisions>
    </reviewItem>
    <reviewItem>
      <errorID>27898203-0bd7-4384-8190-9d8d902eeb47</errorID>
      <errorWord>[2019]</errorWord>
      <group>L1_Punc</group>
      <groupName>标点问题</groupName>
      <ability>L2_Punc</ability>
      <abilityName>标点符号检查</abilityName>
      <candidateList>
        <item>〔2019〕</item>
      </candidateList>
      <explain/>
      <paraID>6BEEF591</paraID>
      <start>150</start>
      <end>156</end>
      <status>unmodified</status>
      <modifiedWord/>
      <trackRevisions>false</trackRevisions>
    </reviewItem>
    <reviewItem>
      <errorID>a38583ee-59ca-49bc-99a8-306c908949e2</errorID>
      <errorWord>(</errorWord>
      <group>L1_Format</group>
      <groupName>格式问题</groupName>
      <ability>L2_HalfPunc</ability>
      <abilityName>全半角检查</abilityName>
      <candidateList>
        <item>（</item>
      </candidateList>
      <explain>文本全半角错误。</explain>
      <paraID>59664FDA</paraID>
      <start>67</start>
      <end>68</end>
      <status>unmodified</status>
      <modifiedWord/>
      <trackRevisions>false</trackRevisions>
    </reviewItem>
    <reviewItem>
      <errorID>b275b9fe-f5de-45c5-ae48-5dc122dfe4ab</errorID>
      <errorWord>)</errorWord>
      <group>L1_Format</group>
      <groupName>格式问题</groupName>
      <ability>L2_HalfPunc</ability>
      <abilityName>全半角检查</abilityName>
      <candidateList>
        <item>）</item>
      </candidateList>
      <explain>文本全半角错误。</explain>
      <paraID>59664FDA</paraID>
      <start>78</start>
      <end>79</end>
      <status>unmodified</status>
      <modifiedWord/>
      <trackRevisions>false</trackRevisions>
    </reviewItem>
    <reviewItem>
      <errorID>62f90f81-6847-49b5-bfe3-9aa0821b790c</errorID>
      <errorWord>源源</errorWord>
      <group>L1_Word</group>
      <groupName>字词问题</groupName>
      <ability>L2_Typo</ability>
      <abilityName>字词错误</abilityName>
      <candidateList>
        <item>源</item>
      </candidateList>
      <explain/>
      <paraID>2DADDAB9</paraID>
      <start>1</start>
      <end>3</end>
      <status>unmodified</status>
      <modifiedWord/>
      <trackRevisions>false</trackRevisions>
    </reviewItem>
    <reviewItem>
      <errorID>fd0dc082-a503-4113-9980-9128a48d41aa</errorID>
      <errorWord>-</errorWord>
      <group>L1_Format</group>
      <groupName>格式问题</groupName>
      <ability>L2_HalfPunc</ability>
      <abilityName>全半角检查</abilityName>
      <candidateList>
        <item>－</item>
      </candidateList>
      <explain>文本全半角错误。</explain>
      <paraID>26769EF9</paraID>
      <start>0</start>
      <end>1</end>
      <status>unmodified</status>
      <modifiedWord/>
      <trackRevisions>false</trackRevisions>
    </reviewItem>
    <reviewItem>
      <errorID>e9d85a17-d263-4466-bfa3-4f29a05abbc4</errorID>
      <errorWord>源源</errorWord>
      <group>L1_Word</group>
      <groupName>字词问题</groupName>
      <ability>L2_Typo</ability>
      <abilityName>字词错误</abilityName>
      <candidateList>
        <item>源</item>
      </candidateList>
      <explain/>
      <paraID>58813255</paraID>
      <start>1</start>
      <end>3</end>
      <status>unmodified</status>
      <modifiedWord/>
      <trackRevisions>false</trackRevisions>
    </reviewItem>
    <reviewItem>
      <errorID>6b10738b-06f5-4151-a9e2-33f1ee2782cf</errorID>
      <errorWord>减振</errorWord>
      <group>L1_Word</group>
      <groupName>字词问题</groupName>
      <ability>L2_Typo</ability>
      <abilityName>字词错误</abilityName>
      <candidateList>
        <item>减震</item>
      </candidateList>
      <explain/>
      <paraID>4DE89390</paraID>
      <start>0</start>
      <end>2</end>
      <status>unmodified</status>
      <modifiedWord/>
      <trackRevisions>false</trackRevisions>
    </reviewItem>
    <reviewItem>
      <errorID>3d6cd989-6772-4360-81cd-4115b8302c8d</errorID>
      <errorWord>迭加</errorWord>
      <group>L1_Word</group>
      <groupName>字词问题</groupName>
      <ability>L2_Typo</ability>
      <abilityName>字词错误</abilityName>
      <candidateList>
        <item>叠加</item>
      </candidateList>
      <explain/>
      <paraID>5DCC6ABD</paraID>
      <start>33</start>
      <end>35</end>
      <status>unmodified</status>
      <modifiedWord/>
      <trackRevisions>false</trackRevisions>
    </reviewItem>
    <reviewItem>
      <errorID>f12e4cc9-3bd6-4738-b03b-8ae6947893ef</errorID>
      <errorWord>（</errorWord>
      <group>L1_Punc</group>
      <groupName>标点问题</groupName>
      <ability>L2_Punc</ability>
      <abilityName>标点符号检查</abilityName>
      <candidateList>
        <item/>
      </candidateList>
      <explain>同一形式括号套用。</explain>
      <paraID>221FD16F</paraID>
      <start>3</start>
      <end>4</end>
      <status>unmodified</status>
      <modifiedWord/>
      <trackRevisions>false</trackRevisions>
    </reviewItem>
    <reviewItem>
      <errorID>7818644f-5372-4222-9154-fe1dfcea1122</errorID>
      <errorWord>(</errorWord>
      <group>L1_Punc</group>
      <groupName>标点问题</groupName>
      <ability>L2_Punc</ability>
      <abilityName>标点符号检查</abilityName>
      <candidateList/>
      <explain>同一形式括号套用。</explain>
      <paraID>221FD16F</paraID>
      <start>6</start>
      <end>7</end>
      <status>unmodified</status>
      <modifiedWord/>
      <trackRevisions>false</trackRevisions>
    </reviewItem>
    <reviewItem>
      <errorID>e60fd187-f715-4b73-b418-b4f712fed8e4</errorID>
      <errorWord>)</errorWord>
      <group>L1_Punc</group>
      <groupName>标点问题</groupName>
      <ability>L2_Punc</ability>
      <abilityName>标点符号检查</abilityName>
      <candidateList/>
      <explain>同一形式括号套用。</explain>
      <paraID>221FD16F</paraID>
      <start>8</start>
      <end>9</end>
      <status>unmodified</status>
      <modifiedWord/>
      <trackRevisions>false</trackRevisions>
    </reviewItem>
    <reviewItem>
      <errorID>90d8fa1b-d820-477e-907a-6d9fa88eac8d</errorID>
      <errorWord>）</errorWord>
      <group>L1_Punc</group>
      <groupName>标点问题</groupName>
      <ability>L2_Punc</ability>
      <abilityName>标点符号检查</abilityName>
      <candidateList/>
      <explain>同一形式括号套用。</explain>
      <paraID>221FD16F</paraID>
      <start>9</start>
      <end>10</end>
      <status>unmodified</status>
      <modifiedWord/>
      <trackRevisions>false</trackRevisions>
    </reviewItem>
    <reviewItem>
      <errorID>db2bf6db-98f1-4d1c-8746-d2ab752b46c9</errorID>
      <errorWord>（</errorWord>
      <group>L1_Punc</group>
      <groupName>标点问题</groupName>
      <ability>L2_Punc</ability>
      <abilityName>标点符号检查</abilityName>
      <candidateList>
        <item/>
      </candidateList>
      <explain>同一形式括号套用。</explain>
      <paraID>5338A872</paraID>
      <start>4</start>
      <end>5</end>
      <status>unmodified</status>
      <modifiedWord/>
      <trackRevisions>false</trackRevisions>
    </reviewItem>
    <reviewItem>
      <errorID>b3c63984-2d34-4a3d-b958-1324eeefa062</errorID>
      <errorWord>(</errorWord>
      <group>L1_Punc</group>
      <groupName>标点问题</groupName>
      <ability>L2_Punc</ability>
      <abilityName>标点符号检查</abilityName>
      <candidateList/>
      <explain>同一形式括号套用。</explain>
      <paraID>5338A872</paraID>
      <start>7</start>
      <end>8</end>
      <status>unmodified</status>
      <modifiedWord/>
      <trackRevisions>false</trackRevisions>
    </reviewItem>
    <reviewItem>
      <errorID>1b96b12d-9e91-47e1-a46e-5314191fff79</errorID>
      <errorWord>)</errorWord>
      <group>L1_Punc</group>
      <groupName>标点问题</groupName>
      <ability>L2_Punc</ability>
      <abilityName>标点符号检查</abilityName>
      <candidateList/>
      <explain>同一形式括号套用。</explain>
      <paraID>5338A872</paraID>
      <start>9</start>
      <end>10</end>
      <status>unmodified</status>
      <modifiedWord/>
      <trackRevisions>false</trackRevisions>
    </reviewItem>
    <reviewItem>
      <errorID>47d59a0b-429d-4d75-b08c-d95c0d31eac0</errorID>
      <errorWord>）</errorWord>
      <group>L1_Punc</group>
      <groupName>标点问题</groupName>
      <ability>L2_Punc</ability>
      <abilityName>标点符号检查</abilityName>
      <candidateList/>
      <explain>同一形式括号套用。</explain>
      <paraID>5338A872</paraID>
      <start>10</start>
      <end>11</end>
      <status>unmodified</status>
      <modifiedWord/>
      <trackRevisions>false</trackRevisions>
    </reviewItem>
    <reviewItem>
      <errorID>2a3b7bbb-9b59-4c09-a562-5e000712a753</errorID>
      <errorWord>(</errorWord>
      <group>L1_Format</group>
      <groupName>格式问题</groupName>
      <ability>L2_HalfPunc</ability>
      <abilityName>全半角检查</abilityName>
      <candidateList>
        <item>（</item>
      </candidateList>
      <explain>文本全半角错误。</explain>
      <paraID>153C8CE0</paraID>
      <start>36</start>
      <end>37</end>
      <status>unmodified</status>
      <modifiedWord/>
      <trackRevisions>false</trackRevisions>
    </reviewItem>
    <reviewItem>
      <errorID>4e359c01-512e-4b2c-bfb1-9559da5e2326</errorID>
      <errorWord>)</errorWord>
      <group>L1_Format</group>
      <groupName>格式问题</groupName>
      <ability>L2_HalfPunc</ability>
      <abilityName>全半角检查</abilityName>
      <candidateList>
        <item>）</item>
      </candidateList>
      <explain>文本全半角错误。</explain>
      <paraID>153C8CE0</paraID>
      <start>49</start>
      <end>50</end>
      <status>unmodified</status>
      <modifiedWord/>
      <trackRevisions>false</trackRevisions>
    </reviewItem>
    <reviewItem>
      <errorID>4524736d-26c7-4645-8600-53d6e506b573</errorID>
      <errorWord>(</errorWord>
      <group>L1_Format</group>
      <groupName>格式问题</groupName>
      <ability>L2_HalfPunc</ability>
      <abilityName>全半角检查</abilityName>
      <candidateList>
        <item>（</item>
      </candidateList>
      <explain>文本全半角错误。</explain>
      <paraID>4C764E13</paraID>
      <start>34</start>
      <end>35</end>
      <status>unmodified</status>
      <modifiedWord/>
      <trackRevisions>false</trackRevisions>
    </reviewItem>
    <reviewItem>
      <errorID>3f7ff0a3-2611-4301-98d8-e6e64a7e0e8f</errorID>
      <errorWord>)</errorWord>
      <group>L1_Format</group>
      <groupName>格式问题</groupName>
      <ability>L2_HalfPunc</ability>
      <abilityName>全半角检查</abilityName>
      <candidateList>
        <item>）</item>
      </candidateList>
      <explain>文本全半角错误。</explain>
      <paraID>4C764E13</paraID>
      <start>47</start>
      <end>48</end>
      <status>unmodified</status>
      <modifiedWord/>
      <trackRevisions>false</trackRevisions>
    </reviewItem>
    <reviewItem>
      <errorID>e3d2e0fc-ace2-4c93-856d-2dfa4f791db2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16AB32F0</paraID>
      <start>11</start>
      <end>12</end>
      <status>unmodified</status>
      <modifiedWord/>
      <trackRevisions>false</trackRevisions>
    </reviewItem>
    <reviewItem>
      <errorID>10a081ae-56d6-40e7-a44c-bd4fe9b2597a</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3189F035</paraID>
      <start>27</start>
      <end>28</end>
      <status>unmodified</status>
      <modifiedWord/>
      <trackRevisions>false</trackRevisions>
    </reviewItem>
    <reviewItem>
      <errorID>8eff799a-ad71-4fea-9fcb-a58bbbba9eb5</errorID>
      <errorWord>程</errorWord>
      <group>L1_Word</group>
      <groupName>字词问题</groupName>
      <ability>L2_Typo</ability>
      <abilityName>字词错误</abilityName>
      <candidateList>
        <item>程中</item>
      </candidateList>
      <explain/>
      <paraID>4EF3C396</paraID>
      <start>16</start>
      <end>17</end>
      <status>unmodified</status>
      <modifiedWord/>
      <trackRevisions>false</trackRevisions>
    </reviewItem>
    <reviewItem>
      <errorID>42772fab-e37d-4c23-a21f-ece5dfdf8458</errorID>
      <errorWord>，</errorWord>
      <group>L1_Format</group>
      <groupName>格式问题</groupName>
      <ability>L2_HalfPunc</ability>
      <abilityName>全半角检查</abilityName>
      <candidateList>
        <item>, </item>
      </candidateList>
      <explain>文本全半角错误。</explain>
      <paraID>60F36166</paraID>
      <start>1</start>
      <end>2</end>
      <status>unmodified</status>
      <modifiedWord/>
      <trackRevisions>false</trackRevisions>
    </reviewItem>
    <reviewItem>
      <errorID>2d910f1d-2e8e-4b68-9c5d-6a863873e23b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68BDF46</paraID>
      <start>36</start>
      <end>39</end>
      <status>unmodified</status>
      <modifiedWord/>
      <trackRevisions>false</trackRevisions>
    </reviewItem>
    <reviewItem>
      <errorID>3bc6dbab-d7ff-439b-92ee-4b48a3180fec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68BDF46</paraID>
      <start>110</start>
      <end>111</end>
      <status>unmodified</status>
      <modifiedWord/>
      <trackRevisions>false</trackRevisions>
    </reviewItem>
    <reviewItem>
      <errorID>60c193f4-ecbb-400a-a668-83ecee1da2a2</errorID>
      <errorWord>(</errorWord>
      <group>L1_Format</group>
      <groupName>格式问题</groupName>
      <ability>L2_HalfPunc</ability>
      <abilityName>全半角检查</abilityName>
      <candidateList>
        <item>（</item>
      </candidateList>
      <explain>文本全半角错误。</explain>
      <paraID>7528F641</paraID>
      <start>58</start>
      <end>59</end>
      <status>unmodified</status>
      <modifiedWord/>
      <trackRevisions>false</trackRevisions>
    </reviewItem>
    <reviewItem>
      <errorID>7535931b-317b-4c87-bcd4-c01553425c5e</errorID>
      <errorWord>)</errorWord>
      <group>L1_Format</group>
      <groupName>格式问题</groupName>
      <ability>L2_HalfPunc</ability>
      <abilityName>全半角检查</abilityName>
      <candidateList>
        <item>）</item>
      </candidateList>
      <explain>文本全半角错误。</explain>
      <paraID>7528F641</paraID>
      <start>70</start>
      <end>71</end>
      <status>unmodified</status>
      <modifiedWord/>
      <trackRevisions>false</trackRevisions>
    </reviewItem>
    <reviewItem>
      <errorID>6f408398-fb8f-4afd-8449-bfe85729be27</errorID>
      <errorWord>以上的</errorWord>
      <group>L1_Word</group>
      <groupName>字词问题</groupName>
      <ability>L2_Typo</ability>
      <abilityName>字词错误</abilityName>
      <candidateList>
        <item>以上</item>
      </candidateList>
      <explain/>
      <paraID>3C451A1E</paraID>
      <start>9</start>
      <end>12</end>
      <status>unmodified</status>
      <modifiedWord/>
      <trackRevisions>false</trackRevisions>
    </reviewItem>
    <reviewItem>
      <errorID>d5915840-3459-4197-8928-5f90d37f877c</errorID>
      <errorWord>,…,</errorWord>
      <group>L1_Punc</group>
      <groupName>标点问题</groupName>
      <ability>L2_Punc</ability>
      <abilityName>标点符号检查</abilityName>
      <candidateList>
        <item>,</item>
      </candidateList>
      <explain/>
      <paraID>2F56469E</paraID>
      <start>8</start>
      <end>11</end>
      <status>unmodified</status>
      <modifiedWord/>
      <trackRevisions>false</trackRevisions>
    </reviewItem>
    <reviewItem>
      <errorID>8489ef2b-89ae-40b6-8c66-565221b4670e</errorID>
      <errorWord>,…,</errorWord>
      <group>L1_Punc</group>
      <groupName>标点问题</groupName>
      <ability>L2_Punc</ability>
      <abilityName>标点符号检查</abilityName>
      <candidateList>
        <item>,</item>
      </candidateList>
      <explain/>
      <paraID>7BA40A98</paraID>
      <start>5</start>
      <end>8</end>
      <status>unmodified</status>
      <modifiedWord/>
      <trackRevisions>false</trackRevisions>
    </reviewItem>
    <reviewItem>
      <errorID>568cdb88-d4f4-45f5-a3aa-4be31871182d</errorID>
      <errorWord>使用</errorWord>
      <group>L1_Grammar</group>
      <groupName>语法问题</groupName>
      <ability>L2_Grammar</ability>
      <abilityName>语法错误</abilityName>
      <candidateList>
        <item>采取</item>
      </candidateList>
      <explain>“使用～措施”搭配不当，建议修改为“采取～措施”。</explain>
      <paraID>2BB135D5</paraID>
      <start>9</start>
      <end>11</end>
      <status>unmodified</status>
      <modifiedWord/>
      <trackRevisions>false</trackRevisions>
    </reviewItem>
    <reviewItem>
      <errorID>11439175-1c50-4c7f-a844-387cbfc09a4e</errorID>
      <errorWord>等</errorWord>
      <group>L1_Word</group>
      <groupName>字词问题</groupName>
      <ability>L2_Typo</ability>
      <abilityName>字词错误</abilityName>
      <candidateList>
        <item>层</item>
      </candidateList>
      <explain/>
      <paraID> 41325D5</paraID>
      <start>43</start>
      <end>44</end>
      <status>unmodified</status>
      <modifiedWord/>
      <trackRevisions>false</trackRevisions>
    </reviewItem>
    <reviewItem>
      <errorID>8ad87014-3365-4fca-a674-c07ce6b586e1</errorID>
      <errorWord>[2015]4号</errorWord>
      <group>L1_Knowledge</group>
      <groupName>知识性问题</groupName>
      <ability>L2_Knowledge</ability>
      <abilityName>其他知识</abilityName>
      <candidateList>
        <item>〔2015〕4号</item>
      </candidateList>
      <explain>发文字号格式错误。</explain>
      <paraID>5D00BDFB</paraID>
      <start>110</start>
      <end>118</end>
      <status>unmodified</status>
      <modifiedWord/>
      <trackRevisions>false</trackRevisions>
    </reviewItem>
    <reviewItem>
      <errorID>f8ae41f4-71f7-45c0-b66e-cfab8e677637</errorID>
      <errorWord>(</errorWord>
      <group>L1_Format</group>
      <groupName>格式问题</groupName>
      <ability>L2_HalfPunc</ability>
      <abilityName>全半角检查</abilityName>
      <candidateList>
        <item>（</item>
      </candidateList>
      <explain>文本全半角错误。</explain>
      <paraID>6C42C651</paraID>
      <start>13</start>
      <end>14</end>
      <status>unmodified</status>
      <modifiedWord/>
      <trackRevisions>false</trackRevisions>
    </reviewItem>
    <reviewItem>
      <errorID>b0f399d3-43f9-418b-ac0d-de0e662a622e</errorID>
      <errorWord>(</errorWord>
      <group>L1_Format</group>
      <groupName>格式问题</groupName>
      <ability>L2_HalfPunc</ability>
      <abilityName>全半角检查</abilityName>
      <candidateList>
        <item>（</item>
      </candidateList>
      <explain>文本全半角错误。</explain>
      <paraID> 3340DB8</paraID>
      <start>13</start>
      <end>14</end>
      <status>unmodified</status>
      <modifiedWord/>
      <trackRevisions>false</trackRevisions>
    </reviewItem>
    <reviewItem>
      <errorID>150b6ee9-4b21-4e3e-a8ad-e5db0d69f1e2</errorID>
      <errorWord>(</errorWord>
      <group>L1_Format</group>
      <groupName>格式问题</groupName>
      <ability>L2_HalfPunc</ability>
      <abilityName>全半角检查</abilityName>
      <candidateList>
        <item>（</item>
      </candidateList>
      <explain>文本全半角错误。</explain>
      <paraID>231645C1</paraID>
      <start>3</start>
      <end>4</end>
      <status>unmodified</status>
      <modifiedWord/>
      <trackRevisions>false</trackRevisions>
    </reviewItem>
    <reviewItem>
      <errorID>202ddfb5-546c-42f2-8332-3d0bc226a934</errorID>
      <errorWord>)</errorWord>
      <group>L1_Format</group>
      <groupName>格式问题</groupName>
      <ability>L2_HalfPunc</ability>
      <abilityName>全半角检查</abilityName>
      <candidateList>
        <item>）</item>
      </candidateList>
      <explain>文本全半角错误。</explain>
      <paraID>231645C1</paraID>
      <start>9</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046df1-a058-44f3-9877-d01e5888c0f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92</Pages>
  <Words>442</Words>
  <Characters>475</Characters>
  <Lines>621</Lines>
  <Paragraphs>174</Paragraphs>
  <TotalTime>1</TotalTime>
  <ScaleCrop>false</ScaleCrop>
  <LinksUpToDate>false</LinksUpToDate>
  <CharactersWithSpaces>500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2022-05-23T01:34:00Z</dcterms:created>
  <dc:creator>lhj</dc:creator>
  <cp:lastModifiedBy>小猛哥</cp:lastModifiedBy>
  <cp:lastPrinted>2024-09-09T00:45:00Z</cp:lastPrinted>
  <dcterms:modified xsi:type="dcterms:W3CDTF">2026-03-02T03:02:23Z</dcterms:modified>
  <dc:title>附件2</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5CFC7D7481704A9F8F125A5C4DB384D8_13</vt:lpwstr>
  </property>
  <property fmtid="{D5CDD505-2E9C-101B-9397-08002B2CF9AE}" pid="4" name="KSOTemplateDocerSaveRecord">
    <vt:lpwstr>eyJoZGlkIjoiZDNiNTY5MWM3OGFiNWQ2YTMzZWIwODNhYWE3NmJiODEiLCJ1c2VySWQiOiIyNTM5MTU4NzIifQ==</vt:lpwstr>
  </property>
</Properties>
</file>