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3FBDCA4">
      <w:pPr>
        <w:pageBreakBefore/>
        <w:spacing w:line="520" w:lineRule="exact"/>
        <w:rPr>
          <w:rFonts w:ascii="黑体" w:hAnsi="宋体" w:eastAsia="黑体" w:cs="宋体"/>
          <w:kern w:val="0"/>
          <w:sz w:val="32"/>
          <w:szCs w:val="32"/>
        </w:rPr>
      </w:pPr>
      <w:r>
        <w:rPr>
          <w:rFonts w:hint="eastAsia" w:ascii="黑体" w:hAnsi="宋体" w:eastAsia="黑体" w:cs="宋体"/>
          <w:kern w:val="0"/>
          <w:sz w:val="32"/>
          <w:szCs w:val="32"/>
        </w:rPr>
        <w:t>附件1</w:t>
      </w:r>
    </w:p>
    <w:p w14:paraId="2B6242FF">
      <w:pPr>
        <w:widowControl/>
        <w:jc w:val="left"/>
        <w:rPr>
          <w:rFonts w:ascii="Calibri" w:hAnsi="Calibri" w:eastAsia="黑体" w:cs="宋体"/>
          <w:kern w:val="0"/>
          <w:sz w:val="32"/>
          <w:szCs w:val="32"/>
        </w:rPr>
      </w:pPr>
    </w:p>
    <w:p w14:paraId="2D7E3EF2">
      <w:pPr>
        <w:widowControl/>
        <w:jc w:val="center"/>
        <w:rPr>
          <w:rFonts w:ascii="方正小标宋简体" w:hAnsi="宋体" w:eastAsia="方正小标宋简体" w:cs="宋体"/>
          <w:kern w:val="0"/>
          <w:sz w:val="36"/>
          <w:szCs w:val="36"/>
        </w:rPr>
      </w:pPr>
      <w:r>
        <w:rPr>
          <w:rFonts w:hint="eastAsia" w:ascii="方正小标宋简体" w:hAnsi="宋体" w:eastAsia="方正小标宋简体" w:cs="宋体"/>
          <w:kern w:val="0"/>
          <w:sz w:val="36"/>
          <w:szCs w:val="36"/>
        </w:rPr>
        <w:t>安徽省医疗服务信息社会公开内容</w:t>
      </w:r>
    </w:p>
    <w:p w14:paraId="013EE942">
      <w:pPr>
        <w:widowControl/>
        <w:spacing w:line="450" w:lineRule="atLeast"/>
        <w:jc w:val="left"/>
        <w:rPr>
          <w:rFonts w:hint="eastAsia" w:ascii="微软雅黑" w:hAnsi="微软雅黑" w:eastAsia="微软雅黑" w:cs="微软雅黑"/>
          <w:b w:val="0"/>
          <w:bCs w:val="0"/>
          <w:color w:val="0000FF"/>
          <w:kern w:val="0"/>
          <w:sz w:val="32"/>
          <w:szCs w:val="32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0000FF"/>
          <w:kern w:val="0"/>
          <w:sz w:val="32"/>
          <w:szCs w:val="32"/>
        </w:rPr>
        <w:t> </w:t>
      </w:r>
      <w:r>
        <w:rPr>
          <w:rFonts w:hint="eastAsia" w:ascii="微软雅黑" w:hAnsi="微软雅黑" w:eastAsia="微软雅黑" w:cs="微软雅黑"/>
          <w:b w:val="0"/>
          <w:bCs w:val="0"/>
          <w:color w:val="0000FF"/>
          <w:kern w:val="0"/>
          <w:sz w:val="32"/>
          <w:szCs w:val="32"/>
          <w:lang w:val="en-US" w:eastAsia="zh-CN"/>
        </w:rPr>
        <w:t xml:space="preserve"> </w:t>
      </w:r>
    </w:p>
    <w:p w14:paraId="2479508F">
      <w:pPr>
        <w:widowControl/>
        <w:spacing w:line="450" w:lineRule="atLeast"/>
        <w:jc w:val="left"/>
        <w:rPr>
          <w:rFonts w:hint="eastAsia" w:cs="宋体" w:asciiTheme="minorEastAsia" w:hAnsiTheme="minorEastAsia" w:eastAsiaTheme="minorEastAsia"/>
          <w:kern w:val="0"/>
          <w:szCs w:val="21"/>
        </w:rPr>
      </w:pPr>
      <w:r>
        <w:rPr>
          <w:rFonts w:hint="eastAsia" w:ascii="微软雅黑" w:hAnsi="微软雅黑" w:eastAsia="微软雅黑" w:cs="微软雅黑"/>
          <w:b w:val="0"/>
          <w:bCs w:val="0"/>
          <w:color w:val="0000FF"/>
          <w:kern w:val="0"/>
          <w:sz w:val="32"/>
          <w:szCs w:val="32"/>
        </w:rPr>
        <w:t>单位名称：</w:t>
      </w:r>
      <w:r>
        <w:rPr>
          <w:rFonts w:hint="eastAsia" w:ascii="微软雅黑" w:hAnsi="微软雅黑" w:eastAsia="微软雅黑" w:cs="微软雅黑"/>
          <w:b w:val="0"/>
          <w:bCs w:val="0"/>
          <w:color w:val="0000FF"/>
          <w:kern w:val="0"/>
          <w:sz w:val="32"/>
          <w:szCs w:val="32"/>
          <w:lang w:val="en-US" w:eastAsia="zh-CN"/>
        </w:rPr>
        <w:t xml:space="preserve">东至县人民医院                </w:t>
      </w:r>
      <w:r>
        <w:rPr>
          <w:rFonts w:hint="eastAsia" w:ascii="微软雅黑" w:hAnsi="微软雅黑" w:eastAsia="微软雅黑" w:cs="微软雅黑"/>
          <w:color w:val="0000FF"/>
          <w:sz w:val="32"/>
          <w:szCs w:val="32"/>
        </w:rPr>
        <w:t>202</w:t>
      </w:r>
      <w:r>
        <w:rPr>
          <w:rFonts w:hint="eastAsia" w:ascii="微软雅黑" w:hAnsi="微软雅黑" w:eastAsia="微软雅黑" w:cs="微软雅黑"/>
          <w:color w:val="0000FF"/>
          <w:sz w:val="32"/>
          <w:szCs w:val="32"/>
          <w:lang w:val="en-US" w:eastAsia="zh-CN"/>
        </w:rPr>
        <w:t>5</w:t>
      </w:r>
      <w:r>
        <w:rPr>
          <w:rFonts w:hint="eastAsia" w:ascii="微软雅黑" w:hAnsi="微软雅黑" w:eastAsia="微软雅黑" w:cs="微软雅黑"/>
          <w:color w:val="0000FF"/>
          <w:sz w:val="32"/>
          <w:szCs w:val="32"/>
        </w:rPr>
        <w:t>年第</w:t>
      </w:r>
      <w:r>
        <w:rPr>
          <w:rFonts w:hint="eastAsia" w:ascii="微软雅黑" w:hAnsi="微软雅黑" w:eastAsia="微软雅黑" w:cs="微软雅黑"/>
          <w:color w:val="0000FF"/>
          <w:sz w:val="32"/>
          <w:szCs w:val="32"/>
          <w:lang w:val="en-US" w:eastAsia="zh-CN"/>
        </w:rPr>
        <w:t>4</w:t>
      </w:r>
      <w:r>
        <w:rPr>
          <w:rFonts w:hint="eastAsia" w:ascii="微软雅黑" w:hAnsi="微软雅黑" w:eastAsia="微软雅黑" w:cs="微软雅黑"/>
          <w:color w:val="0000FF"/>
          <w:sz w:val="32"/>
          <w:szCs w:val="32"/>
        </w:rPr>
        <w:t>季度 </w:t>
      </w:r>
    </w:p>
    <w:tbl>
      <w:tblPr>
        <w:tblStyle w:val="13"/>
        <w:tblpPr w:leftFromText="180" w:rightFromText="180" w:vertAnchor="text" w:horzAnchor="page" w:tblpX="1548" w:tblpY="413"/>
        <w:tblOverlap w:val="never"/>
        <w:tblW w:w="940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09"/>
        <w:gridCol w:w="3544"/>
        <w:gridCol w:w="1392"/>
        <w:gridCol w:w="1309"/>
        <w:gridCol w:w="1350"/>
      </w:tblGrid>
      <w:tr w14:paraId="2D9BDA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6" w:hRule="exact"/>
        </w:trPr>
        <w:tc>
          <w:tcPr>
            <w:tcW w:w="1809" w:type="dxa"/>
            <w:vAlign w:val="center"/>
          </w:tcPr>
          <w:p w14:paraId="49E475BD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b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b/>
                <w:kern w:val="0"/>
                <w:sz w:val="24"/>
                <w:szCs w:val="22"/>
              </w:rPr>
              <w:t>信息分类</w:t>
            </w:r>
          </w:p>
        </w:tc>
        <w:tc>
          <w:tcPr>
            <w:tcW w:w="4936" w:type="dxa"/>
            <w:gridSpan w:val="2"/>
            <w:vAlign w:val="center"/>
          </w:tcPr>
          <w:p w14:paraId="30B91F12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b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b/>
                <w:kern w:val="0"/>
                <w:sz w:val="24"/>
                <w:szCs w:val="22"/>
              </w:rPr>
              <w:t>指标项目</w:t>
            </w:r>
          </w:p>
        </w:tc>
        <w:tc>
          <w:tcPr>
            <w:tcW w:w="1309" w:type="dxa"/>
            <w:vAlign w:val="center"/>
          </w:tcPr>
          <w:p w14:paraId="2A3AAE92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b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b/>
                <w:kern w:val="0"/>
                <w:sz w:val="24"/>
                <w:szCs w:val="22"/>
              </w:rPr>
              <w:t>本期数值</w:t>
            </w:r>
          </w:p>
        </w:tc>
        <w:tc>
          <w:tcPr>
            <w:tcW w:w="1350" w:type="dxa"/>
            <w:vAlign w:val="center"/>
          </w:tcPr>
          <w:p w14:paraId="51D60A50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b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b/>
                <w:kern w:val="0"/>
                <w:sz w:val="24"/>
                <w:szCs w:val="22"/>
              </w:rPr>
              <w:t>上期数值</w:t>
            </w:r>
          </w:p>
        </w:tc>
      </w:tr>
      <w:tr w14:paraId="5EE9C1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restart"/>
            <w:vAlign w:val="center"/>
          </w:tcPr>
          <w:p w14:paraId="4EBFAC04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1.基本情况</w:t>
            </w:r>
          </w:p>
        </w:tc>
        <w:tc>
          <w:tcPr>
            <w:tcW w:w="3544" w:type="dxa"/>
            <w:vMerge w:val="restart"/>
            <w:vAlign w:val="center"/>
          </w:tcPr>
          <w:p w14:paraId="7AC7D5D1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</w:t>
            </w: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.1 重点（特色）专科</w:t>
            </w:r>
          </w:p>
        </w:tc>
        <w:tc>
          <w:tcPr>
            <w:tcW w:w="1392" w:type="dxa"/>
            <w:vAlign w:val="center"/>
          </w:tcPr>
          <w:p w14:paraId="495A7711">
            <w:pPr>
              <w:widowControl/>
              <w:spacing w:line="240" w:lineRule="exact"/>
              <w:jc w:val="lef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国家级</w:t>
            </w:r>
          </w:p>
        </w:tc>
        <w:tc>
          <w:tcPr>
            <w:tcW w:w="1309" w:type="dxa"/>
            <w:vAlign w:val="center"/>
          </w:tcPr>
          <w:p w14:paraId="1A9F4CF1">
            <w:pPr>
              <w:jc w:val="center"/>
              <w:rPr>
                <w:rFonts w:hint="default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Cs w:val="21"/>
                <w:lang w:val="en-US" w:eastAsia="zh-CN"/>
              </w:rPr>
              <w:t>/</w:t>
            </w:r>
          </w:p>
        </w:tc>
        <w:tc>
          <w:tcPr>
            <w:tcW w:w="1350" w:type="dxa"/>
            <w:vAlign w:val="center"/>
          </w:tcPr>
          <w:p w14:paraId="7D4E294D">
            <w:pPr>
              <w:jc w:val="center"/>
              <w:rPr>
                <w:rFonts w:hint="default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Cs w:val="21"/>
                <w:lang w:val="en-US" w:eastAsia="zh-CN"/>
              </w:rPr>
              <w:t>/</w:t>
            </w:r>
          </w:p>
        </w:tc>
      </w:tr>
      <w:tr w14:paraId="4D158AA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exact"/>
        </w:trPr>
        <w:tc>
          <w:tcPr>
            <w:tcW w:w="1809" w:type="dxa"/>
            <w:vMerge w:val="continue"/>
            <w:vAlign w:val="center"/>
          </w:tcPr>
          <w:p w14:paraId="69CAC58A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continue"/>
            <w:vAlign w:val="center"/>
          </w:tcPr>
          <w:p w14:paraId="71DD5545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392" w:type="dxa"/>
            <w:vAlign w:val="center"/>
          </w:tcPr>
          <w:p w14:paraId="6D2D84DB">
            <w:pPr>
              <w:widowControl/>
              <w:spacing w:line="240" w:lineRule="exact"/>
              <w:jc w:val="lef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省  级</w:t>
            </w:r>
          </w:p>
        </w:tc>
        <w:tc>
          <w:tcPr>
            <w:tcW w:w="1309" w:type="dxa"/>
            <w:shd w:val="clear" w:color="auto" w:fill="auto"/>
            <w:vAlign w:val="center"/>
          </w:tcPr>
          <w:p w14:paraId="5894BC38">
            <w:pPr>
              <w:jc w:val="center"/>
              <w:rPr>
                <w:rFonts w:hint="default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/</w:t>
            </w:r>
          </w:p>
        </w:tc>
        <w:tc>
          <w:tcPr>
            <w:tcW w:w="1350" w:type="dxa"/>
            <w:vAlign w:val="center"/>
          </w:tcPr>
          <w:p w14:paraId="27A8D8FC">
            <w:pPr>
              <w:jc w:val="center"/>
              <w:rPr>
                <w:rFonts w:hint="default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/</w:t>
            </w:r>
          </w:p>
        </w:tc>
      </w:tr>
      <w:tr w14:paraId="057453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39" w:hRule="exact"/>
        </w:trPr>
        <w:tc>
          <w:tcPr>
            <w:tcW w:w="1809" w:type="dxa"/>
            <w:vMerge w:val="continue"/>
            <w:vAlign w:val="center"/>
          </w:tcPr>
          <w:p w14:paraId="110EA0A9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continue"/>
            <w:vAlign w:val="center"/>
          </w:tcPr>
          <w:p w14:paraId="10B39A4F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392" w:type="dxa"/>
            <w:vAlign w:val="center"/>
          </w:tcPr>
          <w:p w14:paraId="7F443740">
            <w:pPr>
              <w:widowControl/>
              <w:spacing w:line="240" w:lineRule="exact"/>
              <w:jc w:val="lef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市  级</w:t>
            </w:r>
          </w:p>
        </w:tc>
        <w:tc>
          <w:tcPr>
            <w:tcW w:w="1309" w:type="dxa"/>
            <w:shd w:val="clear" w:color="auto" w:fill="auto"/>
            <w:vAlign w:val="center"/>
          </w:tcPr>
          <w:p w14:paraId="272A2B82">
            <w:pPr>
              <w:jc w:val="center"/>
              <w:rPr>
                <w:rFonts w:hint="default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3（呼吸内科、神经内科、胸外科）</w:t>
            </w:r>
          </w:p>
        </w:tc>
        <w:tc>
          <w:tcPr>
            <w:tcW w:w="1350" w:type="dxa"/>
            <w:vAlign w:val="center"/>
          </w:tcPr>
          <w:p w14:paraId="3147DEFD">
            <w:pPr>
              <w:jc w:val="center"/>
              <w:rPr>
                <w:rFonts w:hint="default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3（呼吸内科、神经内科、胸外科）</w:t>
            </w:r>
          </w:p>
        </w:tc>
      </w:tr>
      <w:tr w14:paraId="5ED0AE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exact"/>
        </w:trPr>
        <w:tc>
          <w:tcPr>
            <w:tcW w:w="1809" w:type="dxa"/>
            <w:vMerge w:val="continue"/>
            <w:vAlign w:val="center"/>
          </w:tcPr>
          <w:p w14:paraId="284B9897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continue"/>
            <w:vAlign w:val="center"/>
          </w:tcPr>
          <w:p w14:paraId="05B932E9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392" w:type="dxa"/>
            <w:vAlign w:val="center"/>
          </w:tcPr>
          <w:p w14:paraId="08C3F80F">
            <w:pPr>
              <w:widowControl/>
              <w:spacing w:line="240" w:lineRule="exact"/>
              <w:jc w:val="lef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院  级</w:t>
            </w:r>
          </w:p>
        </w:tc>
        <w:tc>
          <w:tcPr>
            <w:tcW w:w="1309" w:type="dxa"/>
            <w:shd w:val="clear" w:color="auto" w:fill="auto"/>
            <w:vAlign w:val="center"/>
          </w:tcPr>
          <w:p w14:paraId="0E59205A">
            <w:pPr>
              <w:jc w:val="center"/>
              <w:rPr>
                <w:rFonts w:hint="default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Cs w:val="21"/>
                <w:lang w:val="en-US" w:eastAsia="zh-CN"/>
              </w:rPr>
              <w:t>/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3F5C32B9">
            <w:pPr>
              <w:jc w:val="center"/>
              <w:rPr>
                <w:rFonts w:hint="default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Cs w:val="21"/>
                <w:lang w:val="en-US" w:eastAsia="zh-CN"/>
              </w:rPr>
              <w:t>/</w:t>
            </w:r>
          </w:p>
        </w:tc>
      </w:tr>
      <w:tr w14:paraId="27A3EF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7A822F84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71C347AB">
            <w:pPr>
              <w:widowControl/>
              <w:spacing w:line="240" w:lineRule="exact"/>
              <w:jc w:val="lef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1.2 “江淮名医”人数</w:t>
            </w:r>
          </w:p>
        </w:tc>
        <w:tc>
          <w:tcPr>
            <w:tcW w:w="1309" w:type="dxa"/>
            <w:vAlign w:val="center"/>
          </w:tcPr>
          <w:p w14:paraId="1EEBA137">
            <w:pPr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  <w:t>/</w:t>
            </w:r>
          </w:p>
        </w:tc>
        <w:tc>
          <w:tcPr>
            <w:tcW w:w="1350" w:type="dxa"/>
            <w:vAlign w:val="center"/>
          </w:tcPr>
          <w:p w14:paraId="43322875">
            <w:pPr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Cs w:val="21"/>
                <w:lang w:val="en-US" w:eastAsia="zh-CN"/>
              </w:rPr>
              <w:t>/</w:t>
            </w:r>
          </w:p>
        </w:tc>
      </w:tr>
      <w:tr w14:paraId="70C389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67C7AF81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2B2DE193">
            <w:pPr>
              <w:widowControl/>
              <w:spacing w:line="240" w:lineRule="exact"/>
              <w:jc w:val="lef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1.3 床医比</w:t>
            </w:r>
          </w:p>
        </w:tc>
        <w:tc>
          <w:tcPr>
            <w:tcW w:w="1309" w:type="dxa"/>
            <w:shd w:val="clear" w:color="auto" w:fill="auto"/>
            <w:vAlign w:val="center"/>
          </w:tcPr>
          <w:p w14:paraId="5903A8CA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2.87：1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3ADE0B8E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2.8：1</w:t>
            </w:r>
          </w:p>
        </w:tc>
      </w:tr>
      <w:tr w14:paraId="20A7F0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3AAB924D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581448BD">
            <w:pPr>
              <w:widowControl/>
              <w:spacing w:line="240" w:lineRule="exact"/>
              <w:jc w:val="lef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1.4 床护比</w:t>
            </w:r>
          </w:p>
        </w:tc>
        <w:tc>
          <w:tcPr>
            <w:tcW w:w="1309" w:type="dxa"/>
            <w:shd w:val="clear" w:color="auto" w:fill="auto"/>
            <w:vAlign w:val="center"/>
          </w:tcPr>
          <w:p w14:paraId="5F82108D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1.57:1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72579D11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1.57：1</w:t>
            </w:r>
          </w:p>
        </w:tc>
      </w:tr>
      <w:tr w14:paraId="3FF181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restart"/>
            <w:vAlign w:val="center"/>
          </w:tcPr>
          <w:p w14:paraId="6D43F77D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2.医疗费用</w:t>
            </w:r>
          </w:p>
        </w:tc>
        <w:tc>
          <w:tcPr>
            <w:tcW w:w="4936" w:type="dxa"/>
            <w:gridSpan w:val="2"/>
            <w:vAlign w:val="center"/>
          </w:tcPr>
          <w:p w14:paraId="39D9705C">
            <w:pPr>
              <w:jc w:val="both"/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2.1 门诊患者人均医疗费用（元）</w:t>
            </w:r>
          </w:p>
        </w:tc>
        <w:tc>
          <w:tcPr>
            <w:tcW w:w="1309" w:type="dxa"/>
            <w:vAlign w:val="center"/>
          </w:tcPr>
          <w:p w14:paraId="52A52A69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371.2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47A5E269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366.46</w:t>
            </w:r>
          </w:p>
        </w:tc>
      </w:tr>
      <w:tr w14:paraId="09184C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6D835FF2"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535F5CBC">
            <w:pPr>
              <w:widowControl/>
              <w:spacing w:line="240" w:lineRule="exact"/>
              <w:jc w:val="lef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2.2 住院患者人均医疗费用（元）</w:t>
            </w:r>
          </w:p>
        </w:tc>
        <w:tc>
          <w:tcPr>
            <w:tcW w:w="1309" w:type="dxa"/>
            <w:vAlign w:val="center"/>
          </w:tcPr>
          <w:p w14:paraId="727428CA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4373.07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7DB1DEC7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4558.70</w:t>
            </w:r>
          </w:p>
        </w:tc>
      </w:tr>
      <w:tr w14:paraId="35924A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60C27746"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7595" w:type="dxa"/>
            <w:gridSpan w:val="4"/>
            <w:vAlign w:val="center"/>
          </w:tcPr>
          <w:p w14:paraId="2DF1D323">
            <w:pPr>
              <w:widowControl/>
              <w:spacing w:line="240" w:lineRule="exac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 xml:space="preserve">2.3 </w:t>
            </w: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医疗机构住院患者单病种平均费用（见附件2</w:t>
            </w: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）</w:t>
            </w:r>
          </w:p>
        </w:tc>
      </w:tr>
      <w:tr w14:paraId="095034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393D3FB0"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restart"/>
            <w:vAlign w:val="center"/>
          </w:tcPr>
          <w:p w14:paraId="268B7100">
            <w:pPr>
              <w:widowControl/>
              <w:spacing w:line="240" w:lineRule="exac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2.4 基本医保实际报销比例（%）</w:t>
            </w:r>
          </w:p>
        </w:tc>
        <w:tc>
          <w:tcPr>
            <w:tcW w:w="1392" w:type="dxa"/>
            <w:vAlign w:val="center"/>
          </w:tcPr>
          <w:p w14:paraId="10C19C0F">
            <w:pPr>
              <w:widowControl/>
              <w:spacing w:line="240" w:lineRule="exac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城镇职工</w:t>
            </w:r>
          </w:p>
        </w:tc>
        <w:tc>
          <w:tcPr>
            <w:tcW w:w="1309" w:type="dxa"/>
            <w:vAlign w:val="center"/>
          </w:tcPr>
          <w:p w14:paraId="34679E2B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71.89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3DA4D43A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78.37</w:t>
            </w:r>
          </w:p>
        </w:tc>
      </w:tr>
      <w:tr w14:paraId="454B54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bottom w:val="single" w:color="auto" w:sz="4" w:space="0"/>
            </w:tcBorders>
            <w:vAlign w:val="center"/>
          </w:tcPr>
          <w:p w14:paraId="66B50E10"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continue"/>
            <w:tcBorders>
              <w:bottom w:val="single" w:color="auto" w:sz="4" w:space="0"/>
            </w:tcBorders>
            <w:vAlign w:val="center"/>
          </w:tcPr>
          <w:p w14:paraId="7FD943C6">
            <w:pPr>
              <w:widowControl/>
              <w:spacing w:line="240" w:lineRule="exac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392" w:type="dxa"/>
            <w:tcBorders>
              <w:bottom w:val="single" w:color="auto" w:sz="4" w:space="0"/>
            </w:tcBorders>
            <w:vAlign w:val="center"/>
          </w:tcPr>
          <w:p w14:paraId="1117552B">
            <w:pPr>
              <w:widowControl/>
              <w:spacing w:line="240" w:lineRule="exac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城乡居民</w:t>
            </w:r>
          </w:p>
        </w:tc>
        <w:tc>
          <w:tcPr>
            <w:tcW w:w="1309" w:type="dxa"/>
            <w:tcBorders>
              <w:bottom w:val="single" w:color="auto" w:sz="4" w:space="0"/>
            </w:tcBorders>
            <w:vAlign w:val="center"/>
          </w:tcPr>
          <w:p w14:paraId="784B66E5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66.16</w:t>
            </w:r>
          </w:p>
        </w:tc>
        <w:tc>
          <w:tcPr>
            <w:tcW w:w="1350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 w14:paraId="342981A4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67.36</w:t>
            </w:r>
          </w:p>
        </w:tc>
      </w:tr>
      <w:tr w14:paraId="61E302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D85D13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3.医疗质量</w:t>
            </w: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CAF07B">
            <w:pPr>
              <w:widowControl/>
              <w:spacing w:line="240" w:lineRule="exac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3.1 治愈好转率（%）</w:t>
            </w:r>
          </w:p>
        </w:tc>
        <w:tc>
          <w:tcPr>
            <w:tcW w:w="13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8711C7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93.27</w:t>
            </w:r>
          </w:p>
        </w:tc>
        <w:tc>
          <w:tcPr>
            <w:tcW w:w="1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AC894D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92.7</w:t>
            </w:r>
          </w:p>
        </w:tc>
      </w:tr>
      <w:tr w14:paraId="730B8C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7A1315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A20E27">
            <w:pPr>
              <w:widowControl/>
              <w:spacing w:line="240" w:lineRule="exac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3.2 手术前后诊断符合率（%）</w:t>
            </w:r>
          </w:p>
        </w:tc>
        <w:tc>
          <w:tcPr>
            <w:tcW w:w="13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64893B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98</w:t>
            </w:r>
          </w:p>
        </w:tc>
        <w:tc>
          <w:tcPr>
            <w:tcW w:w="1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80D89D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98.3</w:t>
            </w:r>
          </w:p>
        </w:tc>
      </w:tr>
      <w:tr w14:paraId="3EAF19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FD5F1A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423CF0">
            <w:pPr>
              <w:widowControl/>
              <w:spacing w:line="240" w:lineRule="exac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3.3 急诊抢救成功率（%）</w:t>
            </w:r>
          </w:p>
        </w:tc>
        <w:tc>
          <w:tcPr>
            <w:tcW w:w="13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43ACE6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98.82</w:t>
            </w:r>
          </w:p>
        </w:tc>
        <w:tc>
          <w:tcPr>
            <w:tcW w:w="1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A21786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98.9</w:t>
            </w:r>
          </w:p>
        </w:tc>
      </w:tr>
      <w:tr w14:paraId="56D413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9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EF255F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6DF2A6">
            <w:pPr>
              <w:widowControl/>
              <w:spacing w:line="240" w:lineRule="exac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3.4 抗菌药物使用强度（DDDs）</w:t>
            </w:r>
          </w:p>
        </w:tc>
        <w:tc>
          <w:tcPr>
            <w:tcW w:w="13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DAB229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31.36</w:t>
            </w:r>
          </w:p>
        </w:tc>
        <w:tc>
          <w:tcPr>
            <w:tcW w:w="1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12CFB0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33.25</w:t>
            </w:r>
          </w:p>
        </w:tc>
      </w:tr>
      <w:tr w14:paraId="6E282C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85F62D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57A2FC">
            <w:pPr>
              <w:widowControl/>
              <w:spacing w:line="240" w:lineRule="exac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3.5 门诊输液率（%）</w:t>
            </w:r>
          </w:p>
        </w:tc>
        <w:tc>
          <w:tcPr>
            <w:tcW w:w="13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AF3F1B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4.3</w:t>
            </w:r>
          </w:p>
        </w:tc>
        <w:tc>
          <w:tcPr>
            <w:tcW w:w="1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FFE5B2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4.5</w:t>
            </w:r>
          </w:p>
        </w:tc>
      </w:tr>
      <w:tr w14:paraId="45B4D3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D446AB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8C756D">
            <w:pPr>
              <w:widowControl/>
              <w:spacing w:line="240" w:lineRule="exac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3.6 无菌手术切口感染率（%）</w:t>
            </w:r>
          </w:p>
        </w:tc>
        <w:tc>
          <w:tcPr>
            <w:tcW w:w="13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99A25E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0</w:t>
            </w:r>
          </w:p>
        </w:tc>
        <w:tc>
          <w:tcPr>
            <w:tcW w:w="1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ABAAE0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0.68</w:t>
            </w:r>
          </w:p>
        </w:tc>
      </w:tr>
      <w:tr w14:paraId="43216B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DDBD59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02D192">
            <w:pPr>
              <w:widowControl/>
              <w:spacing w:line="240" w:lineRule="exac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3.7 住院患者压疮发生率（%）</w:t>
            </w:r>
          </w:p>
        </w:tc>
        <w:tc>
          <w:tcPr>
            <w:tcW w:w="13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4B82CF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0.15</w:t>
            </w:r>
          </w:p>
        </w:tc>
        <w:tc>
          <w:tcPr>
            <w:tcW w:w="1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02DB58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0.29</w:t>
            </w:r>
          </w:p>
        </w:tc>
      </w:tr>
      <w:tr w14:paraId="05F055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B087D5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98A518">
            <w:pPr>
              <w:widowControl/>
              <w:spacing w:line="240" w:lineRule="exac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3.8 出院患者手术占比（%）</w:t>
            </w:r>
          </w:p>
        </w:tc>
        <w:tc>
          <w:tcPr>
            <w:tcW w:w="13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54A8BA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17.14</w:t>
            </w:r>
          </w:p>
        </w:tc>
        <w:tc>
          <w:tcPr>
            <w:tcW w:w="1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5AE6B9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18.81</w:t>
            </w:r>
          </w:p>
        </w:tc>
      </w:tr>
      <w:tr w14:paraId="1C5EA0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1447B2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2B53B5">
            <w:pPr>
              <w:widowControl/>
              <w:spacing w:line="240" w:lineRule="exac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3.9 手术患者并发症发生率（%）</w:t>
            </w:r>
          </w:p>
        </w:tc>
        <w:tc>
          <w:tcPr>
            <w:tcW w:w="13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B7FE48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0.22</w:t>
            </w:r>
          </w:p>
        </w:tc>
        <w:tc>
          <w:tcPr>
            <w:tcW w:w="1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ABDD6B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0.31</w:t>
            </w:r>
          </w:p>
        </w:tc>
      </w:tr>
      <w:tr w14:paraId="3D59B1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restart"/>
            <w:tcBorders>
              <w:top w:val="single" w:color="auto" w:sz="4" w:space="0"/>
            </w:tcBorders>
            <w:vAlign w:val="center"/>
          </w:tcPr>
          <w:p w14:paraId="109604DF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4.运行效率</w:t>
            </w:r>
          </w:p>
        </w:tc>
        <w:tc>
          <w:tcPr>
            <w:tcW w:w="4936" w:type="dxa"/>
            <w:gridSpan w:val="2"/>
            <w:tcBorders>
              <w:top w:val="single" w:color="auto" w:sz="4" w:space="0"/>
            </w:tcBorders>
            <w:vAlign w:val="center"/>
          </w:tcPr>
          <w:p w14:paraId="4AE57581">
            <w:pPr>
              <w:widowControl/>
              <w:spacing w:line="240" w:lineRule="exac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4.1 门诊患者平均预约诊疗率（%）</w:t>
            </w:r>
          </w:p>
        </w:tc>
        <w:tc>
          <w:tcPr>
            <w:tcW w:w="1309" w:type="dxa"/>
            <w:tcBorders>
              <w:top w:val="single" w:color="auto" w:sz="4" w:space="0"/>
            </w:tcBorders>
            <w:vAlign w:val="center"/>
          </w:tcPr>
          <w:p w14:paraId="6BCD7364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1.21</w:t>
            </w:r>
          </w:p>
        </w:tc>
        <w:tc>
          <w:tcPr>
            <w:tcW w:w="1350" w:type="dxa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3726A7D6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0.75</w:t>
            </w:r>
          </w:p>
        </w:tc>
      </w:tr>
      <w:tr w14:paraId="5CC114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5DFFF02B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37AC0F24">
            <w:pPr>
              <w:widowControl/>
              <w:spacing w:line="240" w:lineRule="exac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4.2 门诊患者预约后平均等待时间（分钟）</w:t>
            </w:r>
          </w:p>
        </w:tc>
        <w:tc>
          <w:tcPr>
            <w:tcW w:w="1309" w:type="dxa"/>
            <w:vAlign w:val="center"/>
          </w:tcPr>
          <w:p w14:paraId="780469A9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10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6CFBC686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15</w:t>
            </w:r>
          </w:p>
        </w:tc>
      </w:tr>
      <w:tr w14:paraId="1AC90D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631BCD76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restart"/>
            <w:vAlign w:val="center"/>
          </w:tcPr>
          <w:p w14:paraId="3CCE30EA">
            <w:pPr>
              <w:widowControl/>
              <w:spacing w:line="240" w:lineRule="exac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4.3 术前待床日（天）</w:t>
            </w:r>
          </w:p>
        </w:tc>
        <w:tc>
          <w:tcPr>
            <w:tcW w:w="1392" w:type="dxa"/>
            <w:vAlign w:val="center"/>
          </w:tcPr>
          <w:p w14:paraId="7B923EE7">
            <w:pPr>
              <w:widowControl/>
              <w:spacing w:line="240" w:lineRule="exac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二级手术</w:t>
            </w:r>
          </w:p>
        </w:tc>
        <w:tc>
          <w:tcPr>
            <w:tcW w:w="1309" w:type="dxa"/>
            <w:shd w:val="clear" w:color="auto" w:fill="auto"/>
            <w:vAlign w:val="center"/>
          </w:tcPr>
          <w:p w14:paraId="4B0B37BF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1.7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3F592850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1.7</w:t>
            </w:r>
          </w:p>
        </w:tc>
      </w:tr>
      <w:tr w14:paraId="4AC88F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124A3A4B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continue"/>
            <w:vAlign w:val="center"/>
          </w:tcPr>
          <w:p w14:paraId="54D02BA8">
            <w:pPr>
              <w:widowControl/>
              <w:spacing w:line="240" w:lineRule="exac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392" w:type="dxa"/>
            <w:vAlign w:val="center"/>
          </w:tcPr>
          <w:p w14:paraId="50A291E4">
            <w:pPr>
              <w:widowControl/>
              <w:spacing w:line="240" w:lineRule="exac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三级手术</w:t>
            </w:r>
          </w:p>
        </w:tc>
        <w:tc>
          <w:tcPr>
            <w:tcW w:w="1309" w:type="dxa"/>
            <w:shd w:val="clear" w:color="auto" w:fill="auto"/>
            <w:vAlign w:val="center"/>
          </w:tcPr>
          <w:p w14:paraId="2868E0A3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1.8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38B0DE9B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1.8</w:t>
            </w:r>
          </w:p>
        </w:tc>
      </w:tr>
      <w:tr w14:paraId="7BD16F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9" w:hRule="exact"/>
        </w:trPr>
        <w:tc>
          <w:tcPr>
            <w:tcW w:w="1809" w:type="dxa"/>
            <w:vMerge w:val="continue"/>
            <w:vAlign w:val="center"/>
          </w:tcPr>
          <w:p w14:paraId="0FEEB232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continue"/>
            <w:vAlign w:val="center"/>
          </w:tcPr>
          <w:p w14:paraId="46C10D4D">
            <w:pPr>
              <w:widowControl/>
              <w:spacing w:line="240" w:lineRule="exac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392" w:type="dxa"/>
            <w:vAlign w:val="center"/>
          </w:tcPr>
          <w:p w14:paraId="27CF7DBB">
            <w:pPr>
              <w:widowControl/>
              <w:spacing w:line="240" w:lineRule="exac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四级手术</w:t>
            </w:r>
          </w:p>
        </w:tc>
        <w:tc>
          <w:tcPr>
            <w:tcW w:w="1309" w:type="dxa"/>
            <w:shd w:val="clear" w:color="auto" w:fill="auto"/>
            <w:vAlign w:val="center"/>
          </w:tcPr>
          <w:p w14:paraId="54844AF7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2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15732318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2</w:t>
            </w:r>
          </w:p>
        </w:tc>
      </w:tr>
      <w:tr w14:paraId="1F229A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619F56BA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15F25AE6">
            <w:pPr>
              <w:widowControl/>
              <w:spacing w:line="240" w:lineRule="exac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4.4 病床使用率（%）</w:t>
            </w:r>
          </w:p>
        </w:tc>
        <w:tc>
          <w:tcPr>
            <w:tcW w:w="1309" w:type="dxa"/>
            <w:vAlign w:val="center"/>
          </w:tcPr>
          <w:p w14:paraId="0F432FEF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69.98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1F5DD1F9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67.67</w:t>
            </w:r>
          </w:p>
        </w:tc>
      </w:tr>
      <w:tr w14:paraId="294B35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0090A77C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5D431150">
            <w:pPr>
              <w:widowControl/>
              <w:spacing w:line="240" w:lineRule="exac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4.5 出院者平均住院日（天）</w:t>
            </w:r>
          </w:p>
        </w:tc>
        <w:tc>
          <w:tcPr>
            <w:tcW w:w="1309" w:type="dxa"/>
            <w:vAlign w:val="center"/>
          </w:tcPr>
          <w:p w14:paraId="01B139D5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6.52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4AD79567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6.54</w:t>
            </w:r>
          </w:p>
        </w:tc>
      </w:tr>
      <w:tr w14:paraId="0BD369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0F6DBE89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29614469">
            <w:pPr>
              <w:widowControl/>
              <w:spacing w:line="240" w:lineRule="exac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4.6 门诊人次</w:t>
            </w:r>
          </w:p>
        </w:tc>
        <w:tc>
          <w:tcPr>
            <w:tcW w:w="1309" w:type="dxa"/>
            <w:vAlign w:val="center"/>
          </w:tcPr>
          <w:p w14:paraId="0C446E11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59515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6CEB2E6F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58983</w:t>
            </w:r>
          </w:p>
        </w:tc>
      </w:tr>
      <w:tr w14:paraId="440288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71B35F7A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078EA36A">
            <w:pPr>
              <w:widowControl/>
              <w:spacing w:line="240" w:lineRule="exac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4.7 出院人次</w:t>
            </w:r>
          </w:p>
        </w:tc>
        <w:tc>
          <w:tcPr>
            <w:tcW w:w="1309" w:type="dxa"/>
            <w:vAlign w:val="center"/>
          </w:tcPr>
          <w:p w14:paraId="51BA48F8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5349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2A29D466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5120</w:t>
            </w:r>
          </w:p>
        </w:tc>
      </w:tr>
      <w:tr w14:paraId="373EB1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Align w:val="center"/>
          </w:tcPr>
          <w:p w14:paraId="1B10B2DB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5.患者满意度</w:t>
            </w:r>
          </w:p>
        </w:tc>
        <w:tc>
          <w:tcPr>
            <w:tcW w:w="4936" w:type="dxa"/>
            <w:gridSpan w:val="2"/>
            <w:vAlign w:val="center"/>
          </w:tcPr>
          <w:p w14:paraId="0E7A3BEA">
            <w:pPr>
              <w:widowControl/>
              <w:spacing w:line="240" w:lineRule="exac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总体满意度（%）</w:t>
            </w:r>
          </w:p>
        </w:tc>
        <w:tc>
          <w:tcPr>
            <w:tcW w:w="1309" w:type="dxa"/>
            <w:vAlign w:val="center"/>
          </w:tcPr>
          <w:p w14:paraId="198D9800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97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7DABB285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97.5</w:t>
            </w:r>
          </w:p>
        </w:tc>
      </w:tr>
      <w:tr w14:paraId="3B773C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Align w:val="center"/>
          </w:tcPr>
          <w:p w14:paraId="18FF29FA">
            <w:pPr>
              <w:widowControl/>
              <w:spacing w:line="240" w:lineRule="exac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6.服务承诺</w:t>
            </w:r>
          </w:p>
        </w:tc>
        <w:tc>
          <w:tcPr>
            <w:tcW w:w="7595" w:type="dxa"/>
            <w:gridSpan w:val="4"/>
            <w:vAlign w:val="center"/>
          </w:tcPr>
          <w:p w14:paraId="176AF354">
            <w:pPr>
              <w:widowControl/>
              <w:spacing w:line="240" w:lineRule="exac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医疗机构服务承诺内容（见附件3）</w:t>
            </w:r>
          </w:p>
        </w:tc>
      </w:tr>
    </w:tbl>
    <w:p w14:paraId="30379857">
      <w:pPr>
        <w:pStyle w:val="8"/>
        <w:bidi w:val="0"/>
        <w:rPr>
          <w:rFonts w:hint="eastAsia" w:ascii="黑体" w:hAnsi="宋体" w:eastAsia="黑体" w:cs="宋体"/>
          <w:kern w:val="0"/>
          <w:sz w:val="32"/>
          <w:szCs w:val="32"/>
          <w:lang w:val="en-US" w:eastAsia="zh-CN"/>
        </w:rPr>
      </w:pPr>
    </w:p>
    <w:p w14:paraId="140FC9F6">
      <w:pPr>
        <w:pStyle w:val="8"/>
        <w:bidi w:val="0"/>
        <w:rPr>
          <w:rFonts w:hint="eastAsia" w:ascii="黑体" w:hAnsi="宋体" w:eastAsia="黑体" w:cs="宋体"/>
          <w:kern w:val="0"/>
          <w:sz w:val="32"/>
          <w:szCs w:val="32"/>
          <w:lang w:val="en-US" w:eastAsia="zh-CN"/>
        </w:rPr>
      </w:pPr>
    </w:p>
    <w:p w14:paraId="351F4237">
      <w:pPr>
        <w:pStyle w:val="8"/>
        <w:bidi w:val="0"/>
        <w:rPr>
          <w:rFonts w:hint="eastAsia" w:ascii="黑体" w:hAnsi="宋体" w:eastAsia="黑体" w:cs="宋体"/>
          <w:kern w:val="0"/>
          <w:sz w:val="32"/>
          <w:szCs w:val="32"/>
          <w:lang w:val="en-US" w:eastAsia="zh-CN"/>
        </w:rPr>
      </w:pPr>
    </w:p>
    <w:p w14:paraId="642B8664">
      <w:pPr>
        <w:pStyle w:val="8"/>
        <w:bidi w:val="0"/>
        <w:rPr>
          <w:rFonts w:hint="eastAsia" w:ascii="黑体" w:hAnsi="宋体" w:eastAsia="黑体" w:cs="宋体"/>
          <w:kern w:val="0"/>
          <w:sz w:val="32"/>
          <w:szCs w:val="32"/>
          <w:lang w:val="en-US" w:eastAsia="zh-CN"/>
        </w:rPr>
      </w:pPr>
    </w:p>
    <w:p w14:paraId="638972D6">
      <w:pPr>
        <w:pStyle w:val="8"/>
        <w:bidi w:val="0"/>
        <w:rPr>
          <w:rFonts w:hint="eastAsia" w:ascii="黑体" w:hAnsi="宋体" w:eastAsia="黑体" w:cs="宋体"/>
          <w:kern w:val="0"/>
          <w:sz w:val="32"/>
          <w:szCs w:val="32"/>
        </w:rPr>
      </w:pPr>
    </w:p>
    <w:p w14:paraId="77E02F7D">
      <w:pPr>
        <w:pStyle w:val="8"/>
        <w:bidi w:val="0"/>
        <w:rPr>
          <w:rFonts w:hint="eastAsia" w:ascii="黑体" w:hAnsi="宋体" w:eastAsia="黑体" w:cs="宋体"/>
          <w:kern w:val="0"/>
          <w:sz w:val="32"/>
          <w:szCs w:val="32"/>
        </w:rPr>
      </w:pPr>
    </w:p>
    <w:p w14:paraId="718C1CCF">
      <w:pPr>
        <w:pStyle w:val="8"/>
        <w:bidi w:val="0"/>
        <w:rPr>
          <w:rFonts w:hint="eastAsia" w:ascii="黑体" w:hAnsi="宋体" w:eastAsia="黑体" w:cs="宋体"/>
          <w:kern w:val="0"/>
          <w:sz w:val="32"/>
          <w:szCs w:val="32"/>
        </w:rPr>
      </w:pPr>
    </w:p>
    <w:p w14:paraId="3612CC13">
      <w:pPr>
        <w:pStyle w:val="8"/>
        <w:bidi w:val="0"/>
        <w:rPr>
          <w:rFonts w:hint="eastAsia" w:ascii="黑体" w:hAnsi="宋体" w:eastAsia="黑体" w:cs="宋体"/>
          <w:kern w:val="0"/>
          <w:sz w:val="32"/>
          <w:szCs w:val="32"/>
        </w:rPr>
      </w:pPr>
    </w:p>
    <w:p w14:paraId="5035BBAA">
      <w:pPr>
        <w:pStyle w:val="8"/>
        <w:bidi w:val="0"/>
        <w:rPr>
          <w:rFonts w:hint="eastAsia" w:ascii="黑体" w:hAnsi="宋体" w:eastAsia="黑体" w:cs="宋体"/>
          <w:kern w:val="0"/>
          <w:sz w:val="32"/>
          <w:szCs w:val="32"/>
        </w:rPr>
      </w:pPr>
    </w:p>
    <w:p w14:paraId="5BCF586D">
      <w:pPr>
        <w:pStyle w:val="8"/>
        <w:bidi w:val="0"/>
        <w:rPr>
          <w:rFonts w:hint="eastAsia" w:ascii="黑体" w:hAnsi="宋体" w:eastAsia="黑体" w:cs="宋体"/>
          <w:kern w:val="0"/>
          <w:sz w:val="32"/>
          <w:szCs w:val="32"/>
        </w:rPr>
      </w:pPr>
    </w:p>
    <w:p w14:paraId="64DB6A33">
      <w:pPr>
        <w:spacing w:line="520" w:lineRule="exact"/>
        <w:rPr>
          <w:rFonts w:ascii="黑体" w:hAnsi="宋体" w:eastAsia="黑体" w:cs="宋体"/>
          <w:kern w:val="0"/>
          <w:sz w:val="32"/>
          <w:szCs w:val="32"/>
        </w:rPr>
      </w:pPr>
      <w:r>
        <w:rPr>
          <w:rFonts w:hint="eastAsia" w:ascii="黑体" w:hAnsi="宋体" w:eastAsia="黑体" w:cs="宋体"/>
          <w:kern w:val="0"/>
          <w:sz w:val="32"/>
          <w:szCs w:val="32"/>
        </w:rPr>
        <w:t>附件2</w:t>
      </w:r>
      <w:r>
        <w:rPr>
          <w:rFonts w:hint="eastAsia" w:ascii="宋体" w:hAnsi="宋体" w:eastAsia="方正小标宋简体" w:cs="宋体"/>
          <w:color w:val="555555"/>
          <w:kern w:val="0"/>
          <w:sz w:val="24"/>
        </w:rPr>
        <w:t>  </w:t>
      </w:r>
    </w:p>
    <w:p w14:paraId="7832C534">
      <w:pPr>
        <w:spacing w:line="240" w:lineRule="exact"/>
        <w:rPr>
          <w:rFonts w:ascii="黑体" w:hAnsi="宋体" w:eastAsia="黑体" w:cs="宋体"/>
          <w:kern w:val="0"/>
          <w:sz w:val="32"/>
          <w:szCs w:val="32"/>
        </w:rPr>
      </w:pPr>
    </w:p>
    <w:p w14:paraId="30BFC796">
      <w:pPr>
        <w:widowControl/>
        <w:spacing w:line="520" w:lineRule="exact"/>
        <w:jc w:val="center"/>
        <w:rPr>
          <w:rFonts w:ascii="方正小标宋简体" w:hAnsi="宋体" w:eastAsia="方正小标宋简体" w:cs="宋体"/>
          <w:kern w:val="0"/>
          <w:sz w:val="36"/>
          <w:szCs w:val="36"/>
        </w:rPr>
      </w:pPr>
      <w:r>
        <w:rPr>
          <w:rFonts w:hint="eastAsia" w:ascii="方正小标宋简体" w:hAnsi="宋体" w:eastAsia="方正小标宋简体" w:cs="宋体"/>
          <w:kern w:val="0"/>
          <w:sz w:val="36"/>
          <w:szCs w:val="36"/>
        </w:rPr>
        <w:t>医疗机构住院患者单病种平均费用</w:t>
      </w:r>
    </w:p>
    <w:p w14:paraId="5B41E7BA">
      <w:pPr>
        <w:spacing w:line="240" w:lineRule="exact"/>
        <w:rPr>
          <w:rFonts w:ascii="Calibri" w:hAnsi="Calibri"/>
          <w:szCs w:val="22"/>
        </w:rPr>
      </w:pPr>
    </w:p>
    <w:tbl>
      <w:tblPr>
        <w:tblStyle w:val="13"/>
        <w:tblW w:w="8405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4"/>
        <w:gridCol w:w="3976"/>
        <w:gridCol w:w="1860"/>
        <w:gridCol w:w="1895"/>
      </w:tblGrid>
      <w:tr w14:paraId="5A9FB7F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1" w:hRule="exact"/>
          <w:jc w:val="center"/>
        </w:trPr>
        <w:tc>
          <w:tcPr>
            <w:tcW w:w="6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4869F7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序号</w:t>
            </w:r>
          </w:p>
        </w:tc>
        <w:tc>
          <w:tcPr>
            <w:tcW w:w="3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247082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病种类型</w:t>
            </w:r>
          </w:p>
        </w:tc>
        <w:tc>
          <w:tcPr>
            <w:tcW w:w="18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E3782F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本期平均费用（元）</w:t>
            </w:r>
          </w:p>
        </w:tc>
        <w:tc>
          <w:tcPr>
            <w:tcW w:w="18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BF0919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上期平均费用（元）</w:t>
            </w:r>
          </w:p>
        </w:tc>
      </w:tr>
      <w:tr w14:paraId="5605A60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8ADE1F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</w:t>
            </w:r>
          </w:p>
        </w:tc>
        <w:tc>
          <w:tcPr>
            <w:tcW w:w="3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A0AC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eastAsia="zh-CN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中高危风险患者预防静脉血栓栓塞症</w:t>
            </w:r>
          </w:p>
        </w:tc>
        <w:tc>
          <w:tcPr>
            <w:tcW w:w="18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92D0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4794.03</w:t>
            </w:r>
          </w:p>
        </w:tc>
        <w:tc>
          <w:tcPr>
            <w:tcW w:w="18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32073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4777.2</w:t>
            </w:r>
          </w:p>
        </w:tc>
      </w:tr>
      <w:tr w14:paraId="2376E7B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4B8C1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2</w:t>
            </w:r>
          </w:p>
        </w:tc>
        <w:tc>
          <w:tcPr>
            <w:tcW w:w="3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58E9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eastAsia="zh-CN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围手术期预防感染</w:t>
            </w:r>
          </w:p>
        </w:tc>
        <w:tc>
          <w:tcPr>
            <w:tcW w:w="18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39D3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8732.08</w:t>
            </w:r>
          </w:p>
        </w:tc>
        <w:tc>
          <w:tcPr>
            <w:tcW w:w="18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6B395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8466.64</w:t>
            </w:r>
          </w:p>
        </w:tc>
      </w:tr>
      <w:tr w14:paraId="3FC1788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189957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  <w:t>3</w:t>
            </w:r>
          </w:p>
        </w:tc>
        <w:tc>
          <w:tcPr>
            <w:tcW w:w="3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6C15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脑梗死（首次住院）</w:t>
            </w:r>
          </w:p>
        </w:tc>
        <w:tc>
          <w:tcPr>
            <w:tcW w:w="18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54E3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5308.27</w:t>
            </w:r>
          </w:p>
        </w:tc>
        <w:tc>
          <w:tcPr>
            <w:tcW w:w="18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3D579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4714.17</w:t>
            </w:r>
          </w:p>
        </w:tc>
      </w:tr>
      <w:tr w14:paraId="4A40826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6" w:hRule="exact"/>
          <w:jc w:val="center"/>
        </w:trPr>
        <w:tc>
          <w:tcPr>
            <w:tcW w:w="6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F0CA9B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  <w:t>4</w:t>
            </w:r>
          </w:p>
        </w:tc>
        <w:tc>
          <w:tcPr>
            <w:tcW w:w="39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F52C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慢性阻塞性肺疾病急性发作（住院）</w:t>
            </w:r>
          </w:p>
        </w:tc>
        <w:tc>
          <w:tcPr>
            <w:tcW w:w="18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B38A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4227.95</w:t>
            </w:r>
          </w:p>
        </w:tc>
        <w:tc>
          <w:tcPr>
            <w:tcW w:w="18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C972F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4576.69</w:t>
            </w:r>
          </w:p>
        </w:tc>
      </w:tr>
      <w:tr w14:paraId="2636155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7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D578B6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  <w:t>5</w:t>
            </w:r>
          </w:p>
        </w:tc>
        <w:tc>
          <w:tcPr>
            <w:tcW w:w="3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69D3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社区获得性肺炎（儿童，首次住院）</w:t>
            </w:r>
          </w:p>
        </w:tc>
        <w:tc>
          <w:tcPr>
            <w:tcW w:w="1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0C79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1675.07</w:t>
            </w:r>
          </w:p>
        </w:tc>
        <w:tc>
          <w:tcPr>
            <w:tcW w:w="18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21DFC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1803.44</w:t>
            </w:r>
          </w:p>
        </w:tc>
      </w:tr>
      <w:tr w14:paraId="06C016B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7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8F3BBD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  <w:t>6</w:t>
            </w:r>
          </w:p>
        </w:tc>
        <w:tc>
          <w:tcPr>
            <w:tcW w:w="3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6D8C5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剖宫产</w:t>
            </w:r>
          </w:p>
        </w:tc>
        <w:tc>
          <w:tcPr>
            <w:tcW w:w="1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2B51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5509.09</w:t>
            </w:r>
          </w:p>
        </w:tc>
        <w:tc>
          <w:tcPr>
            <w:tcW w:w="18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5D11D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4988.46</w:t>
            </w:r>
          </w:p>
        </w:tc>
      </w:tr>
      <w:tr w14:paraId="1DF3B7F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7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E011E2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  <w:t>7</w:t>
            </w:r>
          </w:p>
        </w:tc>
        <w:tc>
          <w:tcPr>
            <w:tcW w:w="3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16C5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围手术期预防深静脉血栓栓塞</w:t>
            </w:r>
          </w:p>
        </w:tc>
        <w:tc>
          <w:tcPr>
            <w:tcW w:w="1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650F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7773.5</w:t>
            </w:r>
          </w:p>
        </w:tc>
        <w:tc>
          <w:tcPr>
            <w:tcW w:w="18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ACA69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6498.93</w:t>
            </w:r>
          </w:p>
        </w:tc>
      </w:tr>
      <w:tr w14:paraId="6F3704C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7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4BE06B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  <w:t>8</w:t>
            </w:r>
          </w:p>
        </w:tc>
        <w:tc>
          <w:tcPr>
            <w:tcW w:w="3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0946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房颤</w:t>
            </w:r>
          </w:p>
        </w:tc>
        <w:tc>
          <w:tcPr>
            <w:tcW w:w="1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C644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3678.29</w:t>
            </w:r>
          </w:p>
        </w:tc>
        <w:tc>
          <w:tcPr>
            <w:tcW w:w="18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1D403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3335.75</w:t>
            </w:r>
          </w:p>
        </w:tc>
      </w:tr>
      <w:tr w14:paraId="21B6809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6" w:hRule="exact"/>
          <w:jc w:val="center"/>
        </w:trPr>
        <w:tc>
          <w:tcPr>
            <w:tcW w:w="67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247309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  <w:t>9</w:t>
            </w:r>
          </w:p>
        </w:tc>
        <w:tc>
          <w:tcPr>
            <w:tcW w:w="3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A7D9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脑出血</w:t>
            </w:r>
          </w:p>
        </w:tc>
        <w:tc>
          <w:tcPr>
            <w:tcW w:w="1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B210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11709.54</w:t>
            </w:r>
          </w:p>
        </w:tc>
        <w:tc>
          <w:tcPr>
            <w:tcW w:w="18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51BC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10950.32</w:t>
            </w:r>
          </w:p>
        </w:tc>
      </w:tr>
      <w:tr w14:paraId="4F0693F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7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0AC936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  <w:t>10</w:t>
            </w:r>
          </w:p>
        </w:tc>
        <w:tc>
          <w:tcPr>
            <w:tcW w:w="3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D0A5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短暂性脑缺血发作</w:t>
            </w:r>
          </w:p>
        </w:tc>
        <w:tc>
          <w:tcPr>
            <w:tcW w:w="1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0118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2672.8</w:t>
            </w:r>
          </w:p>
        </w:tc>
        <w:tc>
          <w:tcPr>
            <w:tcW w:w="18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A051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3046.33</w:t>
            </w:r>
          </w:p>
        </w:tc>
      </w:tr>
      <w:tr w14:paraId="1415ACB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7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D7D1DF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  <w:t>11</w:t>
            </w:r>
          </w:p>
        </w:tc>
        <w:tc>
          <w:tcPr>
            <w:tcW w:w="3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5DDD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社区获得性肺炎（成人，首次住院）</w:t>
            </w:r>
          </w:p>
        </w:tc>
        <w:tc>
          <w:tcPr>
            <w:tcW w:w="1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B2E7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6446.94</w:t>
            </w:r>
          </w:p>
        </w:tc>
        <w:tc>
          <w:tcPr>
            <w:tcW w:w="18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8E459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6611.27</w:t>
            </w:r>
          </w:p>
        </w:tc>
      </w:tr>
      <w:tr w14:paraId="36627B1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7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9DEA4F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  <w:t>12</w:t>
            </w:r>
          </w:p>
        </w:tc>
        <w:tc>
          <w:tcPr>
            <w:tcW w:w="3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7D08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髋关节置换术</w:t>
            </w:r>
          </w:p>
        </w:tc>
        <w:tc>
          <w:tcPr>
            <w:tcW w:w="1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60C4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20445.77</w:t>
            </w:r>
          </w:p>
        </w:tc>
        <w:tc>
          <w:tcPr>
            <w:tcW w:w="18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90948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23271.89</w:t>
            </w:r>
          </w:p>
        </w:tc>
      </w:tr>
      <w:tr w14:paraId="41C39A5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7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791758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  <w:t>13</w:t>
            </w:r>
          </w:p>
        </w:tc>
        <w:tc>
          <w:tcPr>
            <w:tcW w:w="3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5211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严重脓毒症和脓毒症休克早期治疗</w:t>
            </w:r>
          </w:p>
        </w:tc>
        <w:tc>
          <w:tcPr>
            <w:tcW w:w="1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A124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7128.57</w:t>
            </w:r>
          </w:p>
        </w:tc>
        <w:tc>
          <w:tcPr>
            <w:tcW w:w="18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85148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7699.84</w:t>
            </w:r>
          </w:p>
        </w:tc>
      </w:tr>
      <w:tr w14:paraId="0ED38C3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7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32845E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  <w:t>14</w:t>
            </w:r>
          </w:p>
        </w:tc>
        <w:tc>
          <w:tcPr>
            <w:tcW w:w="3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2B7D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子宫肌瘤（手术治疗）</w:t>
            </w:r>
          </w:p>
        </w:tc>
        <w:tc>
          <w:tcPr>
            <w:tcW w:w="1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5FD5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7334.09</w:t>
            </w:r>
          </w:p>
        </w:tc>
        <w:tc>
          <w:tcPr>
            <w:tcW w:w="18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CD905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7567.8</w:t>
            </w:r>
          </w:p>
        </w:tc>
      </w:tr>
      <w:tr w14:paraId="7A98042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7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424B08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  <w:t>15</w:t>
            </w:r>
          </w:p>
        </w:tc>
        <w:tc>
          <w:tcPr>
            <w:tcW w:w="3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6128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原发性急性闭角型青光眼（手术治疗）</w:t>
            </w:r>
          </w:p>
        </w:tc>
        <w:tc>
          <w:tcPr>
            <w:tcW w:w="1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3C45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4311.87</w:t>
            </w:r>
          </w:p>
        </w:tc>
        <w:tc>
          <w:tcPr>
            <w:tcW w:w="18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DE8F9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Calibri" w:hAnsi="Calibri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/</w:t>
            </w:r>
          </w:p>
        </w:tc>
      </w:tr>
      <w:tr w14:paraId="2E34E66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7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5AA80E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  <w:t>16</w:t>
            </w:r>
          </w:p>
        </w:tc>
        <w:tc>
          <w:tcPr>
            <w:tcW w:w="3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FCBC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甲状腺癌（手术治疗）</w:t>
            </w:r>
          </w:p>
        </w:tc>
        <w:tc>
          <w:tcPr>
            <w:tcW w:w="1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FF7D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9710.15</w:t>
            </w:r>
          </w:p>
        </w:tc>
        <w:tc>
          <w:tcPr>
            <w:tcW w:w="18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9EC16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9893.49</w:t>
            </w:r>
          </w:p>
        </w:tc>
      </w:tr>
      <w:tr w14:paraId="04AA9C1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6" w:hRule="exact"/>
          <w:jc w:val="center"/>
        </w:trPr>
        <w:tc>
          <w:tcPr>
            <w:tcW w:w="67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C630AD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  <w:t>17</w:t>
            </w:r>
          </w:p>
        </w:tc>
        <w:tc>
          <w:tcPr>
            <w:tcW w:w="3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7557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急性心肌梗死（ST 段抬高型，首次住院）</w:t>
            </w:r>
          </w:p>
        </w:tc>
        <w:tc>
          <w:tcPr>
            <w:tcW w:w="1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3E59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9517.62</w:t>
            </w:r>
          </w:p>
        </w:tc>
        <w:tc>
          <w:tcPr>
            <w:tcW w:w="18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EA148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Calibri" w:hAnsi="Calibri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/</w:t>
            </w:r>
          </w:p>
        </w:tc>
      </w:tr>
      <w:tr w14:paraId="19A9D74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7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AE2311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  <w:t>18</w:t>
            </w:r>
          </w:p>
        </w:tc>
        <w:tc>
          <w:tcPr>
            <w:tcW w:w="3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21D6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急性呼吸窘迫综合征</w:t>
            </w:r>
          </w:p>
        </w:tc>
        <w:tc>
          <w:tcPr>
            <w:tcW w:w="1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0402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7578.3</w:t>
            </w:r>
          </w:p>
        </w:tc>
        <w:tc>
          <w:tcPr>
            <w:tcW w:w="18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3A142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5885.91</w:t>
            </w:r>
          </w:p>
        </w:tc>
      </w:tr>
      <w:tr w14:paraId="5B48483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7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EC41BE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  <w:t>19</w:t>
            </w:r>
          </w:p>
        </w:tc>
        <w:tc>
          <w:tcPr>
            <w:tcW w:w="3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E4F8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哮喘（成人，急性发作，住院）</w:t>
            </w:r>
          </w:p>
        </w:tc>
        <w:tc>
          <w:tcPr>
            <w:tcW w:w="1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2EE8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2994.9</w:t>
            </w:r>
          </w:p>
        </w:tc>
        <w:tc>
          <w:tcPr>
            <w:tcW w:w="18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F5F00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2357.89</w:t>
            </w:r>
          </w:p>
        </w:tc>
      </w:tr>
      <w:tr w14:paraId="0639A53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7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1D155D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  <w:t>20</w:t>
            </w:r>
          </w:p>
        </w:tc>
        <w:tc>
          <w:tcPr>
            <w:tcW w:w="3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23D2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胃癌（手术治疗）</w:t>
            </w:r>
          </w:p>
        </w:tc>
        <w:tc>
          <w:tcPr>
            <w:tcW w:w="1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0939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38915.07</w:t>
            </w:r>
          </w:p>
        </w:tc>
        <w:tc>
          <w:tcPr>
            <w:tcW w:w="18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97E29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43705.03</w:t>
            </w:r>
          </w:p>
        </w:tc>
      </w:tr>
    </w:tbl>
    <w:p w14:paraId="13371846">
      <w:pPr>
        <w:pStyle w:val="8"/>
        <w:bidi w:val="0"/>
        <w:rPr>
          <w:rFonts w:ascii="黑体" w:hAnsi="宋体" w:eastAsia="黑体" w:cs="宋体"/>
          <w:kern w:val="0"/>
          <w:sz w:val="36"/>
          <w:szCs w:val="36"/>
        </w:rPr>
      </w:pPr>
      <w:r>
        <w:rPr>
          <w:rFonts w:hint="eastAsia" w:ascii="黑体" w:hAnsi="宋体" w:eastAsia="黑体" w:cs="宋体"/>
          <w:kern w:val="0"/>
          <w:sz w:val="32"/>
          <w:szCs w:val="32"/>
        </w:rPr>
        <w:t>附件3</w:t>
      </w:r>
    </w:p>
    <w:p w14:paraId="6F82F749">
      <w:pPr>
        <w:spacing w:line="520" w:lineRule="exact"/>
        <w:jc w:val="center"/>
        <w:rPr>
          <w:rFonts w:ascii="方正小标宋简体" w:hAnsi="宋体" w:eastAsia="方正小标宋简体" w:cs="宋体"/>
          <w:kern w:val="0"/>
          <w:sz w:val="36"/>
          <w:szCs w:val="36"/>
        </w:rPr>
      </w:pPr>
      <w:r>
        <w:rPr>
          <w:rFonts w:hint="eastAsia" w:ascii="方正小标宋简体" w:hAnsi="宋体" w:eastAsia="方正小标宋简体" w:cs="宋体"/>
          <w:kern w:val="0"/>
          <w:sz w:val="36"/>
          <w:szCs w:val="36"/>
        </w:rPr>
        <w:t>医疗机构服务承诺内容</w:t>
      </w:r>
    </w:p>
    <w:p w14:paraId="1950478B">
      <w:pPr>
        <w:jc w:val="center"/>
        <w:rPr>
          <w:rFonts w:ascii="宋体" w:hAnsi="宋体" w:cs="宋体"/>
          <w:kern w:val="0"/>
          <w:szCs w:val="21"/>
        </w:rPr>
      </w:pPr>
    </w:p>
    <w:tbl>
      <w:tblPr>
        <w:tblStyle w:val="13"/>
        <w:tblW w:w="10245" w:type="dxa"/>
        <w:tblCellSpacing w:w="0" w:type="dxa"/>
        <w:tblInd w:w="-81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5"/>
        <w:gridCol w:w="9390"/>
      </w:tblGrid>
      <w:tr w14:paraId="5ADCA4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  <w:tblCellSpacing w:w="0" w:type="dxa"/>
        </w:trPr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C7CDC7">
            <w:pPr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序号</w:t>
            </w:r>
          </w:p>
        </w:tc>
        <w:tc>
          <w:tcPr>
            <w:tcW w:w="9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306A01">
            <w:pPr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承诺服务内容</w:t>
            </w:r>
          </w:p>
        </w:tc>
      </w:tr>
      <w:tr w14:paraId="247793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17" w:hRule="atLeast"/>
          <w:tblCellSpacing w:w="0" w:type="dxa"/>
        </w:trPr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430CCC">
            <w:pPr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1</w:t>
            </w:r>
          </w:p>
        </w:tc>
        <w:tc>
          <w:tcPr>
            <w:tcW w:w="9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24D58B">
            <w:pPr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以“救死扶伤”为神圣职责，树立“一切以病人为中心”的服务理念，全心全意为伤病员服务。</w:t>
            </w:r>
          </w:p>
        </w:tc>
      </w:tr>
      <w:tr w14:paraId="2E69FB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2" w:hRule="atLeast"/>
          <w:tblCellSpacing w:w="0" w:type="dxa"/>
        </w:trPr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30CE22">
            <w:pPr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2</w:t>
            </w:r>
          </w:p>
        </w:tc>
        <w:tc>
          <w:tcPr>
            <w:tcW w:w="9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D36010">
            <w:pPr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一切医疗服务行为严格遵章守纪，严守操作规程，按医疗科学对患者进行检查诊断和治疗。</w:t>
            </w:r>
          </w:p>
        </w:tc>
      </w:tr>
      <w:tr w14:paraId="39744E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6" w:hRule="atLeast"/>
          <w:tblCellSpacing w:w="0" w:type="dxa"/>
        </w:trPr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1C275B">
            <w:pPr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3</w:t>
            </w:r>
          </w:p>
        </w:tc>
        <w:tc>
          <w:tcPr>
            <w:tcW w:w="9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7FED5C">
            <w:pPr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为患者提供良好的就诊和住院条件，服务能力和医护质量达到二级甲等医院标准。</w:t>
            </w:r>
          </w:p>
        </w:tc>
      </w:tr>
      <w:tr w14:paraId="287835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6" w:hRule="atLeast"/>
          <w:tblCellSpacing w:w="0" w:type="dxa"/>
        </w:trPr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38E317">
            <w:pPr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4</w:t>
            </w:r>
          </w:p>
        </w:tc>
        <w:tc>
          <w:tcPr>
            <w:tcW w:w="9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4E284B">
            <w:pPr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严格执行医疗服务价格，在保证质量的前提下，控制医疗费用增长，合理检查，合理用药，使人均出院费用控制在市县标准线以内。</w:t>
            </w:r>
          </w:p>
        </w:tc>
      </w:tr>
      <w:tr w14:paraId="173459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1" w:hRule="atLeast"/>
          <w:tblCellSpacing w:w="0" w:type="dxa"/>
        </w:trPr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1156C7">
            <w:pPr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5</w:t>
            </w:r>
          </w:p>
        </w:tc>
        <w:tc>
          <w:tcPr>
            <w:tcW w:w="9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499F1A">
            <w:pPr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严格执行城镇职工医保、城镇居民和居民医保政策，保障资金安全，服务质量让患者满意，费用控制不超过规定标准。</w:t>
            </w:r>
          </w:p>
        </w:tc>
      </w:tr>
      <w:tr w14:paraId="047EF2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6" w:hRule="atLeast"/>
          <w:tblCellSpacing w:w="0" w:type="dxa"/>
        </w:trPr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588C37">
            <w:pPr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6</w:t>
            </w:r>
          </w:p>
        </w:tc>
        <w:tc>
          <w:tcPr>
            <w:tcW w:w="9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5A66BF">
            <w:pPr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抵制一切商业贿赂行为，不接受红包、回扣，不以权、以医谋私。</w:t>
            </w:r>
          </w:p>
        </w:tc>
      </w:tr>
      <w:tr w14:paraId="79A3E0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2" w:hRule="atLeast"/>
          <w:tblCellSpacing w:w="0" w:type="dxa"/>
        </w:trPr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44749C">
            <w:pPr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7</w:t>
            </w:r>
          </w:p>
        </w:tc>
        <w:tc>
          <w:tcPr>
            <w:tcW w:w="9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EEC04D">
            <w:pPr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不断改善服务态度，提高服务质量，把“三好一满意”作为我院的服务标准，用“宾馆式服务”的理念和“优质护理服务”的要求为每一位患者提供满意的服务。</w:t>
            </w:r>
          </w:p>
          <w:p w14:paraId="5265FEA5">
            <w:pPr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</w:p>
        </w:tc>
      </w:tr>
      <w:tr w14:paraId="693864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0" w:hRule="atLeast"/>
          <w:tblCellSpacing w:w="0" w:type="dxa"/>
        </w:trPr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2F2BC1">
            <w:pPr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8</w:t>
            </w:r>
          </w:p>
        </w:tc>
        <w:tc>
          <w:tcPr>
            <w:tcW w:w="9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2ECF02">
            <w:pPr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认真负责地落实处理每一位患者、家属及社会的投诉或举报。对投诉的每一条意见和建议，凡署实名者，做到100%回复处理。</w:t>
            </w:r>
          </w:p>
        </w:tc>
      </w:tr>
      <w:tr w14:paraId="38653A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5" w:hRule="atLeast"/>
          <w:tblCellSpacing w:w="0" w:type="dxa"/>
        </w:trPr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55D8C9">
            <w:pPr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9</w:t>
            </w:r>
          </w:p>
        </w:tc>
        <w:tc>
          <w:tcPr>
            <w:tcW w:w="9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E52FF6">
            <w:pPr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对职工关心的热点问题实行院务公开，各种招标、采购实行阳光操作，药品、耗材进购、劳动鉴定、体检、转院等流程公开，接受社会监督。</w:t>
            </w:r>
          </w:p>
        </w:tc>
      </w:tr>
    </w:tbl>
    <w:p w14:paraId="386501FD">
      <w:pPr>
        <w:pageBreakBefore/>
        <w:spacing w:line="520" w:lineRule="exact"/>
        <w:rPr>
          <w:rFonts w:ascii="黑体" w:hAnsi="宋体" w:eastAsia="黑体" w:cs="宋体"/>
          <w:kern w:val="0"/>
          <w:sz w:val="32"/>
          <w:szCs w:val="32"/>
        </w:rPr>
      </w:pPr>
      <w:r>
        <w:rPr>
          <w:rFonts w:hint="eastAsia" w:ascii="黑体" w:hAnsi="宋体" w:eastAsia="黑体" w:cs="宋体"/>
          <w:kern w:val="0"/>
          <w:sz w:val="32"/>
          <w:szCs w:val="32"/>
        </w:rPr>
        <w:t>附件4</w:t>
      </w:r>
    </w:p>
    <w:p w14:paraId="2C99EDCE">
      <w:pPr>
        <w:widowControl/>
        <w:spacing w:line="240" w:lineRule="exact"/>
        <w:jc w:val="center"/>
        <w:rPr>
          <w:rFonts w:ascii="黑体" w:hAnsi="宋体" w:eastAsia="黑体" w:cs="宋体"/>
          <w:kern w:val="0"/>
          <w:sz w:val="36"/>
          <w:szCs w:val="36"/>
        </w:rPr>
      </w:pPr>
    </w:p>
    <w:p w14:paraId="07D7D45F">
      <w:pPr>
        <w:widowControl/>
        <w:spacing w:line="520" w:lineRule="exact"/>
        <w:jc w:val="center"/>
        <w:rPr>
          <w:rFonts w:ascii="方正小标宋简体" w:hAnsi="宋体" w:eastAsia="方正小标宋简体" w:cs="宋体"/>
          <w:kern w:val="0"/>
          <w:sz w:val="36"/>
          <w:szCs w:val="36"/>
        </w:rPr>
      </w:pPr>
      <w:r>
        <w:rPr>
          <w:rFonts w:hint="eastAsia" w:ascii="方正小标宋简体" w:hAnsi="宋体" w:eastAsia="方正小标宋简体" w:cs="宋体"/>
          <w:kern w:val="0"/>
          <w:sz w:val="36"/>
          <w:szCs w:val="36"/>
        </w:rPr>
        <w:t>安徽省医疗服务信息社会公开指标说明</w:t>
      </w:r>
    </w:p>
    <w:p w14:paraId="011EDF65">
      <w:pPr>
        <w:widowControl/>
        <w:spacing w:line="240" w:lineRule="exact"/>
        <w:jc w:val="center"/>
        <w:rPr>
          <w:rFonts w:ascii="方正小标宋简体" w:hAnsi="宋体" w:eastAsia="方正小标宋简体" w:cs="宋体"/>
          <w:kern w:val="0"/>
          <w:sz w:val="36"/>
          <w:szCs w:val="36"/>
        </w:rPr>
      </w:pPr>
    </w:p>
    <w:tbl>
      <w:tblPr>
        <w:tblStyle w:val="13"/>
        <w:tblW w:w="8976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38"/>
        <w:gridCol w:w="1782"/>
        <w:gridCol w:w="1185"/>
        <w:gridCol w:w="4371"/>
      </w:tblGrid>
      <w:tr w14:paraId="2BC44C6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16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C11D9B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信息分类</w:t>
            </w: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EEAFE23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指标项目</w:t>
            </w:r>
          </w:p>
        </w:tc>
        <w:tc>
          <w:tcPr>
            <w:tcW w:w="43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C9B9ED6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指标定义、计算公式</w:t>
            </w:r>
          </w:p>
        </w:tc>
      </w:tr>
      <w:tr w14:paraId="7FD0A5D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639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2FBB24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1.基本情况</w:t>
            </w:r>
          </w:p>
        </w:tc>
        <w:tc>
          <w:tcPr>
            <w:tcW w:w="1782" w:type="dxa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254BE23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1.1 重点（特色）专科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28985CD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国家级</w:t>
            </w:r>
          </w:p>
        </w:tc>
        <w:tc>
          <w:tcPr>
            <w:tcW w:w="4372" w:type="dxa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359F25D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列举经各级卫生健康行政部门评定的重点专科名称</w:t>
            </w:r>
          </w:p>
        </w:tc>
      </w:tr>
      <w:tr w14:paraId="1829C2A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EC7680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7339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FA2C21F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1BA903E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省  级</w:t>
            </w:r>
          </w:p>
        </w:tc>
        <w:tc>
          <w:tcPr>
            <w:tcW w:w="4372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73B3447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</w:tr>
      <w:tr w14:paraId="11D1E5A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84A08A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7339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850212E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FA9D951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市  级</w:t>
            </w:r>
          </w:p>
        </w:tc>
        <w:tc>
          <w:tcPr>
            <w:tcW w:w="4372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82F0081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</w:tr>
      <w:tr w14:paraId="6F00A62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CF6659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7339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A5879A3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BD17501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院  级</w:t>
            </w:r>
          </w:p>
        </w:tc>
        <w:tc>
          <w:tcPr>
            <w:tcW w:w="43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994134F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列举医疗机构自行评定的特色专科名称</w:t>
            </w:r>
          </w:p>
        </w:tc>
      </w:tr>
      <w:tr w14:paraId="4CF659F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7" w:hRule="exac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670FF2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56C94EF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1.2 “江淮名医”人数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04C8A3B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医疗机构荣获安徽省“江淮名医”荣誉称号人数</w:t>
            </w:r>
          </w:p>
        </w:tc>
      </w:tr>
      <w:tr w14:paraId="7DFDE45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F91A26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4957375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1.3 床医比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0DD85BE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=实际开放床位数/注册医师总数</w:t>
            </w:r>
          </w:p>
        </w:tc>
      </w:tr>
      <w:tr w14:paraId="2D56C2B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BE82F4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59054E7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1.4 床护比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BB0CF22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=实际开放床位数/注册护士总数</w:t>
            </w:r>
          </w:p>
        </w:tc>
      </w:tr>
      <w:tr w14:paraId="3CA122F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exact"/>
          <w:jc w:val="center"/>
        </w:trPr>
        <w:tc>
          <w:tcPr>
            <w:tcW w:w="1639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582221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2.医疗费用</w:t>
            </w: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2DB7F6B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2.1 门诊患者人均医疗费用（元）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45BC8DF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=门诊收入/门诊诊疗人次</w:t>
            </w:r>
          </w:p>
        </w:tc>
      </w:tr>
      <w:tr w14:paraId="6D9953E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exac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83526A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E111F02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2.2 住院患者人均医疗费用（元）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1C3FF1A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=住院收入/出院人次</w:t>
            </w:r>
          </w:p>
        </w:tc>
      </w:tr>
      <w:tr w14:paraId="74E7144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2" w:hRule="exac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127260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33892C2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2.3 医疗机构住院患者单病种平均费用（见附件2）</w:t>
            </w:r>
          </w:p>
        </w:tc>
        <w:tc>
          <w:tcPr>
            <w:tcW w:w="43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8840606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分别计算医疗机构住院患者前20位单病种的平均费用和医疗机构特色专科住院患者前5位单病种平均费用</w:t>
            </w:r>
          </w:p>
          <w:p w14:paraId="70804211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</w:tr>
      <w:tr w14:paraId="72777A0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CBCD25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78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DA008D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2.4 基本医保实际报销比例（%）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652895E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城镇职工</w:t>
            </w:r>
          </w:p>
        </w:tc>
        <w:tc>
          <w:tcPr>
            <w:tcW w:w="4372" w:type="dxa"/>
            <w:vMerge w:val="restar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D91D3A1">
            <w:pPr>
              <w:widowControl/>
              <w:spacing w:line="360" w:lineRule="exac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分别计算两类医保住院患者平均实际报销比例</w:t>
            </w:r>
          </w:p>
        </w:tc>
      </w:tr>
      <w:tr w14:paraId="5708A50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DA8E29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73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4C1541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E1BF72A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城乡居民</w:t>
            </w:r>
          </w:p>
        </w:tc>
        <w:tc>
          <w:tcPr>
            <w:tcW w:w="4372" w:type="dxa"/>
            <w:vMerge w:val="continue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8539122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</w:tr>
      <w:tr w14:paraId="67D320F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1639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A61D4E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3.医疗质量</w:t>
            </w: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9F0714C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3.1 治愈好转率（%）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F407100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=治愈好转人次/出院人次*100%</w:t>
            </w:r>
          </w:p>
        </w:tc>
      </w:tr>
      <w:tr w14:paraId="6EF9A59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exac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F3DD26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19183E9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3.2 手术前后诊断符合率（%）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F54CBF4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=手术前后诊断符合数/出院人次*100%</w:t>
            </w:r>
          </w:p>
        </w:tc>
      </w:tr>
      <w:tr w14:paraId="5138B73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2" w:hRule="exac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141839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B8EE202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3.3 急诊抢救成功率（%）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50A1BB5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=急诊抢救成功次数/急诊抢救次数*100%</w:t>
            </w:r>
          </w:p>
        </w:tc>
      </w:tr>
      <w:tr w14:paraId="39B346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2" w:hRule="exac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425713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243FC56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3.4 抗菌药物使用强度（DDDs）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CD05A33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=住院患者抗菌药物消耗量（累计DDD数）*100/同期收治患者人天数</w:t>
            </w:r>
          </w:p>
        </w:tc>
      </w:tr>
      <w:tr w14:paraId="6E4027E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exac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B72C57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EE480C6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3.5 门诊输液率（%）</w:t>
            </w:r>
          </w:p>
        </w:tc>
        <w:tc>
          <w:tcPr>
            <w:tcW w:w="43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E83F374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=门诊输液人次数/门诊诊疗人次*100%</w:t>
            </w:r>
          </w:p>
        </w:tc>
      </w:tr>
      <w:tr w14:paraId="005CA3D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7" w:hRule="exac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B504D0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B7881E5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3.6 无菌手术切口感染率（%）</w:t>
            </w:r>
          </w:p>
        </w:tc>
        <w:tc>
          <w:tcPr>
            <w:tcW w:w="43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E1914FB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=无菌手术切口感染数/无菌手术人次*100%</w:t>
            </w:r>
          </w:p>
        </w:tc>
      </w:tr>
      <w:tr w14:paraId="3EFBD36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7" w:hRule="exact"/>
          <w:jc w:val="center"/>
        </w:trPr>
        <w:tc>
          <w:tcPr>
            <w:tcW w:w="16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32ADAE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B7C6F4B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3.7 住院患者压疮发生率（%）</w:t>
            </w:r>
          </w:p>
        </w:tc>
        <w:tc>
          <w:tcPr>
            <w:tcW w:w="43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BA3CC1A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=发生压疮的患者人次/出院患者人次*100%</w:t>
            </w:r>
          </w:p>
        </w:tc>
      </w:tr>
      <w:tr w14:paraId="24D232F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2" w:hRule="exac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810B28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DEFA8BF">
            <w:pPr>
              <w:widowControl/>
              <w:spacing w:line="360" w:lineRule="exac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3.8 出院患者手术占比（%）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EEBF8F3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=出院患者手术台次数/同期出院患者总人次数*100%</w:t>
            </w:r>
          </w:p>
        </w:tc>
      </w:tr>
      <w:tr w14:paraId="25716AD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2" w:hRule="exac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B0F221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4A1390B">
            <w:pPr>
              <w:widowControl/>
              <w:spacing w:line="360" w:lineRule="exac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3.9 手术患者并发症发生率（%）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CE2A922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=手术患者并发症发生例数/同期出院的手术患者人数*100%</w:t>
            </w:r>
          </w:p>
        </w:tc>
      </w:tr>
      <w:tr w14:paraId="70DB80F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7" w:hRule="exact"/>
          <w:jc w:val="center"/>
        </w:trPr>
        <w:tc>
          <w:tcPr>
            <w:tcW w:w="163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8D5030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4.运行效率</w:t>
            </w: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273AD2D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4.1 门诊患者平均预约诊疗率（%）</w:t>
            </w:r>
          </w:p>
        </w:tc>
        <w:tc>
          <w:tcPr>
            <w:tcW w:w="43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1639AC6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=预约诊疗人次数/总诊疗人次数*100%</w:t>
            </w:r>
          </w:p>
        </w:tc>
      </w:tr>
      <w:tr w14:paraId="428CC1B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8" w:hRule="exact"/>
          <w:jc w:val="center"/>
        </w:trPr>
        <w:tc>
          <w:tcPr>
            <w:tcW w:w="16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42A826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43A3152">
            <w:pPr>
              <w:widowControl/>
              <w:spacing w:line="360" w:lineRule="exac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4.2 门诊患者预约后平均等待时间（分钟）</w:t>
            </w:r>
          </w:p>
        </w:tc>
        <w:tc>
          <w:tcPr>
            <w:tcW w:w="43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E450E02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∑{进入诊室诊疗的时钟时间</w:t>
            </w:r>
            <w:r>
              <w:rPr>
                <w:rFonts w:hint="eastAsia" w:ascii="MS Mincho" w:hAnsi="MS Mincho" w:eastAsia="MS Mincho" w:cs="MS Mincho"/>
                <w:kern w:val="0"/>
                <w:sz w:val="24"/>
                <w:szCs w:val="22"/>
              </w:rPr>
              <w:t>−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2"/>
              </w:rPr>
              <w:t>到达分诊台或通过信息系统（自助机、</w:t>
            </w: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APP 等）报到的时钟时间}/预约诊疗人次数</w:t>
            </w:r>
          </w:p>
        </w:tc>
      </w:tr>
      <w:tr w14:paraId="77BABF3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  <w:jc w:val="center"/>
        </w:trPr>
        <w:tc>
          <w:tcPr>
            <w:tcW w:w="16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2299A9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78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7CEFC6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4.3 术前待床日（天）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FB81DB8">
            <w:pPr>
              <w:widowControl/>
              <w:spacing w:line="36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二级手术</w:t>
            </w:r>
          </w:p>
        </w:tc>
        <w:tc>
          <w:tcPr>
            <w:tcW w:w="4372" w:type="dxa"/>
            <w:vMerge w:val="restar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FEEB555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分别计算各级手术患者从入院时点至手术时点的平均等候时间，以天为单位计算。</w:t>
            </w:r>
          </w:p>
        </w:tc>
      </w:tr>
      <w:tr w14:paraId="69F213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  <w:jc w:val="center"/>
        </w:trPr>
        <w:tc>
          <w:tcPr>
            <w:tcW w:w="16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FD7E06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73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E51950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7860A17">
            <w:pPr>
              <w:widowControl/>
              <w:spacing w:line="36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三级手术</w:t>
            </w:r>
          </w:p>
        </w:tc>
        <w:tc>
          <w:tcPr>
            <w:tcW w:w="4372" w:type="dxa"/>
            <w:vMerge w:val="continue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15BCA43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</w:tr>
      <w:tr w14:paraId="4D33E72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  <w:jc w:val="center"/>
        </w:trPr>
        <w:tc>
          <w:tcPr>
            <w:tcW w:w="16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D8C7BA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73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8F470A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3D6037E">
            <w:pPr>
              <w:widowControl/>
              <w:spacing w:line="36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四级手术</w:t>
            </w:r>
          </w:p>
        </w:tc>
        <w:tc>
          <w:tcPr>
            <w:tcW w:w="4372" w:type="dxa"/>
            <w:vMerge w:val="continue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CC4A470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</w:tr>
      <w:tr w14:paraId="63A37A4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7" w:hRule="exact"/>
          <w:jc w:val="center"/>
        </w:trPr>
        <w:tc>
          <w:tcPr>
            <w:tcW w:w="16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CE27F0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B72CAF9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4.4 病床使用率（%）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602723F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=实际占用总床日数/实际开放总床日数*100%</w:t>
            </w:r>
          </w:p>
        </w:tc>
      </w:tr>
      <w:tr w14:paraId="6BC1571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7" w:hRule="exact"/>
          <w:jc w:val="center"/>
        </w:trPr>
        <w:tc>
          <w:tcPr>
            <w:tcW w:w="16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B51EF3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EF75D40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4.5 出院者平均住院日（天）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376FC09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=出院者占用总床日数/出院人次数</w:t>
            </w:r>
          </w:p>
        </w:tc>
      </w:tr>
      <w:tr w14:paraId="1B93701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exact"/>
          <w:jc w:val="center"/>
        </w:trPr>
        <w:tc>
          <w:tcPr>
            <w:tcW w:w="16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EBB00F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A490F27">
            <w:pPr>
              <w:widowControl/>
              <w:spacing w:line="360" w:lineRule="exac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4.6 门诊人次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C94FF2A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本季度门诊患者人次数</w:t>
            </w:r>
          </w:p>
        </w:tc>
      </w:tr>
      <w:tr w14:paraId="4EAB45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exact"/>
          <w:jc w:val="center"/>
        </w:trPr>
        <w:tc>
          <w:tcPr>
            <w:tcW w:w="16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AD316E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5F6A659">
            <w:pPr>
              <w:widowControl/>
              <w:spacing w:line="360" w:lineRule="exac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4.7 出院人次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E84E2BF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本季度出院患者人次数</w:t>
            </w:r>
          </w:p>
        </w:tc>
      </w:tr>
      <w:tr w14:paraId="7808AD3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2" w:hRule="exact"/>
          <w:jc w:val="center"/>
        </w:trPr>
        <w:tc>
          <w:tcPr>
            <w:tcW w:w="16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809D94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5.患者满意度</w:t>
            </w: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3C89FB1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总体满意度（%）</w:t>
            </w:r>
          </w:p>
        </w:tc>
        <w:tc>
          <w:tcPr>
            <w:tcW w:w="43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CA60968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以第三方机构调查报告数据为准。三级医疗机构和省属医疗机构应用省卫生健康委满意度评价。</w:t>
            </w:r>
          </w:p>
        </w:tc>
      </w:tr>
      <w:tr w14:paraId="268F338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6" w:hRule="exact"/>
          <w:jc w:val="center"/>
        </w:trPr>
        <w:tc>
          <w:tcPr>
            <w:tcW w:w="16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4ED58F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6.服务承诺</w:t>
            </w:r>
          </w:p>
        </w:tc>
        <w:tc>
          <w:tcPr>
            <w:tcW w:w="733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9004035">
            <w:pPr>
              <w:widowControl/>
              <w:spacing w:line="360" w:lineRule="exac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医疗机构主动向社会承诺的服务内容（含我省医疗机构统一和自选）</w:t>
            </w:r>
          </w:p>
        </w:tc>
      </w:tr>
    </w:tbl>
    <w:p w14:paraId="0F1CBD9E">
      <w:pPr>
        <w:jc w:val="center"/>
        <w:rPr>
          <w:rFonts w:ascii="方正小标宋简体" w:hAnsi="宋体" w:eastAsia="方正小标宋简体" w:cs="宋体"/>
          <w:kern w:val="0"/>
          <w:sz w:val="36"/>
          <w:szCs w:val="36"/>
        </w:rPr>
      </w:pPr>
    </w:p>
    <w:p w14:paraId="28B656C3">
      <w:pPr>
        <w:shd w:val="clear" w:color="auto" w:fill="FFFFFF"/>
        <w:overflowPunct w:val="0"/>
        <w:adjustRightInd w:val="0"/>
        <w:snapToGrid w:val="0"/>
        <w:spacing w:line="240" w:lineRule="auto"/>
        <w:jc w:val="left"/>
        <w:rPr>
          <w:rFonts w:ascii="仿宋" w:hAnsi="仿宋" w:eastAsia="仿宋" w:cs="仿宋"/>
          <w:sz w:val="30"/>
          <w:szCs w:val="30"/>
        </w:rPr>
      </w:pPr>
    </w:p>
    <w:sectPr>
      <w:footerReference r:id="rId3" w:type="default"/>
      <w:footerReference r:id="rId4" w:type="even"/>
      <w:pgSz w:w="11906" w:h="16838"/>
      <w:pgMar w:top="1701" w:right="1531" w:bottom="1440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9B6A6AFD-C675-4829-BB27-C5A65FBDB6E0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E4194683-B554-476F-BE48-D472C06D8989}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  <w:embedRegular r:id="rId3" w:fontKey="{0AC7789E-000C-4BD1-B1A8-89882A43CE3F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  <w:embedRegular r:id="rId4" w:fontKey="{1ED20239-6D6B-4FA6-BCAE-76C334ADD8AE}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  <w:embedRegular r:id="rId5" w:fontKey="{EE22C8CC-2CFD-4085-AE12-2A939035DC35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6" w:fontKey="{310C9120-FA3E-422C-92B1-53B4864425EB}"/>
  </w:font>
  <w:font w:name="MS Mincho">
    <w:altName w:val="Yu Gothic UI"/>
    <w:panose1 w:val="02020609040205080304"/>
    <w:charset w:val="80"/>
    <w:family w:val="modern"/>
    <w:pitch w:val="default"/>
    <w:sig w:usb0="00000000" w:usb1="00000000" w:usb2="00000012" w:usb3="00000000" w:csb0="4002009F" w:csb1="DFD70000"/>
    <w:embedRegular r:id="rId7" w:fontKey="{064BF023-544D-40B2-952D-87654ECEFFEF}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1AAE768">
    <w:pPr>
      <w:pStyle w:val="9"/>
      <w:framePr w:wrap="around" w:vAnchor="text" w:hAnchor="margin" w:xAlign="outside" w:y="1"/>
      <w:rPr>
        <w:rStyle w:val="17"/>
        <w:rFonts w:ascii="宋体" w:hAnsi="宋体"/>
        <w:sz w:val="28"/>
        <w:szCs w:val="28"/>
      </w:rPr>
    </w:pPr>
    <w:r>
      <w:rPr>
        <w:rStyle w:val="17"/>
        <w:rFonts w:hint="eastAsia" w:ascii="宋体" w:hAnsi="宋体"/>
        <w:sz w:val="28"/>
        <w:szCs w:val="28"/>
      </w:rPr>
      <w:t xml:space="preserve">— </w:t>
    </w:r>
    <w:r>
      <w:rPr>
        <w:rStyle w:val="17"/>
        <w:rFonts w:hint="eastAsia" w:ascii="宋体" w:hAnsi="宋体"/>
        <w:sz w:val="28"/>
        <w:szCs w:val="28"/>
      </w:rPr>
      <w:fldChar w:fldCharType="begin"/>
    </w:r>
    <w:r>
      <w:rPr>
        <w:rStyle w:val="17"/>
        <w:rFonts w:hint="eastAsia" w:ascii="宋体" w:hAnsi="宋体"/>
        <w:sz w:val="28"/>
        <w:szCs w:val="28"/>
      </w:rPr>
      <w:instrText xml:space="preserve">PAGE  </w:instrText>
    </w:r>
    <w:r>
      <w:rPr>
        <w:rStyle w:val="17"/>
        <w:rFonts w:hint="eastAsia" w:ascii="宋体" w:hAnsi="宋体"/>
        <w:sz w:val="28"/>
        <w:szCs w:val="28"/>
      </w:rPr>
      <w:fldChar w:fldCharType="separate"/>
    </w:r>
    <w:r>
      <w:rPr>
        <w:rStyle w:val="17"/>
        <w:rFonts w:ascii="宋体" w:hAnsi="宋体"/>
        <w:sz w:val="28"/>
        <w:szCs w:val="28"/>
      </w:rPr>
      <w:t>17</w:t>
    </w:r>
    <w:r>
      <w:rPr>
        <w:rStyle w:val="17"/>
        <w:rFonts w:hint="eastAsia" w:ascii="宋体" w:hAnsi="宋体"/>
        <w:sz w:val="28"/>
        <w:szCs w:val="28"/>
      </w:rPr>
      <w:fldChar w:fldCharType="end"/>
    </w:r>
    <w:r>
      <w:rPr>
        <w:rStyle w:val="17"/>
        <w:rFonts w:hint="eastAsia" w:ascii="宋体" w:hAnsi="宋体"/>
        <w:sz w:val="28"/>
        <w:szCs w:val="28"/>
      </w:rPr>
      <w:t xml:space="preserve"> —</w:t>
    </w:r>
  </w:p>
  <w:p w14:paraId="396357D7">
    <w:pPr>
      <w:pStyle w:val="9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92F7083">
    <w:pPr>
      <w:pStyle w:val="9"/>
      <w:rPr>
        <w:rFonts w:ascii="宋体" w:hAnsi="宋体" w:cs="宋体"/>
        <w:sz w:val="28"/>
        <w:szCs w:val="28"/>
      </w:rPr>
    </w:pPr>
    <w:r>
      <w:rPr>
        <w:rFonts w:hint="eastAsia" w:ascii="宋体" w:hAnsi="宋体" w:cs="宋体"/>
        <w:sz w:val="28"/>
        <w:szCs w:val="28"/>
        <w:lang w:val="zh-CN"/>
      </w:rPr>
      <w:t xml:space="preserve">— </w:t>
    </w:r>
    <w:r>
      <w:rPr>
        <w:rFonts w:hint="eastAsia" w:ascii="宋体" w:hAnsi="宋体" w:cs="宋体"/>
        <w:sz w:val="28"/>
        <w:szCs w:val="28"/>
      </w:rPr>
      <w:fldChar w:fldCharType="begin"/>
    </w:r>
    <w:r>
      <w:rPr>
        <w:rFonts w:hint="eastAsia" w:ascii="宋体" w:hAnsi="宋体" w:cs="宋体"/>
        <w:sz w:val="28"/>
        <w:szCs w:val="28"/>
      </w:rPr>
      <w:instrText xml:space="preserve">PAGE    \* MERGEFORMAT</w:instrText>
    </w:r>
    <w:r>
      <w:rPr>
        <w:rFonts w:hint="eastAsia" w:ascii="宋体" w:hAnsi="宋体" w:cs="宋体"/>
        <w:sz w:val="28"/>
        <w:szCs w:val="28"/>
      </w:rPr>
      <w:fldChar w:fldCharType="separate"/>
    </w:r>
    <w:r>
      <w:rPr>
        <w:rFonts w:ascii="宋体" w:hAnsi="宋体" w:cs="宋体"/>
        <w:sz w:val="28"/>
        <w:szCs w:val="28"/>
        <w:lang w:val="zh-CN"/>
      </w:rPr>
      <w:t>16</w:t>
    </w:r>
    <w:r>
      <w:rPr>
        <w:rFonts w:hint="eastAsia" w:ascii="宋体" w:hAnsi="宋体" w:cs="宋体"/>
        <w:sz w:val="28"/>
        <w:szCs w:val="28"/>
      </w:rPr>
      <w:fldChar w:fldCharType="end"/>
    </w:r>
    <w:r>
      <w:rPr>
        <w:rFonts w:hint="eastAsia" w:ascii="宋体" w:hAnsi="宋体" w:cs="宋体"/>
        <w:sz w:val="28"/>
        <w:szCs w:val="28"/>
        <w:lang w:val="zh-CN"/>
      </w:rPr>
      <w:t xml:space="preserve"> —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dit="readOnly" w:enforcement="0"/>
  <w:defaultTabStop w:val="420"/>
  <w:evenAndOddHeaders w:val="1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UwYzViYzMzMmJmN2RiZjI4YzZiNTEyZWJiZDgxZjAifQ=="/>
  </w:docVars>
  <w:rsids>
    <w:rsidRoot w:val="00E42B99"/>
    <w:rsid w:val="00002658"/>
    <w:rsid w:val="00004E72"/>
    <w:rsid w:val="000057DF"/>
    <w:rsid w:val="0000654E"/>
    <w:rsid w:val="00006AE2"/>
    <w:rsid w:val="00010AAC"/>
    <w:rsid w:val="00012B6B"/>
    <w:rsid w:val="00012EF2"/>
    <w:rsid w:val="00016CE6"/>
    <w:rsid w:val="0002034B"/>
    <w:rsid w:val="000235B2"/>
    <w:rsid w:val="00025A4B"/>
    <w:rsid w:val="00031E51"/>
    <w:rsid w:val="0003274D"/>
    <w:rsid w:val="00035E60"/>
    <w:rsid w:val="0003650F"/>
    <w:rsid w:val="000367C2"/>
    <w:rsid w:val="0003727C"/>
    <w:rsid w:val="0004144C"/>
    <w:rsid w:val="0004317F"/>
    <w:rsid w:val="00043422"/>
    <w:rsid w:val="00047DF9"/>
    <w:rsid w:val="00047E20"/>
    <w:rsid w:val="000511FA"/>
    <w:rsid w:val="000540C2"/>
    <w:rsid w:val="00055AAC"/>
    <w:rsid w:val="0005789A"/>
    <w:rsid w:val="00071592"/>
    <w:rsid w:val="00072D70"/>
    <w:rsid w:val="00075327"/>
    <w:rsid w:val="00075774"/>
    <w:rsid w:val="00075F4F"/>
    <w:rsid w:val="000806B2"/>
    <w:rsid w:val="0008208F"/>
    <w:rsid w:val="000854E9"/>
    <w:rsid w:val="00087A2F"/>
    <w:rsid w:val="00090906"/>
    <w:rsid w:val="000923ED"/>
    <w:rsid w:val="000935D9"/>
    <w:rsid w:val="000958CF"/>
    <w:rsid w:val="000A02BB"/>
    <w:rsid w:val="000A1278"/>
    <w:rsid w:val="000A154B"/>
    <w:rsid w:val="000A180A"/>
    <w:rsid w:val="000A4B40"/>
    <w:rsid w:val="000A7627"/>
    <w:rsid w:val="000B0EB0"/>
    <w:rsid w:val="000B33F1"/>
    <w:rsid w:val="000B7105"/>
    <w:rsid w:val="000C3AE4"/>
    <w:rsid w:val="000C3E58"/>
    <w:rsid w:val="000C3F0A"/>
    <w:rsid w:val="000D16C0"/>
    <w:rsid w:val="000D20A3"/>
    <w:rsid w:val="000D243F"/>
    <w:rsid w:val="000D24D0"/>
    <w:rsid w:val="000D5130"/>
    <w:rsid w:val="000D663F"/>
    <w:rsid w:val="000D7EC2"/>
    <w:rsid w:val="000E1948"/>
    <w:rsid w:val="000E51BB"/>
    <w:rsid w:val="000E57CB"/>
    <w:rsid w:val="000E689A"/>
    <w:rsid w:val="000F1737"/>
    <w:rsid w:val="000F24B1"/>
    <w:rsid w:val="000F40AF"/>
    <w:rsid w:val="000F4944"/>
    <w:rsid w:val="000F5A23"/>
    <w:rsid w:val="000F6A38"/>
    <w:rsid w:val="001035F3"/>
    <w:rsid w:val="00105660"/>
    <w:rsid w:val="00110C5B"/>
    <w:rsid w:val="00111012"/>
    <w:rsid w:val="00111F65"/>
    <w:rsid w:val="001173A3"/>
    <w:rsid w:val="00117487"/>
    <w:rsid w:val="00121F86"/>
    <w:rsid w:val="001224FE"/>
    <w:rsid w:val="001243FD"/>
    <w:rsid w:val="00127E1A"/>
    <w:rsid w:val="00132484"/>
    <w:rsid w:val="00133699"/>
    <w:rsid w:val="001400A2"/>
    <w:rsid w:val="00140424"/>
    <w:rsid w:val="001418E9"/>
    <w:rsid w:val="00145CCC"/>
    <w:rsid w:val="00146D12"/>
    <w:rsid w:val="00153031"/>
    <w:rsid w:val="001538E7"/>
    <w:rsid w:val="00154E49"/>
    <w:rsid w:val="0016011B"/>
    <w:rsid w:val="00161C13"/>
    <w:rsid w:val="001626F7"/>
    <w:rsid w:val="00163B78"/>
    <w:rsid w:val="00167F3B"/>
    <w:rsid w:val="00170286"/>
    <w:rsid w:val="00171D4A"/>
    <w:rsid w:val="00172197"/>
    <w:rsid w:val="001735F0"/>
    <w:rsid w:val="00174031"/>
    <w:rsid w:val="00175099"/>
    <w:rsid w:val="001779A9"/>
    <w:rsid w:val="00180AB7"/>
    <w:rsid w:val="001817B9"/>
    <w:rsid w:val="00181C66"/>
    <w:rsid w:val="0018278A"/>
    <w:rsid w:val="001836DF"/>
    <w:rsid w:val="00184C6A"/>
    <w:rsid w:val="00190B9E"/>
    <w:rsid w:val="00191FF4"/>
    <w:rsid w:val="001955C3"/>
    <w:rsid w:val="00196B50"/>
    <w:rsid w:val="001A1B66"/>
    <w:rsid w:val="001A1F3C"/>
    <w:rsid w:val="001A1F6D"/>
    <w:rsid w:val="001A3069"/>
    <w:rsid w:val="001A56D3"/>
    <w:rsid w:val="001A5CA6"/>
    <w:rsid w:val="001A71CA"/>
    <w:rsid w:val="001A7E6E"/>
    <w:rsid w:val="001B25C3"/>
    <w:rsid w:val="001B2A37"/>
    <w:rsid w:val="001B3247"/>
    <w:rsid w:val="001B52C7"/>
    <w:rsid w:val="001B5EB7"/>
    <w:rsid w:val="001C0029"/>
    <w:rsid w:val="001C37B4"/>
    <w:rsid w:val="001C3AE2"/>
    <w:rsid w:val="001C3C4E"/>
    <w:rsid w:val="001C5EDA"/>
    <w:rsid w:val="001C6390"/>
    <w:rsid w:val="001C7D56"/>
    <w:rsid w:val="001D049C"/>
    <w:rsid w:val="001D1B46"/>
    <w:rsid w:val="001F13E3"/>
    <w:rsid w:val="001F3FC6"/>
    <w:rsid w:val="001F4B26"/>
    <w:rsid w:val="00201C2C"/>
    <w:rsid w:val="00202366"/>
    <w:rsid w:val="00203814"/>
    <w:rsid w:val="00204434"/>
    <w:rsid w:val="00216A0D"/>
    <w:rsid w:val="00216D81"/>
    <w:rsid w:val="00217A27"/>
    <w:rsid w:val="00225233"/>
    <w:rsid w:val="00225483"/>
    <w:rsid w:val="00226A58"/>
    <w:rsid w:val="0023654A"/>
    <w:rsid w:val="00241922"/>
    <w:rsid w:val="00241A42"/>
    <w:rsid w:val="002452ED"/>
    <w:rsid w:val="00246007"/>
    <w:rsid w:val="002468C2"/>
    <w:rsid w:val="00247DA3"/>
    <w:rsid w:val="002522ED"/>
    <w:rsid w:val="002554E2"/>
    <w:rsid w:val="0025564C"/>
    <w:rsid w:val="002559FA"/>
    <w:rsid w:val="00256072"/>
    <w:rsid w:val="00260E92"/>
    <w:rsid w:val="00263C43"/>
    <w:rsid w:val="00264426"/>
    <w:rsid w:val="00264B52"/>
    <w:rsid w:val="0026539A"/>
    <w:rsid w:val="00266593"/>
    <w:rsid w:val="00266681"/>
    <w:rsid w:val="00267A7D"/>
    <w:rsid w:val="002705C3"/>
    <w:rsid w:val="00272BE1"/>
    <w:rsid w:val="0027423B"/>
    <w:rsid w:val="00283477"/>
    <w:rsid w:val="00283CC2"/>
    <w:rsid w:val="00290A62"/>
    <w:rsid w:val="00291D7C"/>
    <w:rsid w:val="0029349A"/>
    <w:rsid w:val="00293680"/>
    <w:rsid w:val="00297C62"/>
    <w:rsid w:val="002A1D13"/>
    <w:rsid w:val="002A6B1C"/>
    <w:rsid w:val="002B0F8F"/>
    <w:rsid w:val="002B2C5A"/>
    <w:rsid w:val="002B5AA4"/>
    <w:rsid w:val="002B70E4"/>
    <w:rsid w:val="002C1DD5"/>
    <w:rsid w:val="002C30F4"/>
    <w:rsid w:val="002C7E23"/>
    <w:rsid w:val="002D52EF"/>
    <w:rsid w:val="002D6FBE"/>
    <w:rsid w:val="002E09FF"/>
    <w:rsid w:val="002E1DD0"/>
    <w:rsid w:val="002E3D50"/>
    <w:rsid w:val="002E4766"/>
    <w:rsid w:val="002E7F0A"/>
    <w:rsid w:val="002F013C"/>
    <w:rsid w:val="002F1649"/>
    <w:rsid w:val="002F33C9"/>
    <w:rsid w:val="002F574A"/>
    <w:rsid w:val="002F5C76"/>
    <w:rsid w:val="002F6AFC"/>
    <w:rsid w:val="00300CE5"/>
    <w:rsid w:val="00301022"/>
    <w:rsid w:val="003017AF"/>
    <w:rsid w:val="003042A8"/>
    <w:rsid w:val="0030767F"/>
    <w:rsid w:val="0031196E"/>
    <w:rsid w:val="0031465C"/>
    <w:rsid w:val="0031652F"/>
    <w:rsid w:val="00316B41"/>
    <w:rsid w:val="003210A8"/>
    <w:rsid w:val="0033316E"/>
    <w:rsid w:val="00335A9A"/>
    <w:rsid w:val="003374BA"/>
    <w:rsid w:val="003451AC"/>
    <w:rsid w:val="00346389"/>
    <w:rsid w:val="00347770"/>
    <w:rsid w:val="00354EE8"/>
    <w:rsid w:val="003617C2"/>
    <w:rsid w:val="00361F89"/>
    <w:rsid w:val="00362345"/>
    <w:rsid w:val="003623D9"/>
    <w:rsid w:val="00363EEC"/>
    <w:rsid w:val="00365A30"/>
    <w:rsid w:val="003678EE"/>
    <w:rsid w:val="00371127"/>
    <w:rsid w:val="003752BD"/>
    <w:rsid w:val="00375CF4"/>
    <w:rsid w:val="003764FA"/>
    <w:rsid w:val="003772C6"/>
    <w:rsid w:val="0038397E"/>
    <w:rsid w:val="0038671F"/>
    <w:rsid w:val="00390D37"/>
    <w:rsid w:val="0039270C"/>
    <w:rsid w:val="00395DDA"/>
    <w:rsid w:val="003A0A6D"/>
    <w:rsid w:val="003A2EED"/>
    <w:rsid w:val="003A431D"/>
    <w:rsid w:val="003B2893"/>
    <w:rsid w:val="003B3CAB"/>
    <w:rsid w:val="003B3DED"/>
    <w:rsid w:val="003B6F88"/>
    <w:rsid w:val="003C38EB"/>
    <w:rsid w:val="003C50EC"/>
    <w:rsid w:val="003C7C50"/>
    <w:rsid w:val="003C7EF6"/>
    <w:rsid w:val="003E256D"/>
    <w:rsid w:val="003E33F8"/>
    <w:rsid w:val="003E342A"/>
    <w:rsid w:val="003E73DB"/>
    <w:rsid w:val="003E7666"/>
    <w:rsid w:val="003F0CBC"/>
    <w:rsid w:val="003F0F00"/>
    <w:rsid w:val="003F1138"/>
    <w:rsid w:val="003F1BCE"/>
    <w:rsid w:val="003F3543"/>
    <w:rsid w:val="003F3EE8"/>
    <w:rsid w:val="003F5579"/>
    <w:rsid w:val="003F5875"/>
    <w:rsid w:val="003F7EF7"/>
    <w:rsid w:val="00402538"/>
    <w:rsid w:val="004027CF"/>
    <w:rsid w:val="00402B3C"/>
    <w:rsid w:val="00403618"/>
    <w:rsid w:val="0041318D"/>
    <w:rsid w:val="004136FC"/>
    <w:rsid w:val="00416295"/>
    <w:rsid w:val="00423B96"/>
    <w:rsid w:val="00423DA5"/>
    <w:rsid w:val="00437A8A"/>
    <w:rsid w:val="00442D5B"/>
    <w:rsid w:val="00443706"/>
    <w:rsid w:val="0044451E"/>
    <w:rsid w:val="00447FE7"/>
    <w:rsid w:val="00450038"/>
    <w:rsid w:val="004520FC"/>
    <w:rsid w:val="004527B1"/>
    <w:rsid w:val="0046233A"/>
    <w:rsid w:val="00462704"/>
    <w:rsid w:val="0047102E"/>
    <w:rsid w:val="004727F8"/>
    <w:rsid w:val="004767A5"/>
    <w:rsid w:val="00480918"/>
    <w:rsid w:val="004830E8"/>
    <w:rsid w:val="00485799"/>
    <w:rsid w:val="00486234"/>
    <w:rsid w:val="004949E0"/>
    <w:rsid w:val="00496143"/>
    <w:rsid w:val="004978A3"/>
    <w:rsid w:val="004A076F"/>
    <w:rsid w:val="004A1F69"/>
    <w:rsid w:val="004A2007"/>
    <w:rsid w:val="004A2F9A"/>
    <w:rsid w:val="004A3554"/>
    <w:rsid w:val="004A55E6"/>
    <w:rsid w:val="004B1A24"/>
    <w:rsid w:val="004B324A"/>
    <w:rsid w:val="004B7A9E"/>
    <w:rsid w:val="004C6DAA"/>
    <w:rsid w:val="004D0427"/>
    <w:rsid w:val="004D0C05"/>
    <w:rsid w:val="004D1917"/>
    <w:rsid w:val="004D2ADD"/>
    <w:rsid w:val="004E1832"/>
    <w:rsid w:val="004E1C58"/>
    <w:rsid w:val="004E3197"/>
    <w:rsid w:val="004E389E"/>
    <w:rsid w:val="004F1127"/>
    <w:rsid w:val="004F222B"/>
    <w:rsid w:val="004F2FB4"/>
    <w:rsid w:val="004F4F47"/>
    <w:rsid w:val="00500E6C"/>
    <w:rsid w:val="005050B6"/>
    <w:rsid w:val="0050614F"/>
    <w:rsid w:val="00507515"/>
    <w:rsid w:val="0051015F"/>
    <w:rsid w:val="00512E9E"/>
    <w:rsid w:val="00521D04"/>
    <w:rsid w:val="005259E7"/>
    <w:rsid w:val="0053360F"/>
    <w:rsid w:val="00534967"/>
    <w:rsid w:val="005366D0"/>
    <w:rsid w:val="0054087B"/>
    <w:rsid w:val="005456D7"/>
    <w:rsid w:val="005469C7"/>
    <w:rsid w:val="005475A3"/>
    <w:rsid w:val="00552914"/>
    <w:rsid w:val="00553CBF"/>
    <w:rsid w:val="005561F0"/>
    <w:rsid w:val="00561F1A"/>
    <w:rsid w:val="00571A79"/>
    <w:rsid w:val="00571FE2"/>
    <w:rsid w:val="00576615"/>
    <w:rsid w:val="0057725D"/>
    <w:rsid w:val="0058288B"/>
    <w:rsid w:val="00583C7E"/>
    <w:rsid w:val="005876A9"/>
    <w:rsid w:val="00590166"/>
    <w:rsid w:val="005901CF"/>
    <w:rsid w:val="00593AB8"/>
    <w:rsid w:val="005941DB"/>
    <w:rsid w:val="00595069"/>
    <w:rsid w:val="0059507F"/>
    <w:rsid w:val="00595ECA"/>
    <w:rsid w:val="005A0719"/>
    <w:rsid w:val="005A112D"/>
    <w:rsid w:val="005A2819"/>
    <w:rsid w:val="005A655F"/>
    <w:rsid w:val="005A71BC"/>
    <w:rsid w:val="005B3982"/>
    <w:rsid w:val="005B420D"/>
    <w:rsid w:val="005C5163"/>
    <w:rsid w:val="005C70A9"/>
    <w:rsid w:val="005C7BF7"/>
    <w:rsid w:val="005D1D15"/>
    <w:rsid w:val="005D1D43"/>
    <w:rsid w:val="005D29ED"/>
    <w:rsid w:val="005D31AC"/>
    <w:rsid w:val="005D4FA7"/>
    <w:rsid w:val="005E2DDF"/>
    <w:rsid w:val="005E3795"/>
    <w:rsid w:val="005E4CEF"/>
    <w:rsid w:val="005E647A"/>
    <w:rsid w:val="005E6C05"/>
    <w:rsid w:val="00601554"/>
    <w:rsid w:val="00603425"/>
    <w:rsid w:val="00604BF7"/>
    <w:rsid w:val="00604EB3"/>
    <w:rsid w:val="00611BD7"/>
    <w:rsid w:val="006149A2"/>
    <w:rsid w:val="00617977"/>
    <w:rsid w:val="006237AA"/>
    <w:rsid w:val="00623D57"/>
    <w:rsid w:val="00631776"/>
    <w:rsid w:val="006333FB"/>
    <w:rsid w:val="00634085"/>
    <w:rsid w:val="006348B5"/>
    <w:rsid w:val="00640B04"/>
    <w:rsid w:val="00640D27"/>
    <w:rsid w:val="006412FC"/>
    <w:rsid w:val="0064305D"/>
    <w:rsid w:val="0064408A"/>
    <w:rsid w:val="00644C25"/>
    <w:rsid w:val="00653E23"/>
    <w:rsid w:val="00654610"/>
    <w:rsid w:val="00654FEC"/>
    <w:rsid w:val="00656593"/>
    <w:rsid w:val="00662D1F"/>
    <w:rsid w:val="006657D1"/>
    <w:rsid w:val="0067221F"/>
    <w:rsid w:val="006729E6"/>
    <w:rsid w:val="00672B2F"/>
    <w:rsid w:val="0067300D"/>
    <w:rsid w:val="006804BE"/>
    <w:rsid w:val="00680B53"/>
    <w:rsid w:val="006832C0"/>
    <w:rsid w:val="0068330B"/>
    <w:rsid w:val="00683E3E"/>
    <w:rsid w:val="00685D21"/>
    <w:rsid w:val="006A48F2"/>
    <w:rsid w:val="006A7997"/>
    <w:rsid w:val="006B1B35"/>
    <w:rsid w:val="006C09BA"/>
    <w:rsid w:val="006C0C1A"/>
    <w:rsid w:val="006C151A"/>
    <w:rsid w:val="006C5288"/>
    <w:rsid w:val="006C65AC"/>
    <w:rsid w:val="006C67E5"/>
    <w:rsid w:val="006C68A6"/>
    <w:rsid w:val="006D30F1"/>
    <w:rsid w:val="006D5AB6"/>
    <w:rsid w:val="006D71F7"/>
    <w:rsid w:val="006E1380"/>
    <w:rsid w:val="006E1936"/>
    <w:rsid w:val="006E27CF"/>
    <w:rsid w:val="006E37A5"/>
    <w:rsid w:val="006E3E4C"/>
    <w:rsid w:val="006E73CB"/>
    <w:rsid w:val="006F2047"/>
    <w:rsid w:val="006F29F7"/>
    <w:rsid w:val="00700167"/>
    <w:rsid w:val="00700D5F"/>
    <w:rsid w:val="007013CD"/>
    <w:rsid w:val="00701877"/>
    <w:rsid w:val="00704C16"/>
    <w:rsid w:val="00711CFB"/>
    <w:rsid w:val="007172B6"/>
    <w:rsid w:val="00725941"/>
    <w:rsid w:val="00726302"/>
    <w:rsid w:val="0073271E"/>
    <w:rsid w:val="00732EF6"/>
    <w:rsid w:val="00733EF5"/>
    <w:rsid w:val="00741520"/>
    <w:rsid w:val="00744BEB"/>
    <w:rsid w:val="00745299"/>
    <w:rsid w:val="00747F1C"/>
    <w:rsid w:val="0075042B"/>
    <w:rsid w:val="00751B70"/>
    <w:rsid w:val="00751D79"/>
    <w:rsid w:val="007658E4"/>
    <w:rsid w:val="00765A9C"/>
    <w:rsid w:val="00770879"/>
    <w:rsid w:val="007708DE"/>
    <w:rsid w:val="0077107F"/>
    <w:rsid w:val="00772268"/>
    <w:rsid w:val="007727EF"/>
    <w:rsid w:val="00785108"/>
    <w:rsid w:val="0079156C"/>
    <w:rsid w:val="00795F23"/>
    <w:rsid w:val="0079771F"/>
    <w:rsid w:val="00797CD7"/>
    <w:rsid w:val="007A4519"/>
    <w:rsid w:val="007A6591"/>
    <w:rsid w:val="007B492A"/>
    <w:rsid w:val="007B57EA"/>
    <w:rsid w:val="007B5A3D"/>
    <w:rsid w:val="007C2132"/>
    <w:rsid w:val="007C2F2B"/>
    <w:rsid w:val="007C65B9"/>
    <w:rsid w:val="007D0710"/>
    <w:rsid w:val="007D1482"/>
    <w:rsid w:val="007D5B35"/>
    <w:rsid w:val="007E2CC6"/>
    <w:rsid w:val="007E632B"/>
    <w:rsid w:val="007E675A"/>
    <w:rsid w:val="007F011C"/>
    <w:rsid w:val="007F020C"/>
    <w:rsid w:val="007F0A07"/>
    <w:rsid w:val="007F18A7"/>
    <w:rsid w:val="007F4F05"/>
    <w:rsid w:val="007F4F1C"/>
    <w:rsid w:val="007F5C41"/>
    <w:rsid w:val="0080250F"/>
    <w:rsid w:val="00802AA8"/>
    <w:rsid w:val="00803ECA"/>
    <w:rsid w:val="00806374"/>
    <w:rsid w:val="00810E6C"/>
    <w:rsid w:val="00812EA4"/>
    <w:rsid w:val="00815491"/>
    <w:rsid w:val="00816CB2"/>
    <w:rsid w:val="00816F43"/>
    <w:rsid w:val="00821CB5"/>
    <w:rsid w:val="00822EE1"/>
    <w:rsid w:val="008376AF"/>
    <w:rsid w:val="00841DA2"/>
    <w:rsid w:val="00842530"/>
    <w:rsid w:val="00843229"/>
    <w:rsid w:val="00843816"/>
    <w:rsid w:val="0084690C"/>
    <w:rsid w:val="00860129"/>
    <w:rsid w:val="0086052D"/>
    <w:rsid w:val="00862A11"/>
    <w:rsid w:val="00863C3D"/>
    <w:rsid w:val="008676B6"/>
    <w:rsid w:val="00872535"/>
    <w:rsid w:val="00881996"/>
    <w:rsid w:val="00890D3C"/>
    <w:rsid w:val="00891309"/>
    <w:rsid w:val="00894EC1"/>
    <w:rsid w:val="00895042"/>
    <w:rsid w:val="00896770"/>
    <w:rsid w:val="008A1DAB"/>
    <w:rsid w:val="008A205C"/>
    <w:rsid w:val="008A34B2"/>
    <w:rsid w:val="008A4F77"/>
    <w:rsid w:val="008A61A6"/>
    <w:rsid w:val="008B1D82"/>
    <w:rsid w:val="008C01CA"/>
    <w:rsid w:val="008C21FC"/>
    <w:rsid w:val="008C3B7C"/>
    <w:rsid w:val="008C6A51"/>
    <w:rsid w:val="008C7B3A"/>
    <w:rsid w:val="008D02E7"/>
    <w:rsid w:val="008D0752"/>
    <w:rsid w:val="008D19EC"/>
    <w:rsid w:val="008D1C97"/>
    <w:rsid w:val="008D4ECD"/>
    <w:rsid w:val="008D66C1"/>
    <w:rsid w:val="008E08FA"/>
    <w:rsid w:val="008E419B"/>
    <w:rsid w:val="008E42E1"/>
    <w:rsid w:val="008E6F9A"/>
    <w:rsid w:val="008E71B6"/>
    <w:rsid w:val="008F10AF"/>
    <w:rsid w:val="008F19E3"/>
    <w:rsid w:val="008F4ACA"/>
    <w:rsid w:val="0090039F"/>
    <w:rsid w:val="00900817"/>
    <w:rsid w:val="00900C32"/>
    <w:rsid w:val="00902C3D"/>
    <w:rsid w:val="00907522"/>
    <w:rsid w:val="00910FA9"/>
    <w:rsid w:val="00922191"/>
    <w:rsid w:val="009243CB"/>
    <w:rsid w:val="00924ABD"/>
    <w:rsid w:val="0092522C"/>
    <w:rsid w:val="00925294"/>
    <w:rsid w:val="00931436"/>
    <w:rsid w:val="00937236"/>
    <w:rsid w:val="00944167"/>
    <w:rsid w:val="00944FED"/>
    <w:rsid w:val="00945C08"/>
    <w:rsid w:val="0095311E"/>
    <w:rsid w:val="00956840"/>
    <w:rsid w:val="00956A86"/>
    <w:rsid w:val="009613C4"/>
    <w:rsid w:val="0096335E"/>
    <w:rsid w:val="00967685"/>
    <w:rsid w:val="0096787D"/>
    <w:rsid w:val="009715ED"/>
    <w:rsid w:val="00972A35"/>
    <w:rsid w:val="00972A72"/>
    <w:rsid w:val="00973E62"/>
    <w:rsid w:val="00974257"/>
    <w:rsid w:val="00976B24"/>
    <w:rsid w:val="00977922"/>
    <w:rsid w:val="00980FFE"/>
    <w:rsid w:val="00981B78"/>
    <w:rsid w:val="009837CB"/>
    <w:rsid w:val="00983DB1"/>
    <w:rsid w:val="009847FF"/>
    <w:rsid w:val="00985C40"/>
    <w:rsid w:val="00990978"/>
    <w:rsid w:val="00993DF4"/>
    <w:rsid w:val="009941C0"/>
    <w:rsid w:val="00994A3A"/>
    <w:rsid w:val="00996B47"/>
    <w:rsid w:val="00997186"/>
    <w:rsid w:val="0099755E"/>
    <w:rsid w:val="009A1243"/>
    <w:rsid w:val="009B01F2"/>
    <w:rsid w:val="009B2FBC"/>
    <w:rsid w:val="009B3E89"/>
    <w:rsid w:val="009B4B27"/>
    <w:rsid w:val="009B4DB9"/>
    <w:rsid w:val="009B6505"/>
    <w:rsid w:val="009C2EA4"/>
    <w:rsid w:val="009C674A"/>
    <w:rsid w:val="009C785C"/>
    <w:rsid w:val="009D2476"/>
    <w:rsid w:val="009D3826"/>
    <w:rsid w:val="009D431F"/>
    <w:rsid w:val="009D5184"/>
    <w:rsid w:val="009E26FA"/>
    <w:rsid w:val="009E2B83"/>
    <w:rsid w:val="009E4BBC"/>
    <w:rsid w:val="009E4E33"/>
    <w:rsid w:val="009E5111"/>
    <w:rsid w:val="009E59A2"/>
    <w:rsid w:val="009E7151"/>
    <w:rsid w:val="009E71D4"/>
    <w:rsid w:val="009E7308"/>
    <w:rsid w:val="00A05CE4"/>
    <w:rsid w:val="00A0657F"/>
    <w:rsid w:val="00A07F98"/>
    <w:rsid w:val="00A16E3C"/>
    <w:rsid w:val="00A179E6"/>
    <w:rsid w:val="00A17D5E"/>
    <w:rsid w:val="00A2136D"/>
    <w:rsid w:val="00A23C40"/>
    <w:rsid w:val="00A326EC"/>
    <w:rsid w:val="00A35334"/>
    <w:rsid w:val="00A416B5"/>
    <w:rsid w:val="00A46424"/>
    <w:rsid w:val="00A468CA"/>
    <w:rsid w:val="00A46B22"/>
    <w:rsid w:val="00A46C49"/>
    <w:rsid w:val="00A47955"/>
    <w:rsid w:val="00A53B9B"/>
    <w:rsid w:val="00A5546E"/>
    <w:rsid w:val="00A608C6"/>
    <w:rsid w:val="00A6109C"/>
    <w:rsid w:val="00A61616"/>
    <w:rsid w:val="00A623AD"/>
    <w:rsid w:val="00A659C0"/>
    <w:rsid w:val="00A702D4"/>
    <w:rsid w:val="00A70960"/>
    <w:rsid w:val="00A803F1"/>
    <w:rsid w:val="00A81040"/>
    <w:rsid w:val="00A81878"/>
    <w:rsid w:val="00A90CDD"/>
    <w:rsid w:val="00A93218"/>
    <w:rsid w:val="00A94E4B"/>
    <w:rsid w:val="00A95E25"/>
    <w:rsid w:val="00AA043D"/>
    <w:rsid w:val="00AA0CAF"/>
    <w:rsid w:val="00AA129F"/>
    <w:rsid w:val="00AA1E37"/>
    <w:rsid w:val="00AA363C"/>
    <w:rsid w:val="00AA4EFD"/>
    <w:rsid w:val="00AA51AF"/>
    <w:rsid w:val="00AA74E5"/>
    <w:rsid w:val="00AB3605"/>
    <w:rsid w:val="00AB60F9"/>
    <w:rsid w:val="00AB6B6A"/>
    <w:rsid w:val="00AC30BD"/>
    <w:rsid w:val="00AC39B6"/>
    <w:rsid w:val="00AC682C"/>
    <w:rsid w:val="00AD1608"/>
    <w:rsid w:val="00AD1916"/>
    <w:rsid w:val="00AE03FC"/>
    <w:rsid w:val="00AE3737"/>
    <w:rsid w:val="00AE6BB7"/>
    <w:rsid w:val="00AF3247"/>
    <w:rsid w:val="00AF4EEC"/>
    <w:rsid w:val="00AF5DED"/>
    <w:rsid w:val="00B011EF"/>
    <w:rsid w:val="00B04DD6"/>
    <w:rsid w:val="00B07CDA"/>
    <w:rsid w:val="00B134B1"/>
    <w:rsid w:val="00B14304"/>
    <w:rsid w:val="00B16C81"/>
    <w:rsid w:val="00B2055E"/>
    <w:rsid w:val="00B20EA9"/>
    <w:rsid w:val="00B21DE8"/>
    <w:rsid w:val="00B22635"/>
    <w:rsid w:val="00B256D1"/>
    <w:rsid w:val="00B27F6F"/>
    <w:rsid w:val="00B33CB1"/>
    <w:rsid w:val="00B34283"/>
    <w:rsid w:val="00B35CE6"/>
    <w:rsid w:val="00B36322"/>
    <w:rsid w:val="00B363B6"/>
    <w:rsid w:val="00B40E1F"/>
    <w:rsid w:val="00B44000"/>
    <w:rsid w:val="00B44608"/>
    <w:rsid w:val="00B70497"/>
    <w:rsid w:val="00B7080C"/>
    <w:rsid w:val="00B70D53"/>
    <w:rsid w:val="00B70FE6"/>
    <w:rsid w:val="00B75952"/>
    <w:rsid w:val="00B7744B"/>
    <w:rsid w:val="00B8165B"/>
    <w:rsid w:val="00B83891"/>
    <w:rsid w:val="00B843DA"/>
    <w:rsid w:val="00B86FB7"/>
    <w:rsid w:val="00B9226D"/>
    <w:rsid w:val="00B931DB"/>
    <w:rsid w:val="00B94374"/>
    <w:rsid w:val="00B95761"/>
    <w:rsid w:val="00B9599C"/>
    <w:rsid w:val="00B95B4F"/>
    <w:rsid w:val="00BA023D"/>
    <w:rsid w:val="00BA14B7"/>
    <w:rsid w:val="00BA1AE1"/>
    <w:rsid w:val="00BA2432"/>
    <w:rsid w:val="00BA3915"/>
    <w:rsid w:val="00BA729B"/>
    <w:rsid w:val="00BA7480"/>
    <w:rsid w:val="00BB2000"/>
    <w:rsid w:val="00BB6C27"/>
    <w:rsid w:val="00BB6E18"/>
    <w:rsid w:val="00BC15A8"/>
    <w:rsid w:val="00BD121C"/>
    <w:rsid w:val="00BD62CE"/>
    <w:rsid w:val="00BE39B5"/>
    <w:rsid w:val="00BE3E30"/>
    <w:rsid w:val="00BF2F31"/>
    <w:rsid w:val="00BF41FB"/>
    <w:rsid w:val="00BF75C7"/>
    <w:rsid w:val="00C02119"/>
    <w:rsid w:val="00C034AE"/>
    <w:rsid w:val="00C03695"/>
    <w:rsid w:val="00C04749"/>
    <w:rsid w:val="00C04BDC"/>
    <w:rsid w:val="00C106B2"/>
    <w:rsid w:val="00C13185"/>
    <w:rsid w:val="00C1387F"/>
    <w:rsid w:val="00C15F1A"/>
    <w:rsid w:val="00C17E1B"/>
    <w:rsid w:val="00C20EE5"/>
    <w:rsid w:val="00C2133A"/>
    <w:rsid w:val="00C240FB"/>
    <w:rsid w:val="00C24F55"/>
    <w:rsid w:val="00C25FCD"/>
    <w:rsid w:val="00C26696"/>
    <w:rsid w:val="00C30631"/>
    <w:rsid w:val="00C31328"/>
    <w:rsid w:val="00C3554E"/>
    <w:rsid w:val="00C427FF"/>
    <w:rsid w:val="00C4513B"/>
    <w:rsid w:val="00C46B27"/>
    <w:rsid w:val="00C46CA7"/>
    <w:rsid w:val="00C504A0"/>
    <w:rsid w:val="00C523C4"/>
    <w:rsid w:val="00C52A8D"/>
    <w:rsid w:val="00C545E0"/>
    <w:rsid w:val="00C57122"/>
    <w:rsid w:val="00C63766"/>
    <w:rsid w:val="00C64BB0"/>
    <w:rsid w:val="00C67C51"/>
    <w:rsid w:val="00C726B5"/>
    <w:rsid w:val="00C81228"/>
    <w:rsid w:val="00C818B2"/>
    <w:rsid w:val="00C82409"/>
    <w:rsid w:val="00C83540"/>
    <w:rsid w:val="00C85C6C"/>
    <w:rsid w:val="00C92565"/>
    <w:rsid w:val="00C976B2"/>
    <w:rsid w:val="00CA1E51"/>
    <w:rsid w:val="00CA4A55"/>
    <w:rsid w:val="00CA7A10"/>
    <w:rsid w:val="00CB043F"/>
    <w:rsid w:val="00CB1B5C"/>
    <w:rsid w:val="00CB3EBF"/>
    <w:rsid w:val="00CB4F04"/>
    <w:rsid w:val="00CB6341"/>
    <w:rsid w:val="00CB7B96"/>
    <w:rsid w:val="00CC2B66"/>
    <w:rsid w:val="00CC60FF"/>
    <w:rsid w:val="00CD22C6"/>
    <w:rsid w:val="00CD35F9"/>
    <w:rsid w:val="00CD3D1C"/>
    <w:rsid w:val="00CD40F5"/>
    <w:rsid w:val="00CD4952"/>
    <w:rsid w:val="00CE0C3B"/>
    <w:rsid w:val="00CE114E"/>
    <w:rsid w:val="00CE32C8"/>
    <w:rsid w:val="00CE69EC"/>
    <w:rsid w:val="00CF6DCE"/>
    <w:rsid w:val="00CF77B2"/>
    <w:rsid w:val="00D0572A"/>
    <w:rsid w:val="00D06645"/>
    <w:rsid w:val="00D1604B"/>
    <w:rsid w:val="00D2057E"/>
    <w:rsid w:val="00D21EC8"/>
    <w:rsid w:val="00D23E33"/>
    <w:rsid w:val="00D24EE8"/>
    <w:rsid w:val="00D25521"/>
    <w:rsid w:val="00D312C1"/>
    <w:rsid w:val="00D316FF"/>
    <w:rsid w:val="00D33397"/>
    <w:rsid w:val="00D363B8"/>
    <w:rsid w:val="00D37FB5"/>
    <w:rsid w:val="00D37FFA"/>
    <w:rsid w:val="00D40CC2"/>
    <w:rsid w:val="00D42743"/>
    <w:rsid w:val="00D45AC2"/>
    <w:rsid w:val="00D46C19"/>
    <w:rsid w:val="00D518F4"/>
    <w:rsid w:val="00D52C73"/>
    <w:rsid w:val="00D56D88"/>
    <w:rsid w:val="00D56F73"/>
    <w:rsid w:val="00D57FF8"/>
    <w:rsid w:val="00D60257"/>
    <w:rsid w:val="00D60263"/>
    <w:rsid w:val="00D609ED"/>
    <w:rsid w:val="00D64E27"/>
    <w:rsid w:val="00D70D69"/>
    <w:rsid w:val="00D736C4"/>
    <w:rsid w:val="00D73D67"/>
    <w:rsid w:val="00D76FF5"/>
    <w:rsid w:val="00D84D98"/>
    <w:rsid w:val="00D85143"/>
    <w:rsid w:val="00D86974"/>
    <w:rsid w:val="00D8702D"/>
    <w:rsid w:val="00D9116E"/>
    <w:rsid w:val="00DA2A94"/>
    <w:rsid w:val="00DA4127"/>
    <w:rsid w:val="00DA479F"/>
    <w:rsid w:val="00DA710F"/>
    <w:rsid w:val="00DB51D4"/>
    <w:rsid w:val="00DC0BC1"/>
    <w:rsid w:val="00DD01D8"/>
    <w:rsid w:val="00DD15AB"/>
    <w:rsid w:val="00DD2FA1"/>
    <w:rsid w:val="00DD6BCE"/>
    <w:rsid w:val="00DD7116"/>
    <w:rsid w:val="00DD7975"/>
    <w:rsid w:val="00DE1A88"/>
    <w:rsid w:val="00DE20F1"/>
    <w:rsid w:val="00DE3BA2"/>
    <w:rsid w:val="00DF0A3E"/>
    <w:rsid w:val="00DF2D3B"/>
    <w:rsid w:val="00DF4C4A"/>
    <w:rsid w:val="00DF559D"/>
    <w:rsid w:val="00E014A9"/>
    <w:rsid w:val="00E01A12"/>
    <w:rsid w:val="00E026DF"/>
    <w:rsid w:val="00E03D02"/>
    <w:rsid w:val="00E043D8"/>
    <w:rsid w:val="00E07FDC"/>
    <w:rsid w:val="00E13FCB"/>
    <w:rsid w:val="00E17491"/>
    <w:rsid w:val="00E22D53"/>
    <w:rsid w:val="00E22DB4"/>
    <w:rsid w:val="00E23844"/>
    <w:rsid w:val="00E263FC"/>
    <w:rsid w:val="00E26889"/>
    <w:rsid w:val="00E33297"/>
    <w:rsid w:val="00E366E5"/>
    <w:rsid w:val="00E42B99"/>
    <w:rsid w:val="00E42E1F"/>
    <w:rsid w:val="00E457B9"/>
    <w:rsid w:val="00E54880"/>
    <w:rsid w:val="00E55BF3"/>
    <w:rsid w:val="00E562D9"/>
    <w:rsid w:val="00E6138F"/>
    <w:rsid w:val="00E61E40"/>
    <w:rsid w:val="00E62F9A"/>
    <w:rsid w:val="00E63E42"/>
    <w:rsid w:val="00E63F6C"/>
    <w:rsid w:val="00E64912"/>
    <w:rsid w:val="00E712E5"/>
    <w:rsid w:val="00E7667F"/>
    <w:rsid w:val="00E80492"/>
    <w:rsid w:val="00E8089B"/>
    <w:rsid w:val="00E81A45"/>
    <w:rsid w:val="00E81B01"/>
    <w:rsid w:val="00E826E5"/>
    <w:rsid w:val="00E876DA"/>
    <w:rsid w:val="00E908F1"/>
    <w:rsid w:val="00E94028"/>
    <w:rsid w:val="00E950B2"/>
    <w:rsid w:val="00E9515A"/>
    <w:rsid w:val="00E9549A"/>
    <w:rsid w:val="00E96550"/>
    <w:rsid w:val="00E97506"/>
    <w:rsid w:val="00EA187F"/>
    <w:rsid w:val="00EA278C"/>
    <w:rsid w:val="00EA579E"/>
    <w:rsid w:val="00EA7625"/>
    <w:rsid w:val="00EA7702"/>
    <w:rsid w:val="00EA7A8C"/>
    <w:rsid w:val="00EB314D"/>
    <w:rsid w:val="00EB60B2"/>
    <w:rsid w:val="00EB7109"/>
    <w:rsid w:val="00EC20B1"/>
    <w:rsid w:val="00EC23FD"/>
    <w:rsid w:val="00EC467F"/>
    <w:rsid w:val="00ED0667"/>
    <w:rsid w:val="00ED091D"/>
    <w:rsid w:val="00ED1666"/>
    <w:rsid w:val="00ED51F5"/>
    <w:rsid w:val="00ED568A"/>
    <w:rsid w:val="00EE053E"/>
    <w:rsid w:val="00EE4BFD"/>
    <w:rsid w:val="00EE5C93"/>
    <w:rsid w:val="00EF0400"/>
    <w:rsid w:val="00EF091A"/>
    <w:rsid w:val="00EF1DFA"/>
    <w:rsid w:val="00EF424C"/>
    <w:rsid w:val="00EF4774"/>
    <w:rsid w:val="00EF71BD"/>
    <w:rsid w:val="00F13272"/>
    <w:rsid w:val="00F159B8"/>
    <w:rsid w:val="00F17E3F"/>
    <w:rsid w:val="00F20EB3"/>
    <w:rsid w:val="00F234D6"/>
    <w:rsid w:val="00F23D43"/>
    <w:rsid w:val="00F23FEC"/>
    <w:rsid w:val="00F24963"/>
    <w:rsid w:val="00F31E67"/>
    <w:rsid w:val="00F3597F"/>
    <w:rsid w:val="00F35F5B"/>
    <w:rsid w:val="00F45718"/>
    <w:rsid w:val="00F46F04"/>
    <w:rsid w:val="00F47B23"/>
    <w:rsid w:val="00F47BB7"/>
    <w:rsid w:val="00F50EA6"/>
    <w:rsid w:val="00F617A2"/>
    <w:rsid w:val="00F64084"/>
    <w:rsid w:val="00F640FD"/>
    <w:rsid w:val="00F716BE"/>
    <w:rsid w:val="00F771BC"/>
    <w:rsid w:val="00F77D48"/>
    <w:rsid w:val="00F81D56"/>
    <w:rsid w:val="00F84849"/>
    <w:rsid w:val="00F84B03"/>
    <w:rsid w:val="00F9283B"/>
    <w:rsid w:val="00F937F0"/>
    <w:rsid w:val="00F96039"/>
    <w:rsid w:val="00FA1D5E"/>
    <w:rsid w:val="00FA5A91"/>
    <w:rsid w:val="00FB06F2"/>
    <w:rsid w:val="00FB09A0"/>
    <w:rsid w:val="00FB4EF6"/>
    <w:rsid w:val="00FC0B7A"/>
    <w:rsid w:val="00FC0CDD"/>
    <w:rsid w:val="00FC48DF"/>
    <w:rsid w:val="00FC62A3"/>
    <w:rsid w:val="00FC76F8"/>
    <w:rsid w:val="00FD1354"/>
    <w:rsid w:val="00FD25ED"/>
    <w:rsid w:val="00FD25F3"/>
    <w:rsid w:val="00FD2E4B"/>
    <w:rsid w:val="00FD67DA"/>
    <w:rsid w:val="00FD67F6"/>
    <w:rsid w:val="00FD77D3"/>
    <w:rsid w:val="00FE0C55"/>
    <w:rsid w:val="00FE4E39"/>
    <w:rsid w:val="00FE57FC"/>
    <w:rsid w:val="00FE7122"/>
    <w:rsid w:val="00FF1FF1"/>
    <w:rsid w:val="00FF23D0"/>
    <w:rsid w:val="00FF577D"/>
    <w:rsid w:val="01DD3C4D"/>
    <w:rsid w:val="01E054EB"/>
    <w:rsid w:val="02021D56"/>
    <w:rsid w:val="021F5E8C"/>
    <w:rsid w:val="02B24672"/>
    <w:rsid w:val="034649C6"/>
    <w:rsid w:val="04120294"/>
    <w:rsid w:val="049F3AB4"/>
    <w:rsid w:val="04AE367F"/>
    <w:rsid w:val="04D40769"/>
    <w:rsid w:val="04F5472C"/>
    <w:rsid w:val="05796E8A"/>
    <w:rsid w:val="059E7B97"/>
    <w:rsid w:val="064F49ED"/>
    <w:rsid w:val="06BD404D"/>
    <w:rsid w:val="072145DC"/>
    <w:rsid w:val="07691ADF"/>
    <w:rsid w:val="078B01C0"/>
    <w:rsid w:val="07921036"/>
    <w:rsid w:val="08275C22"/>
    <w:rsid w:val="0828766F"/>
    <w:rsid w:val="083245C7"/>
    <w:rsid w:val="083D3697"/>
    <w:rsid w:val="08803584"/>
    <w:rsid w:val="0A913826"/>
    <w:rsid w:val="0B3901BE"/>
    <w:rsid w:val="0B4C418B"/>
    <w:rsid w:val="0B95098E"/>
    <w:rsid w:val="0BB35A1E"/>
    <w:rsid w:val="0BB51797"/>
    <w:rsid w:val="0BE840DC"/>
    <w:rsid w:val="0C6A76ED"/>
    <w:rsid w:val="0C755A7E"/>
    <w:rsid w:val="0CD81BE1"/>
    <w:rsid w:val="0DC42165"/>
    <w:rsid w:val="0EE044E1"/>
    <w:rsid w:val="0F19203C"/>
    <w:rsid w:val="0F434917"/>
    <w:rsid w:val="10D25C79"/>
    <w:rsid w:val="116F23E8"/>
    <w:rsid w:val="11874047"/>
    <w:rsid w:val="11FE479D"/>
    <w:rsid w:val="12103BCB"/>
    <w:rsid w:val="12C34799"/>
    <w:rsid w:val="12C642E5"/>
    <w:rsid w:val="12EC1F42"/>
    <w:rsid w:val="12FE0E52"/>
    <w:rsid w:val="130A36C0"/>
    <w:rsid w:val="132A0CBC"/>
    <w:rsid w:val="14C842E9"/>
    <w:rsid w:val="15000600"/>
    <w:rsid w:val="155C2C83"/>
    <w:rsid w:val="15835A3D"/>
    <w:rsid w:val="163F4A7E"/>
    <w:rsid w:val="16664FB7"/>
    <w:rsid w:val="16BC60CF"/>
    <w:rsid w:val="16D927DD"/>
    <w:rsid w:val="16E82A20"/>
    <w:rsid w:val="170F5DE2"/>
    <w:rsid w:val="17103D25"/>
    <w:rsid w:val="175B7696"/>
    <w:rsid w:val="17CC351C"/>
    <w:rsid w:val="17E23BBC"/>
    <w:rsid w:val="17E41AE8"/>
    <w:rsid w:val="18372B6F"/>
    <w:rsid w:val="18FC27B3"/>
    <w:rsid w:val="19C46AC5"/>
    <w:rsid w:val="1AA17AB6"/>
    <w:rsid w:val="1B3D1573"/>
    <w:rsid w:val="1C1A0A3B"/>
    <w:rsid w:val="1CEB14BC"/>
    <w:rsid w:val="1D012A8E"/>
    <w:rsid w:val="1D1A3B4F"/>
    <w:rsid w:val="1D2B3667"/>
    <w:rsid w:val="1D5E3A3C"/>
    <w:rsid w:val="1D60636A"/>
    <w:rsid w:val="1D7B2840"/>
    <w:rsid w:val="1D9456B0"/>
    <w:rsid w:val="1DAC49BC"/>
    <w:rsid w:val="1DD957B9"/>
    <w:rsid w:val="1DDB32DF"/>
    <w:rsid w:val="1E960FB4"/>
    <w:rsid w:val="1EBA1146"/>
    <w:rsid w:val="1ED3045A"/>
    <w:rsid w:val="1F195A3D"/>
    <w:rsid w:val="1F3879C6"/>
    <w:rsid w:val="1F7033A3"/>
    <w:rsid w:val="1F7C464D"/>
    <w:rsid w:val="1FB931AC"/>
    <w:rsid w:val="1FCA53B9"/>
    <w:rsid w:val="1FEC0C73"/>
    <w:rsid w:val="203767C6"/>
    <w:rsid w:val="204A64FA"/>
    <w:rsid w:val="20DD7E60"/>
    <w:rsid w:val="21020207"/>
    <w:rsid w:val="22050DDE"/>
    <w:rsid w:val="222C1173"/>
    <w:rsid w:val="232B0BC0"/>
    <w:rsid w:val="23701141"/>
    <w:rsid w:val="23B05A23"/>
    <w:rsid w:val="250C7BDD"/>
    <w:rsid w:val="257D4C7B"/>
    <w:rsid w:val="25965D3D"/>
    <w:rsid w:val="268E4399"/>
    <w:rsid w:val="26BA1F0B"/>
    <w:rsid w:val="26D305CA"/>
    <w:rsid w:val="26E96FC9"/>
    <w:rsid w:val="2751016E"/>
    <w:rsid w:val="27D43AE7"/>
    <w:rsid w:val="27DF1C1D"/>
    <w:rsid w:val="28003F1F"/>
    <w:rsid w:val="284D6B87"/>
    <w:rsid w:val="28C350D3"/>
    <w:rsid w:val="29235B3A"/>
    <w:rsid w:val="296F0D7F"/>
    <w:rsid w:val="29791BFE"/>
    <w:rsid w:val="2A186697"/>
    <w:rsid w:val="2A677CA8"/>
    <w:rsid w:val="2A88659C"/>
    <w:rsid w:val="2AAE2B7D"/>
    <w:rsid w:val="2B936FA7"/>
    <w:rsid w:val="2C8A1F91"/>
    <w:rsid w:val="2D2F60D9"/>
    <w:rsid w:val="2D5B3AF4"/>
    <w:rsid w:val="2DB31F61"/>
    <w:rsid w:val="2EEB6A78"/>
    <w:rsid w:val="2F1F32D5"/>
    <w:rsid w:val="2FA83246"/>
    <w:rsid w:val="2FC71915"/>
    <w:rsid w:val="30534F57"/>
    <w:rsid w:val="30823A8E"/>
    <w:rsid w:val="30840E28"/>
    <w:rsid w:val="31A53B13"/>
    <w:rsid w:val="32792E2E"/>
    <w:rsid w:val="328E04C8"/>
    <w:rsid w:val="32EE540A"/>
    <w:rsid w:val="33095598"/>
    <w:rsid w:val="335214F5"/>
    <w:rsid w:val="33D932FF"/>
    <w:rsid w:val="341D068F"/>
    <w:rsid w:val="343B01DB"/>
    <w:rsid w:val="34AC4C6E"/>
    <w:rsid w:val="3518051D"/>
    <w:rsid w:val="35305866"/>
    <w:rsid w:val="35CB558F"/>
    <w:rsid w:val="36863F80"/>
    <w:rsid w:val="36E0506A"/>
    <w:rsid w:val="37CF580A"/>
    <w:rsid w:val="37EE62CE"/>
    <w:rsid w:val="381E4A1E"/>
    <w:rsid w:val="38EF0EF7"/>
    <w:rsid w:val="39785A2E"/>
    <w:rsid w:val="39D322B3"/>
    <w:rsid w:val="39E11825"/>
    <w:rsid w:val="3B163750"/>
    <w:rsid w:val="3B36794F"/>
    <w:rsid w:val="3DAF01C0"/>
    <w:rsid w:val="3E2E7003"/>
    <w:rsid w:val="3EBA43F3"/>
    <w:rsid w:val="3ED54117"/>
    <w:rsid w:val="3EF94F1B"/>
    <w:rsid w:val="3F375A43"/>
    <w:rsid w:val="3F4F1E6B"/>
    <w:rsid w:val="3FB11C9A"/>
    <w:rsid w:val="3FF011AB"/>
    <w:rsid w:val="40133ADE"/>
    <w:rsid w:val="407F58F4"/>
    <w:rsid w:val="419B49AF"/>
    <w:rsid w:val="425702A2"/>
    <w:rsid w:val="42C81561"/>
    <w:rsid w:val="42CB3072"/>
    <w:rsid w:val="42E83C24"/>
    <w:rsid w:val="436F7EA2"/>
    <w:rsid w:val="43AF5C17"/>
    <w:rsid w:val="43E837B0"/>
    <w:rsid w:val="43F565F9"/>
    <w:rsid w:val="440D50A3"/>
    <w:rsid w:val="444B446B"/>
    <w:rsid w:val="44A91191"/>
    <w:rsid w:val="44AC2A30"/>
    <w:rsid w:val="455A248C"/>
    <w:rsid w:val="461D7FB4"/>
    <w:rsid w:val="46535859"/>
    <w:rsid w:val="46FD0828"/>
    <w:rsid w:val="472471F5"/>
    <w:rsid w:val="47961EA1"/>
    <w:rsid w:val="47C05921"/>
    <w:rsid w:val="484138DF"/>
    <w:rsid w:val="48541414"/>
    <w:rsid w:val="48904B42"/>
    <w:rsid w:val="49344461"/>
    <w:rsid w:val="49D1637E"/>
    <w:rsid w:val="49EF3AEA"/>
    <w:rsid w:val="49F20EE5"/>
    <w:rsid w:val="4A015677"/>
    <w:rsid w:val="4A360039"/>
    <w:rsid w:val="4A6873F9"/>
    <w:rsid w:val="4AAB009E"/>
    <w:rsid w:val="4AC00FE3"/>
    <w:rsid w:val="4B0233A9"/>
    <w:rsid w:val="4B5802B9"/>
    <w:rsid w:val="4BC67D92"/>
    <w:rsid w:val="4C43011D"/>
    <w:rsid w:val="4D0E24D9"/>
    <w:rsid w:val="4DB841F3"/>
    <w:rsid w:val="4DD01D51"/>
    <w:rsid w:val="4DE33966"/>
    <w:rsid w:val="4E255D2C"/>
    <w:rsid w:val="4F4421E2"/>
    <w:rsid w:val="4F876573"/>
    <w:rsid w:val="4F9111A0"/>
    <w:rsid w:val="4FC5181C"/>
    <w:rsid w:val="50E53551"/>
    <w:rsid w:val="50F10148"/>
    <w:rsid w:val="51B01083"/>
    <w:rsid w:val="51DB7711"/>
    <w:rsid w:val="5233653E"/>
    <w:rsid w:val="52992845"/>
    <w:rsid w:val="530C3017"/>
    <w:rsid w:val="5314011E"/>
    <w:rsid w:val="531C6FD2"/>
    <w:rsid w:val="53316F22"/>
    <w:rsid w:val="53F53192"/>
    <w:rsid w:val="547146BE"/>
    <w:rsid w:val="554747DA"/>
    <w:rsid w:val="558C48E3"/>
    <w:rsid w:val="56682C5A"/>
    <w:rsid w:val="56870BCE"/>
    <w:rsid w:val="56941CA1"/>
    <w:rsid w:val="56A25A40"/>
    <w:rsid w:val="56B20379"/>
    <w:rsid w:val="577675F9"/>
    <w:rsid w:val="57D52571"/>
    <w:rsid w:val="57FF75EE"/>
    <w:rsid w:val="58820456"/>
    <w:rsid w:val="5A6F20DD"/>
    <w:rsid w:val="5A852E0A"/>
    <w:rsid w:val="5ACE14FA"/>
    <w:rsid w:val="5B152C85"/>
    <w:rsid w:val="5BB029AE"/>
    <w:rsid w:val="5CC47E3A"/>
    <w:rsid w:val="5CF25B9A"/>
    <w:rsid w:val="5D021F09"/>
    <w:rsid w:val="5D1F2257"/>
    <w:rsid w:val="5EE017FC"/>
    <w:rsid w:val="5EF97984"/>
    <w:rsid w:val="5F3A0F0C"/>
    <w:rsid w:val="5F7E34EF"/>
    <w:rsid w:val="5FFA472D"/>
    <w:rsid w:val="60A70823"/>
    <w:rsid w:val="60BE5811"/>
    <w:rsid w:val="61EF4230"/>
    <w:rsid w:val="62C03E1E"/>
    <w:rsid w:val="62EF025F"/>
    <w:rsid w:val="637075F2"/>
    <w:rsid w:val="63821F51"/>
    <w:rsid w:val="63AD43A2"/>
    <w:rsid w:val="63F55D49"/>
    <w:rsid w:val="640A1ACE"/>
    <w:rsid w:val="64864CAD"/>
    <w:rsid w:val="64A70DF2"/>
    <w:rsid w:val="653528A1"/>
    <w:rsid w:val="65354F9D"/>
    <w:rsid w:val="65613696"/>
    <w:rsid w:val="65766A16"/>
    <w:rsid w:val="65BD2897"/>
    <w:rsid w:val="65D33883"/>
    <w:rsid w:val="65E16C35"/>
    <w:rsid w:val="66044022"/>
    <w:rsid w:val="66187ACD"/>
    <w:rsid w:val="663568D1"/>
    <w:rsid w:val="66833198"/>
    <w:rsid w:val="6692787F"/>
    <w:rsid w:val="67696832"/>
    <w:rsid w:val="679A4C3E"/>
    <w:rsid w:val="68324E76"/>
    <w:rsid w:val="687B7376"/>
    <w:rsid w:val="693B39B1"/>
    <w:rsid w:val="69790883"/>
    <w:rsid w:val="69931944"/>
    <w:rsid w:val="699E2882"/>
    <w:rsid w:val="6A130CD7"/>
    <w:rsid w:val="6A4A7F6B"/>
    <w:rsid w:val="6A7E0847"/>
    <w:rsid w:val="6AD31A8B"/>
    <w:rsid w:val="6AD824D8"/>
    <w:rsid w:val="6B120F8F"/>
    <w:rsid w:val="6B1B42E7"/>
    <w:rsid w:val="6B246D54"/>
    <w:rsid w:val="6BE66E12"/>
    <w:rsid w:val="6C700348"/>
    <w:rsid w:val="6CBA368C"/>
    <w:rsid w:val="6D0A4613"/>
    <w:rsid w:val="6DC81DD9"/>
    <w:rsid w:val="6E9C129B"/>
    <w:rsid w:val="6EC425A0"/>
    <w:rsid w:val="6F865AA7"/>
    <w:rsid w:val="6F8C5FC0"/>
    <w:rsid w:val="6F993A2D"/>
    <w:rsid w:val="707A560C"/>
    <w:rsid w:val="70A42689"/>
    <w:rsid w:val="70F55209"/>
    <w:rsid w:val="712E4649"/>
    <w:rsid w:val="718814E9"/>
    <w:rsid w:val="728D7D7F"/>
    <w:rsid w:val="72BF4D59"/>
    <w:rsid w:val="72D059B7"/>
    <w:rsid w:val="734A79B4"/>
    <w:rsid w:val="73552361"/>
    <w:rsid w:val="73995D32"/>
    <w:rsid w:val="73BE1CB4"/>
    <w:rsid w:val="73E4138D"/>
    <w:rsid w:val="73F92CEC"/>
    <w:rsid w:val="745B563F"/>
    <w:rsid w:val="745B5755"/>
    <w:rsid w:val="75483F2B"/>
    <w:rsid w:val="75BC0475"/>
    <w:rsid w:val="75DB60EE"/>
    <w:rsid w:val="75E066F3"/>
    <w:rsid w:val="75FB0F9D"/>
    <w:rsid w:val="7709593C"/>
    <w:rsid w:val="77263AF5"/>
    <w:rsid w:val="773209DC"/>
    <w:rsid w:val="77374DEE"/>
    <w:rsid w:val="77626DFA"/>
    <w:rsid w:val="778D20C9"/>
    <w:rsid w:val="77BF775E"/>
    <w:rsid w:val="77C35AEB"/>
    <w:rsid w:val="77C67389"/>
    <w:rsid w:val="782567A5"/>
    <w:rsid w:val="784A0269"/>
    <w:rsid w:val="7A4A24F3"/>
    <w:rsid w:val="7A7E03EF"/>
    <w:rsid w:val="7B65510B"/>
    <w:rsid w:val="7BD04C7A"/>
    <w:rsid w:val="7DE30C78"/>
    <w:rsid w:val="7F895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uiPriority="99" w:name="annotation text"/>
    <w:lsdException w:qFormat="1" w:uiPriority="99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1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0" w:semiHidden="0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27"/>
    <w:autoRedefine/>
    <w:qFormat/>
    <w:uiPriority w:val="9"/>
    <w:pPr>
      <w:widowControl/>
      <w:spacing w:before="100" w:beforeAutospacing="1" w:after="100" w:afterAutospacing="1"/>
      <w:jc w:val="left"/>
      <w:outlineLvl w:val="0"/>
    </w:pPr>
    <w:rPr>
      <w:rFonts w:ascii="宋体" w:hAnsi="宋体" w:cs="宋体"/>
      <w:b/>
      <w:bCs/>
      <w:kern w:val="36"/>
      <w:sz w:val="48"/>
      <w:szCs w:val="48"/>
    </w:rPr>
  </w:style>
  <w:style w:type="paragraph" w:styleId="3">
    <w:name w:val="heading 4"/>
    <w:basedOn w:val="1"/>
    <w:next w:val="1"/>
    <w:link w:val="34"/>
    <w:autoRedefine/>
    <w:semiHidden/>
    <w:unhideWhenUsed/>
    <w:qFormat/>
    <w:uiPriority w:val="9"/>
    <w:pPr>
      <w:keepNext/>
      <w:keepLines/>
      <w:spacing w:before="280" w:after="290" w:line="376" w:lineRule="auto"/>
      <w:outlineLvl w:val="3"/>
    </w:pPr>
    <w:rPr>
      <w:rFonts w:asciiTheme="majorHAnsi" w:hAnsiTheme="majorHAnsi" w:eastAsiaTheme="majorEastAsia" w:cstheme="majorBidi"/>
      <w:b/>
      <w:bCs/>
      <w:sz w:val="28"/>
      <w:szCs w:val="28"/>
    </w:rPr>
  </w:style>
  <w:style w:type="character" w:default="1" w:styleId="15">
    <w:name w:val="Default Paragraph Font"/>
    <w:autoRedefine/>
    <w:semiHidden/>
    <w:unhideWhenUsed/>
    <w:qFormat/>
    <w:uiPriority w:val="1"/>
  </w:style>
  <w:style w:type="table" w:default="1" w:styleId="13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autoRedefine/>
    <w:qFormat/>
    <w:uiPriority w:val="0"/>
    <w:pPr>
      <w:ind w:firstLine="420" w:firstLineChars="200"/>
    </w:pPr>
  </w:style>
  <w:style w:type="paragraph" w:styleId="5">
    <w:name w:val="Body Text"/>
    <w:basedOn w:val="1"/>
    <w:link w:val="28"/>
    <w:autoRedefine/>
    <w:unhideWhenUsed/>
    <w:qFormat/>
    <w:uiPriority w:val="1"/>
    <w:pPr>
      <w:autoSpaceDE w:val="0"/>
      <w:autoSpaceDN w:val="0"/>
      <w:adjustRightInd w:val="0"/>
      <w:ind w:left="109"/>
      <w:jc w:val="left"/>
    </w:pPr>
    <w:rPr>
      <w:rFonts w:ascii="宋体" w:hAnsi="宋体"/>
      <w:kern w:val="0"/>
      <w:sz w:val="32"/>
    </w:rPr>
  </w:style>
  <w:style w:type="paragraph" w:styleId="6">
    <w:name w:val="Body Text Indent"/>
    <w:basedOn w:val="1"/>
    <w:link w:val="32"/>
    <w:autoRedefine/>
    <w:qFormat/>
    <w:uiPriority w:val="0"/>
    <w:pPr>
      <w:spacing w:after="120"/>
      <w:ind w:left="420" w:leftChars="200"/>
    </w:pPr>
    <w:rPr>
      <w:rFonts w:ascii="Calibri" w:hAnsi="Calibri"/>
    </w:rPr>
  </w:style>
  <w:style w:type="paragraph" w:styleId="7">
    <w:name w:val="Date"/>
    <w:basedOn w:val="1"/>
    <w:next w:val="1"/>
    <w:link w:val="24"/>
    <w:autoRedefine/>
    <w:semiHidden/>
    <w:unhideWhenUsed/>
    <w:qFormat/>
    <w:uiPriority w:val="99"/>
    <w:pPr>
      <w:ind w:left="100" w:leftChars="2500"/>
    </w:pPr>
  </w:style>
  <w:style w:type="paragraph" w:styleId="8">
    <w:name w:val="Balloon Text"/>
    <w:basedOn w:val="1"/>
    <w:link w:val="22"/>
    <w:autoRedefine/>
    <w:unhideWhenUsed/>
    <w:qFormat/>
    <w:uiPriority w:val="99"/>
    <w:rPr>
      <w:sz w:val="18"/>
      <w:szCs w:val="18"/>
    </w:rPr>
  </w:style>
  <w:style w:type="paragraph" w:styleId="9">
    <w:name w:val="footer"/>
    <w:basedOn w:val="1"/>
    <w:link w:val="20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23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Normal (Web)"/>
    <w:basedOn w:val="1"/>
    <w:autoRedefine/>
    <w:unhideWhenUsed/>
    <w:qFormat/>
    <w:uiPriority w:val="0"/>
    <w:pPr>
      <w:widowControl/>
      <w:jc w:val="left"/>
    </w:pPr>
    <w:rPr>
      <w:rFonts w:ascii="宋体" w:hAnsi="宋体" w:cs="宋体"/>
      <w:kern w:val="0"/>
      <w:sz w:val="24"/>
    </w:rPr>
  </w:style>
  <w:style w:type="paragraph" w:styleId="12">
    <w:name w:val="Title"/>
    <w:basedOn w:val="1"/>
    <w:next w:val="1"/>
    <w:link w:val="41"/>
    <w:autoRedefine/>
    <w:qFormat/>
    <w:uiPriority w:val="10"/>
    <w:pPr>
      <w:snapToGrid w:val="0"/>
      <w:spacing w:before="120" w:after="120"/>
      <w:jc w:val="center"/>
      <w:outlineLvl w:val="0"/>
    </w:pPr>
    <w:rPr>
      <w:rFonts w:eastAsia="方正小标宋简体"/>
      <w:bCs/>
      <w:sz w:val="44"/>
      <w:szCs w:val="36"/>
    </w:rPr>
  </w:style>
  <w:style w:type="table" w:styleId="14">
    <w:name w:val="Table Grid"/>
    <w:basedOn w:val="13"/>
    <w:autoRedefine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6">
    <w:name w:val="Strong"/>
    <w:autoRedefine/>
    <w:qFormat/>
    <w:uiPriority w:val="0"/>
    <w:rPr>
      <w:b/>
      <w:bCs/>
    </w:rPr>
  </w:style>
  <w:style w:type="character" w:styleId="17">
    <w:name w:val="page number"/>
    <w:basedOn w:val="15"/>
    <w:autoRedefine/>
    <w:qFormat/>
    <w:uiPriority w:val="0"/>
  </w:style>
  <w:style w:type="character" w:styleId="18">
    <w:name w:val="Hyperlink"/>
    <w:basedOn w:val="15"/>
    <w:autoRedefine/>
    <w:unhideWhenUsed/>
    <w:qFormat/>
    <w:uiPriority w:val="0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paragraph" w:customStyle="1" w:styleId="19">
    <w:name w:val="Char"/>
    <w:basedOn w:val="1"/>
    <w:autoRedefine/>
    <w:qFormat/>
    <w:uiPriority w:val="0"/>
  </w:style>
  <w:style w:type="character" w:customStyle="1" w:styleId="20">
    <w:name w:val="页脚 Char"/>
    <w:basedOn w:val="15"/>
    <w:link w:val="9"/>
    <w:autoRedefine/>
    <w:qFormat/>
    <w:uiPriority w:val="0"/>
    <w:rPr>
      <w:rFonts w:ascii="Times New Roman" w:hAnsi="Times New Roman" w:eastAsia="宋体" w:cs="Times New Roman"/>
      <w:sz w:val="18"/>
      <w:szCs w:val="18"/>
    </w:rPr>
  </w:style>
  <w:style w:type="paragraph" w:customStyle="1" w:styleId="21">
    <w:name w:val="cn-main-title"/>
    <w:basedOn w:val="1"/>
    <w:autoRedefine/>
    <w:qFormat/>
    <w:uiPriority w:val="0"/>
    <w:pPr>
      <w:spacing w:after="240"/>
      <w:jc w:val="center"/>
    </w:pPr>
    <w:rPr>
      <w:color w:val="333333"/>
      <w:kern w:val="0"/>
      <w:sz w:val="33"/>
      <w:szCs w:val="33"/>
    </w:rPr>
  </w:style>
  <w:style w:type="character" w:customStyle="1" w:styleId="22">
    <w:name w:val="批注框文本 Char"/>
    <w:basedOn w:val="15"/>
    <w:link w:val="8"/>
    <w:autoRedefine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3">
    <w:name w:val="页眉 Char"/>
    <w:basedOn w:val="15"/>
    <w:link w:val="10"/>
    <w:autoRedefine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4">
    <w:name w:val="日期 Char"/>
    <w:basedOn w:val="15"/>
    <w:link w:val="7"/>
    <w:autoRedefine/>
    <w:semiHidden/>
    <w:qFormat/>
    <w:uiPriority w:val="99"/>
    <w:rPr>
      <w:rFonts w:ascii="Times New Roman" w:hAnsi="Times New Roman" w:eastAsia="宋体" w:cs="Times New Roman"/>
      <w:szCs w:val="24"/>
    </w:rPr>
  </w:style>
  <w:style w:type="paragraph" w:styleId="25">
    <w:name w:val="List Paragraph"/>
    <w:basedOn w:val="1"/>
    <w:autoRedefine/>
    <w:qFormat/>
    <w:uiPriority w:val="0"/>
    <w:pPr>
      <w:ind w:firstLine="420" w:firstLineChars="200"/>
    </w:pPr>
  </w:style>
  <w:style w:type="paragraph" w:customStyle="1" w:styleId="26">
    <w:name w:val="Body text|1"/>
    <w:basedOn w:val="1"/>
    <w:autoRedefine/>
    <w:qFormat/>
    <w:uiPriority w:val="0"/>
    <w:pPr>
      <w:spacing w:line="461" w:lineRule="auto"/>
      <w:ind w:firstLine="400"/>
    </w:pPr>
    <w:rPr>
      <w:rFonts w:ascii="宋体" w:hAnsi="宋体" w:cs="宋体"/>
      <w:sz w:val="26"/>
      <w:szCs w:val="26"/>
      <w:lang w:val="zh-TW" w:eastAsia="zh-TW" w:bidi="zh-TW"/>
    </w:rPr>
  </w:style>
  <w:style w:type="character" w:customStyle="1" w:styleId="27">
    <w:name w:val="标题 1 Char"/>
    <w:basedOn w:val="15"/>
    <w:link w:val="2"/>
    <w:autoRedefine/>
    <w:qFormat/>
    <w:uiPriority w:val="0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28">
    <w:name w:val="正文文本 Char"/>
    <w:basedOn w:val="15"/>
    <w:link w:val="5"/>
    <w:autoRedefine/>
    <w:qFormat/>
    <w:uiPriority w:val="1"/>
    <w:rPr>
      <w:rFonts w:ascii="宋体" w:hAnsi="宋体" w:eastAsia="宋体" w:cs="Times New Roman"/>
      <w:kern w:val="0"/>
      <w:sz w:val="32"/>
      <w:szCs w:val="24"/>
    </w:rPr>
  </w:style>
  <w:style w:type="paragraph" w:customStyle="1" w:styleId="29">
    <w:name w:val="Default"/>
    <w:autoRedefine/>
    <w:qFormat/>
    <w:uiPriority w:val="99"/>
    <w:pPr>
      <w:widowControl w:val="0"/>
      <w:autoSpaceDE w:val="0"/>
      <w:autoSpaceDN w:val="0"/>
      <w:adjustRightInd w:val="0"/>
    </w:pPr>
    <w:rPr>
      <w:rFonts w:ascii="黑体" w:hAnsi="黑体" w:eastAsia="宋体" w:cs="黑体"/>
      <w:color w:val="000000"/>
      <w:sz w:val="24"/>
      <w:szCs w:val="24"/>
      <w:lang w:val="en-US" w:eastAsia="zh-CN" w:bidi="ar-SA"/>
    </w:rPr>
  </w:style>
  <w:style w:type="paragraph" w:customStyle="1" w:styleId="30">
    <w:name w:val="列出段落1"/>
    <w:basedOn w:val="1"/>
    <w:autoRedefine/>
    <w:qFormat/>
    <w:uiPriority w:val="34"/>
    <w:pPr>
      <w:ind w:firstLine="420" w:firstLineChars="200"/>
    </w:pPr>
    <w:rPr>
      <w:rFonts w:ascii="Calibri" w:hAnsi="Calibri"/>
    </w:rPr>
  </w:style>
  <w:style w:type="character" w:customStyle="1" w:styleId="31">
    <w:name w:val="sigblank17陶仪声"/>
    <w:basedOn w:val="15"/>
    <w:autoRedefine/>
    <w:qFormat/>
    <w:uiPriority w:val="0"/>
  </w:style>
  <w:style w:type="character" w:customStyle="1" w:styleId="32">
    <w:name w:val="正文文本缩进 Char"/>
    <w:basedOn w:val="15"/>
    <w:link w:val="6"/>
    <w:autoRedefine/>
    <w:qFormat/>
    <w:uiPriority w:val="0"/>
    <w:rPr>
      <w:rFonts w:ascii="Calibri" w:hAnsi="Calibri" w:eastAsia="宋体" w:cs="Times New Roman"/>
      <w:szCs w:val="24"/>
    </w:rPr>
  </w:style>
  <w:style w:type="table" w:customStyle="1" w:styleId="33">
    <w:name w:val="网格型1"/>
    <w:basedOn w:val="13"/>
    <w:autoRedefine/>
    <w:qFormat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4">
    <w:name w:val="标题 4 Char"/>
    <w:basedOn w:val="15"/>
    <w:link w:val="3"/>
    <w:autoRedefine/>
    <w:semiHidden/>
    <w:qFormat/>
    <w:uiPriority w:val="9"/>
    <w:rPr>
      <w:rFonts w:asciiTheme="majorHAnsi" w:hAnsiTheme="majorHAnsi" w:eastAsiaTheme="majorEastAsia" w:cstheme="majorBidi"/>
      <w:b/>
      <w:bCs/>
      <w:sz w:val="28"/>
      <w:szCs w:val="28"/>
    </w:rPr>
  </w:style>
  <w:style w:type="paragraph" w:customStyle="1" w:styleId="35">
    <w:name w:val="Table Paragraph"/>
    <w:basedOn w:val="1"/>
    <w:autoRedefine/>
    <w:qFormat/>
    <w:uiPriority w:val="1"/>
    <w:pPr>
      <w:jc w:val="center"/>
    </w:pPr>
    <w:rPr>
      <w:rFonts w:ascii="Calibri" w:hAnsi="Calibri"/>
    </w:rPr>
  </w:style>
  <w:style w:type="character" w:customStyle="1" w:styleId="36">
    <w:name w:val="15"/>
    <w:basedOn w:val="15"/>
    <w:autoRedefine/>
    <w:qFormat/>
    <w:uiPriority w:val="0"/>
    <w:rPr>
      <w:rFonts w:hint="default" w:ascii="Times New Roman" w:hAnsi="Times New Roman" w:cs="Times New Roman"/>
      <w:color w:val="0000FF"/>
      <w:u w:val="single"/>
    </w:rPr>
  </w:style>
  <w:style w:type="character" w:customStyle="1" w:styleId="37">
    <w:name w:val="NormalCharacter"/>
    <w:autoRedefine/>
    <w:qFormat/>
    <w:uiPriority w:val="0"/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customStyle="1" w:styleId="38">
    <w:name w:val="cjk"/>
    <w:basedOn w:val="1"/>
    <w:autoRedefine/>
    <w:qFormat/>
    <w:uiPriority w:val="99"/>
    <w:pPr>
      <w:spacing w:before="100" w:beforeAutospacing="1" w:after="142" w:line="276" w:lineRule="auto"/>
    </w:pPr>
    <w:rPr>
      <w:rFonts w:ascii="宋体" w:hAnsi="宋体" w:cs="宋体"/>
      <w:color w:val="000000"/>
      <w:kern w:val="0"/>
      <w:sz w:val="20"/>
      <w:szCs w:val="20"/>
    </w:rPr>
  </w:style>
  <w:style w:type="character" w:customStyle="1" w:styleId="39">
    <w:name w:val="16"/>
    <w:autoRedefine/>
    <w:qFormat/>
    <w:uiPriority w:val="0"/>
    <w:rPr>
      <w:rFonts w:ascii="Calibri" w:hAnsi="Calibri" w:eastAsia="宋体" w:cs="Times New Roman"/>
    </w:rPr>
  </w:style>
  <w:style w:type="paragraph" w:customStyle="1" w:styleId="40">
    <w:name w:val="正文2"/>
    <w:basedOn w:val="1"/>
    <w:autoRedefine/>
    <w:qFormat/>
    <w:uiPriority w:val="0"/>
  </w:style>
  <w:style w:type="character" w:customStyle="1" w:styleId="41">
    <w:name w:val="标题 Char"/>
    <w:basedOn w:val="15"/>
    <w:link w:val="12"/>
    <w:autoRedefine/>
    <w:qFormat/>
    <w:uiPriority w:val="10"/>
    <w:rPr>
      <w:rFonts w:ascii="Times New Roman" w:hAnsi="Times New Roman" w:eastAsia="方正小标宋简体" w:cs="Times New Roman"/>
      <w:bCs/>
      <w:sz w:val="44"/>
      <w:szCs w:val="36"/>
    </w:rPr>
  </w:style>
  <w:style w:type="character" w:customStyle="1" w:styleId="42">
    <w:name w:val="font41"/>
    <w:basedOn w:val="15"/>
    <w:autoRedefine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EE071E-5BDE-40CE-88FF-8F625A4CEAA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Hewlett-Packard Company</Company>
  <Pages>6</Pages>
  <Words>2224</Words>
  <Characters>2673</Characters>
  <Lines>68</Lines>
  <Paragraphs>19</Paragraphs>
  <TotalTime>72</TotalTime>
  <ScaleCrop>false</ScaleCrop>
  <LinksUpToDate>false</LinksUpToDate>
  <CharactersWithSpaces>2756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2022-05-06T09:04:00Z</dcterms:created>
  <dc:creator>文印室</dc:creator>
  <cp:lastModifiedBy>璟</cp:lastModifiedBy>
  <cp:lastPrinted>2022-05-06T08:33:00Z</cp:lastPrinted>
  <dcterms:modified xsi:type="dcterms:W3CDTF">2026-01-08T02:29:45Z</dcterms:modified>
  <cp:revision>16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0B81FFD9828F4120B3DC8972841F3731_13</vt:lpwstr>
  </property>
  <property fmtid="{D5CDD505-2E9C-101B-9397-08002B2CF9AE}" pid="4" name="KSOTemplateDocerSaveRecord">
    <vt:lpwstr>eyJoZGlkIjoiNmQwZDg1Njg4MTYzYmM0ZjdkZjgxOGE1NzMyY2I3YmUiLCJ1c2VySWQiOiIyNjI1MDUwNDEifQ==</vt:lpwstr>
  </property>
</Properties>
</file>