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spacing w:line="540" w:lineRule="exact"/>
        <w:ind w:firstLine="800"/>
        <w:jc w:val="center"/>
        <w:rPr>
          <w:color w:val="000000" w:themeColor="text1"/>
          <w14:textFill>
            <w14:solidFill>
              <w14:schemeClr w14:val="tx1"/>
            </w14:solidFill>
          </w14:textFill>
        </w:rPr>
      </w:pPr>
      <w:bookmarkStart w:id="0" w:name="_Toc908657466_WPSOffice_Level2"/>
      <w:bookmarkStart w:id="1" w:name="_Toc1524053835_WPSOffice_Level2"/>
      <w:bookmarkStart w:id="2" w:name="_Toc1734282539_WPSOffice_Level2"/>
      <w:bookmarkStart w:id="3" w:name="_Toc1276627973_WPSOffice_Level2"/>
      <w:bookmarkStart w:id="4" w:name="_Toc88893436_WPSOffice_Level2"/>
      <w:bookmarkStart w:id="5" w:name="_Toc1089899263_WPSOffice_Level2"/>
      <w:bookmarkStart w:id="6" w:name="_Toc437239372_WPSOffice_Level2"/>
      <w:bookmarkStart w:id="7" w:name="_Toc650934751_WPSOffice_Level2"/>
      <w:bookmarkStart w:id="8" w:name="_Toc2106821466_WPSOffice_Level2"/>
      <w:bookmarkStart w:id="9" w:name="_Toc1533415924_WPSOffice_Level2"/>
      <w:bookmarkStart w:id="10" w:name="_Toc226610434_WPSOffice_Level2"/>
      <w:bookmarkStart w:id="25" w:name="_GoBack"/>
      <w:r>
        <w:rPr>
          <w:rFonts w:hint="eastAsia" w:eastAsia="黑体" w:cs="Times New Roman"/>
          <w:color w:val="000000" w:themeColor="text1"/>
          <w:sz w:val="40"/>
          <w:szCs w:val="40"/>
          <w14:textFill>
            <w14:solidFill>
              <w14:schemeClr w14:val="tx1"/>
            </w14:solidFill>
          </w14:textFill>
        </w:rPr>
        <w:t>东至</w:t>
      </w:r>
      <w:r>
        <w:rPr>
          <w:rFonts w:eastAsia="黑体" w:cs="Times New Roman"/>
          <w:color w:val="000000" w:themeColor="text1"/>
          <w:sz w:val="40"/>
          <w:szCs w:val="40"/>
          <w14:textFill>
            <w14:solidFill>
              <w14:schemeClr w14:val="tx1"/>
            </w14:solidFill>
          </w14:textFill>
        </w:rPr>
        <w:t>县人民政府征地</w:t>
      </w:r>
      <w:r>
        <w:rPr>
          <w:rFonts w:hint="eastAsia" w:eastAsia="黑体" w:cs="Times New Roman"/>
          <w:color w:val="000000" w:themeColor="text1"/>
          <w:sz w:val="40"/>
          <w:szCs w:val="40"/>
          <w14:textFill>
            <w14:solidFill>
              <w14:schemeClr w14:val="tx1"/>
            </w14:solidFill>
          </w14:textFill>
        </w:rPr>
        <w:t>补偿安置方案公告</w:t>
      </w:r>
      <w:bookmarkEnd w:id="0"/>
      <w:bookmarkEnd w:id="1"/>
      <w:bookmarkEnd w:id="2"/>
      <w:bookmarkEnd w:id="3"/>
      <w:bookmarkEnd w:id="4"/>
      <w:bookmarkEnd w:id="5"/>
      <w:bookmarkEnd w:id="6"/>
      <w:bookmarkEnd w:id="7"/>
      <w:bookmarkEnd w:id="8"/>
      <w:bookmarkEnd w:id="9"/>
      <w:bookmarkEnd w:id="10"/>
    </w:p>
    <w:p>
      <w:pPr>
        <w:spacing w:line="540" w:lineRule="exact"/>
        <w:ind w:firstLine="640" w:firstLineChars="200"/>
        <w:jc w:val="center"/>
        <w:rPr>
          <w:rFonts w:hint="eastAsia" w:ascii="仿宋_GB2312" w:hAnsi="仿宋_GB2312" w:eastAsia="仿宋_GB2312" w:cs="仿宋_GB2312"/>
          <w:bCs/>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东征补字〔202</w:t>
      </w:r>
      <w:r>
        <w:rPr>
          <w:rFonts w:hint="eastAsia" w:ascii="仿宋_GB2312" w:hAnsi="仿宋_GB2312" w:eastAsia="仿宋_GB2312" w:cs="仿宋_GB2312"/>
          <w:bCs/>
          <w:color w:val="000000" w:themeColor="text1"/>
          <w:sz w:val="32"/>
          <w:szCs w:val="32"/>
          <w14:textFill>
            <w14:solidFill>
              <w14:schemeClr w14:val="tx1"/>
            </w14:solidFill>
          </w14:textFill>
        </w:rPr>
        <w:t>5〕第14号</w:t>
      </w:r>
    </w:p>
    <w:p>
      <w:pPr>
        <w:spacing w:line="54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根据《中华人民共和国土地管理法》第四十七条、第四十八条，《中华人民共和国土地管理法实施条例》第二十七条、第二十八条以及</w:t>
      </w:r>
      <w:r>
        <w:rPr>
          <w:rFonts w:hint="eastAsia" w:ascii="仿宋_GB2312" w:hAnsi="仿宋_GB2312" w:eastAsia="仿宋_GB2312" w:cs="仿宋_GB2312"/>
          <w:bCs/>
          <w:color w:val="000000" w:themeColor="text1"/>
          <w:sz w:val="32"/>
          <w:szCs w:val="32"/>
          <w14:textFill>
            <w14:solidFill>
              <w14:schemeClr w14:val="tx1"/>
            </w14:solidFill>
          </w14:textFill>
        </w:rPr>
        <w:t>《安徽省土地征收及补偿安置办法》第十一条、第十二条</w:t>
      </w:r>
      <w:r>
        <w:rPr>
          <w:rFonts w:hint="eastAsia" w:ascii="仿宋_GB2312" w:hAnsi="仿宋_GB2312" w:eastAsia="仿宋_GB2312" w:cs="仿宋_GB2312"/>
          <w:color w:val="000000" w:themeColor="text1"/>
          <w:sz w:val="32"/>
          <w:szCs w:val="32"/>
          <w14:textFill>
            <w14:solidFill>
              <w14:schemeClr w14:val="tx1"/>
            </w14:solidFill>
          </w14:textFill>
        </w:rPr>
        <w:t>等规定，依据《东至县人民政府征收土地预公告》（东征预字〔2025〕第17号）开展的拟征收土地现状调查、勘测定界成果审核及社会稳定风险评估结果，拟征收香隅镇金鸡村，香隅镇金鸡村二十一组、二十二组，香隅镇莲湖村，香隅镇莲湖村九组、十组，香隅镇黄山村永丰组、莲花组等集体所有土地4.7650公顷（71.475亩）。东至县政府组织自然资源、财政、农业农村、人力资源和社会保障等部门拟定了征地补偿安置方案，现将方案有关事项公告如下。</w:t>
      </w:r>
    </w:p>
    <w:p>
      <w:pPr>
        <w:spacing w:line="540" w:lineRule="exact"/>
        <w:ind w:firstLine="640" w:firstLineChars="200"/>
        <w:rPr>
          <w:rFonts w:hint="eastAsia" w:ascii="黑体" w:hAnsi="黑体" w:eastAsia="黑体" w:cs="黑体"/>
          <w:bCs/>
          <w:color w:val="000000" w:themeColor="text1"/>
          <w:sz w:val="32"/>
          <w:szCs w:val="32"/>
          <w14:textFill>
            <w14:solidFill>
              <w14:schemeClr w14:val="tx1"/>
            </w14:solidFill>
          </w14:textFill>
        </w:rPr>
      </w:pPr>
      <w:bookmarkStart w:id="11" w:name="_Toc447274616_WPSOffice_Level2"/>
      <w:bookmarkStart w:id="12" w:name="_Toc263885297_WPSOffice_Level2"/>
      <w:bookmarkStart w:id="13" w:name="_Toc1674158059_WPSOffice_Level2"/>
      <w:bookmarkStart w:id="14" w:name="_Toc476908410_WPSOffice_Level2"/>
      <w:r>
        <w:rPr>
          <w:rFonts w:hint="eastAsia" w:ascii="黑体" w:hAnsi="黑体" w:eastAsia="黑体" w:cs="黑体"/>
          <w:bCs/>
          <w:color w:val="000000" w:themeColor="text1"/>
          <w:sz w:val="32"/>
          <w:szCs w:val="32"/>
          <w14:textFill>
            <w14:solidFill>
              <w14:schemeClr w14:val="tx1"/>
            </w14:solidFill>
          </w14:textFill>
        </w:rPr>
        <w:t>一、拟征收土地目的和范围</w:t>
      </w:r>
      <w:bookmarkEnd w:id="11"/>
      <w:bookmarkEnd w:id="12"/>
    </w:p>
    <w:p>
      <w:pPr>
        <w:spacing w:line="54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本次拟征收土地地块一东至：安徽红太阳生物化学有限公司，南至：香荷大道，西至：东至县香口林场，北至：香隅镇莲湖村；地块二东至：香隅镇莲湖村，南至：东至县香口林场，西至：东至县香口林场，北至：东至县香口林场；地块三东至：香隅镇莲湖村，南至：东至县香口林场，西至：东至县香口林场，北至：东至县香口林场；地块四东至：安徽凯亿新材料科技有限公司，南至：安徽凯亿新材料科技有限公司，西至：安徽凯亿新材料科技有限公司，北至：黄山路；地块五东至：安徽新富翔合成材料有限公司，南至：香隅镇金鸡村，西至：香隅镇金鸡村，北至：香隅镇金鸡村；地块六东至：香隅镇金鸡村，南至：香隅镇金鸡村，西至：香隅镇金鸡村，北至：香隅镇金鸡村</w:t>
      </w:r>
    </w:p>
    <w:p>
      <w:pPr>
        <w:spacing w:line="54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具体四至范围详见附图。</w:t>
      </w:r>
    </w:p>
    <w:p>
      <w:pPr>
        <w:spacing w:line="54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bookmarkStart w:id="15" w:name="_Toc668382412_WPSOffice_Level2"/>
      <w:bookmarkStart w:id="16" w:name="_Toc999844332_WPSOffice_Level2"/>
      <w:r>
        <w:rPr>
          <w:rFonts w:hint="eastAsia" w:ascii="仿宋_GB2312" w:hAnsi="仿宋_GB2312" w:eastAsia="仿宋_GB2312" w:cs="仿宋_GB2312"/>
          <w:color w:val="000000" w:themeColor="text1"/>
          <w:sz w:val="32"/>
          <w:szCs w:val="32"/>
          <w14:textFill>
            <w14:solidFill>
              <w14:schemeClr w14:val="tx1"/>
            </w14:solidFill>
          </w14:textFill>
        </w:rPr>
        <w:t>本次拟征收土地为东至县人民政府组织实施的成片开发建设需要，符合《中华人民共和国土地管理法》第四十五条第一款第五项规定可以征收集体所有土地的情形，东至县香隅镇-1片区、香隅镇-6片区土地征收成片开发方案已于2021年8月25日经省人民政府批准，东至县香隅镇-7片区土地征收成片开发方案已于2024年12月3日经省人民政府批准。</w:t>
      </w:r>
    </w:p>
    <w:p>
      <w:pPr>
        <w:spacing w:line="540" w:lineRule="exact"/>
        <w:ind w:firstLine="640" w:firstLineChars="200"/>
        <w:rPr>
          <w:rFonts w:hint="eastAsia" w:ascii="黑体" w:hAnsi="黑体" w:eastAsia="黑体" w:cs="黑体"/>
          <w:bCs/>
          <w:color w:val="000000" w:themeColor="text1"/>
          <w:sz w:val="32"/>
          <w:szCs w:val="32"/>
          <w14:textFill>
            <w14:solidFill>
              <w14:schemeClr w14:val="tx1"/>
            </w14:solidFill>
          </w14:textFill>
        </w:rPr>
      </w:pPr>
      <w:r>
        <w:rPr>
          <w:rFonts w:hint="eastAsia" w:ascii="黑体" w:hAnsi="黑体" w:eastAsia="黑体" w:cs="黑体"/>
          <w:bCs/>
          <w:color w:val="000000" w:themeColor="text1"/>
          <w:sz w:val="32"/>
          <w:szCs w:val="32"/>
          <w14:textFill>
            <w14:solidFill>
              <w14:schemeClr w14:val="tx1"/>
            </w14:solidFill>
          </w14:textFill>
        </w:rPr>
        <w:t>二、土地现状</w:t>
      </w:r>
      <w:bookmarkEnd w:id="15"/>
      <w:bookmarkEnd w:id="16"/>
    </w:p>
    <w:p>
      <w:pPr>
        <w:spacing w:line="54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根据拟征收土地现状调查结果，本次拟征收土地面积4.7650公顷（71.475亩），其中：农用地4.3318公顷（64.977亩），含耕地1.067公顷（16.005亩）、永久基本农田0公顷（0亩）；建设用地0.4332公顷（6.498亩）；未利用地0公顷（0亩）。具体现状如下：</w:t>
      </w:r>
    </w:p>
    <w:p>
      <w:pPr>
        <w:pStyle w:val="2"/>
        <w:ind w:firstLine="6720" w:firstLineChars="2100"/>
        <w:rPr>
          <w:rFonts w:hint="eastAsia" w:eastAsia="仿宋_GB2312"/>
          <w:color w:val="000000" w:themeColor="text1"/>
          <w:lang w:val="en-US"/>
          <w14:textFill>
            <w14:solidFill>
              <w14:schemeClr w14:val="tx1"/>
            </w14:solidFill>
          </w14:textFill>
        </w:rPr>
      </w:pPr>
      <w:r>
        <w:rPr>
          <w:rFonts w:hint="eastAsia" w:ascii="仿宋_GB2312" w:hAnsi="仿宋_GB2312" w:eastAsia="仿宋_GB2312" w:cs="仿宋_GB2312"/>
          <w:color w:val="000000" w:themeColor="text1"/>
          <w:lang w:val="en-US"/>
          <w14:textFill>
            <w14:solidFill>
              <w14:schemeClr w14:val="tx1"/>
            </w14:solidFill>
          </w14:textFill>
        </w:rPr>
        <w:t>单位：公顷</w:t>
      </w:r>
    </w:p>
    <w:tbl>
      <w:tblPr>
        <w:tblStyle w:val="8"/>
        <w:tblW w:w="10384" w:type="dxa"/>
        <w:tblInd w:w="-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2"/>
        <w:gridCol w:w="1243"/>
        <w:gridCol w:w="1476"/>
        <w:gridCol w:w="1203"/>
        <w:gridCol w:w="1221"/>
        <w:gridCol w:w="1300"/>
        <w:gridCol w:w="14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2502" w:type="dxa"/>
            <w:vMerge w:val="restart"/>
            <w:vAlign w:val="center"/>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所有权权属</w:t>
            </w:r>
          </w:p>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单位</w:t>
            </w:r>
          </w:p>
        </w:tc>
        <w:tc>
          <w:tcPr>
            <w:tcW w:w="2719" w:type="dxa"/>
            <w:gridSpan w:val="2"/>
            <w:tcBorders>
              <w:bottom w:val="nil"/>
            </w:tcBorders>
            <w:vAlign w:val="center"/>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农用地</w:t>
            </w:r>
          </w:p>
        </w:tc>
        <w:tc>
          <w:tcPr>
            <w:tcW w:w="1203" w:type="dxa"/>
            <w:vMerge w:val="restart"/>
            <w:vAlign w:val="center"/>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永久基本农田</w:t>
            </w:r>
          </w:p>
        </w:tc>
        <w:tc>
          <w:tcPr>
            <w:tcW w:w="1221" w:type="dxa"/>
            <w:vMerge w:val="restart"/>
            <w:vAlign w:val="center"/>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建设用地</w:t>
            </w:r>
          </w:p>
        </w:tc>
        <w:tc>
          <w:tcPr>
            <w:tcW w:w="1300" w:type="dxa"/>
            <w:vMerge w:val="restart"/>
            <w:vAlign w:val="center"/>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未利用地</w:t>
            </w:r>
          </w:p>
        </w:tc>
        <w:tc>
          <w:tcPr>
            <w:tcW w:w="1439" w:type="dxa"/>
            <w:vMerge w:val="restart"/>
            <w:vAlign w:val="center"/>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2502" w:type="dxa"/>
            <w:vMerge w:val="continue"/>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p>
        </w:tc>
        <w:tc>
          <w:tcPr>
            <w:tcW w:w="1243" w:type="dxa"/>
            <w:tcBorders>
              <w:top w:val="nil"/>
            </w:tcBorders>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p>
        </w:tc>
        <w:tc>
          <w:tcPr>
            <w:tcW w:w="1476" w:type="dxa"/>
            <w:tcBorders>
              <w:top w:val="single" w:color="auto" w:sz="4" w:space="0"/>
            </w:tcBorders>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耕地</w:t>
            </w:r>
          </w:p>
        </w:tc>
        <w:tc>
          <w:tcPr>
            <w:tcW w:w="1203" w:type="dxa"/>
            <w:vMerge w:val="continue"/>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p>
        </w:tc>
        <w:tc>
          <w:tcPr>
            <w:tcW w:w="1221" w:type="dxa"/>
            <w:vMerge w:val="continue"/>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p>
        </w:tc>
        <w:tc>
          <w:tcPr>
            <w:tcW w:w="1300" w:type="dxa"/>
            <w:vMerge w:val="continue"/>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p>
        </w:tc>
        <w:tc>
          <w:tcPr>
            <w:tcW w:w="1439" w:type="dxa"/>
            <w:vMerge w:val="continue"/>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2502"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金鸡村</w:t>
            </w:r>
          </w:p>
        </w:tc>
        <w:tc>
          <w:tcPr>
            <w:tcW w:w="1243"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0.7804</w:t>
            </w:r>
          </w:p>
        </w:tc>
        <w:tc>
          <w:tcPr>
            <w:tcW w:w="1476"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0.1519</w:t>
            </w:r>
          </w:p>
        </w:tc>
        <w:tc>
          <w:tcPr>
            <w:tcW w:w="1203"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221"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300"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439" w:type="dxa"/>
            <w:vAlign w:val="center"/>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0.7804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2502"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金鸡村二十一组</w:t>
            </w:r>
          </w:p>
        </w:tc>
        <w:tc>
          <w:tcPr>
            <w:tcW w:w="1243"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0.0008</w:t>
            </w:r>
          </w:p>
        </w:tc>
        <w:tc>
          <w:tcPr>
            <w:tcW w:w="1476"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203"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221"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300"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439" w:type="dxa"/>
            <w:vAlign w:val="center"/>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2502"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金鸡村二十二组</w:t>
            </w:r>
          </w:p>
        </w:tc>
        <w:tc>
          <w:tcPr>
            <w:tcW w:w="1243"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0.2480</w:t>
            </w:r>
          </w:p>
        </w:tc>
        <w:tc>
          <w:tcPr>
            <w:tcW w:w="1476"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0.1629</w:t>
            </w:r>
          </w:p>
        </w:tc>
        <w:tc>
          <w:tcPr>
            <w:tcW w:w="1203"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221"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0.0</w:t>
            </w:r>
            <w:r>
              <w:rPr>
                <w:rFonts w:hint="eastAsia" w:ascii="仿宋_GB2312" w:hAnsi="仿宋_GB2312" w:eastAsia="仿宋_GB2312" w:cs="仿宋_GB2312"/>
                <w:color w:val="000000" w:themeColor="text1"/>
                <w:sz w:val="32"/>
                <w:szCs w:val="32"/>
                <w14:textFill>
                  <w14:solidFill>
                    <w14:schemeClr w14:val="tx1"/>
                  </w14:solidFill>
                </w14:textFill>
              </w:rPr>
              <w:t>230</w:t>
            </w:r>
          </w:p>
        </w:tc>
        <w:tc>
          <w:tcPr>
            <w:tcW w:w="1300"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439" w:type="dxa"/>
            <w:vAlign w:val="center"/>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0.2710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2502" w:type="dxa"/>
            <w:vAlign w:val="center"/>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黄山村永丰组</w:t>
            </w:r>
          </w:p>
        </w:tc>
        <w:tc>
          <w:tcPr>
            <w:tcW w:w="1243"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0.</w:t>
            </w:r>
            <w:r>
              <w:rPr>
                <w:rFonts w:hint="eastAsia" w:ascii="仿宋_GB2312" w:hAnsi="仿宋_GB2312" w:eastAsia="仿宋_GB2312" w:cs="仿宋_GB2312"/>
                <w:color w:val="000000" w:themeColor="text1"/>
                <w:sz w:val="32"/>
                <w:szCs w:val="32"/>
                <w14:textFill>
                  <w14:solidFill>
                    <w14:schemeClr w14:val="tx1"/>
                  </w14:solidFill>
                </w14:textFill>
              </w:rPr>
              <w:t>0</w:t>
            </w:r>
            <w:r>
              <w:rPr>
                <w:rFonts w:ascii="仿宋_GB2312" w:hAnsi="仿宋_GB2312" w:eastAsia="仿宋_GB2312" w:cs="仿宋_GB2312"/>
                <w:color w:val="000000" w:themeColor="text1"/>
                <w:sz w:val="32"/>
                <w:szCs w:val="32"/>
                <w14:textFill>
                  <w14:solidFill>
                    <w14:schemeClr w14:val="tx1"/>
                  </w14:solidFill>
                </w14:textFill>
              </w:rPr>
              <w:t>650</w:t>
            </w:r>
          </w:p>
        </w:tc>
        <w:tc>
          <w:tcPr>
            <w:tcW w:w="1476"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203"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221"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0.0016</w:t>
            </w:r>
          </w:p>
        </w:tc>
        <w:tc>
          <w:tcPr>
            <w:tcW w:w="1300"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439" w:type="dxa"/>
            <w:vAlign w:val="center"/>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0.</w:t>
            </w:r>
            <w:r>
              <w:rPr>
                <w:rFonts w:hint="eastAsia" w:ascii="仿宋_GB2312" w:hAnsi="仿宋_GB2312" w:eastAsia="仿宋_GB2312" w:cs="仿宋_GB2312"/>
                <w:color w:val="000000" w:themeColor="text1"/>
                <w:sz w:val="32"/>
                <w:szCs w:val="32"/>
                <w14:textFill>
                  <w14:solidFill>
                    <w14:schemeClr w14:val="tx1"/>
                  </w14:solidFill>
                </w14:textFill>
              </w:rPr>
              <w:t>0666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2502" w:type="dxa"/>
            <w:vAlign w:val="center"/>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黄山村莲花组</w:t>
            </w:r>
          </w:p>
        </w:tc>
        <w:tc>
          <w:tcPr>
            <w:tcW w:w="1243" w:type="dxa"/>
            <w:vAlign w:val="center"/>
          </w:tcPr>
          <w:p>
            <w:pPr>
              <w:spacing w:line="540" w:lineRule="exact"/>
              <w:jc w:val="center"/>
              <w:rPr>
                <w:rFonts w:hint="eastAsia" w:ascii="宋体" w:hAnsi="宋体"/>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0.1325</w:t>
            </w:r>
          </w:p>
        </w:tc>
        <w:tc>
          <w:tcPr>
            <w:tcW w:w="1476"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203"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221"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300"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439" w:type="dxa"/>
            <w:vAlign w:val="center"/>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0.1325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2502" w:type="dxa"/>
            <w:vAlign w:val="center"/>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莲湖村</w:t>
            </w:r>
          </w:p>
        </w:tc>
        <w:tc>
          <w:tcPr>
            <w:tcW w:w="1243" w:type="dxa"/>
            <w:vAlign w:val="center"/>
          </w:tcPr>
          <w:p>
            <w:pPr>
              <w:spacing w:line="540" w:lineRule="exact"/>
              <w:jc w:val="center"/>
              <w:rPr>
                <w:rFonts w:hint="eastAsia" w:ascii="宋体" w:hAnsi="宋体"/>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0.1821</w:t>
            </w:r>
          </w:p>
        </w:tc>
        <w:tc>
          <w:tcPr>
            <w:tcW w:w="1476"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203"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221"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0.0849</w:t>
            </w:r>
          </w:p>
        </w:tc>
        <w:tc>
          <w:tcPr>
            <w:tcW w:w="1300"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439" w:type="dxa"/>
            <w:vAlign w:val="center"/>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0.2670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2502"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莲湖村九组</w:t>
            </w:r>
          </w:p>
        </w:tc>
        <w:tc>
          <w:tcPr>
            <w:tcW w:w="1243" w:type="dxa"/>
          </w:tcPr>
          <w:p>
            <w:pPr>
              <w:widowControl/>
              <w:jc w:val="center"/>
              <w:textAlignment w:val="top"/>
              <w:rPr>
                <w:rFonts w:hint="eastAsia"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2</w:t>
            </w:r>
            <w:r>
              <w:rPr>
                <w:rFonts w:hint="eastAsia" w:ascii="仿宋_GB2312" w:hAnsi="仿宋_GB2312" w:eastAsia="仿宋_GB2312" w:cs="仿宋_GB2312"/>
                <w:color w:val="000000" w:themeColor="text1"/>
                <w:sz w:val="32"/>
                <w:szCs w:val="32"/>
                <w14:textFill>
                  <w14:solidFill>
                    <w14:schemeClr w14:val="tx1"/>
                  </w14:solidFill>
                </w14:textFill>
              </w:rPr>
              <w:t>.</w:t>
            </w:r>
            <w:r>
              <w:rPr>
                <w:rFonts w:ascii="仿宋_GB2312" w:hAnsi="仿宋_GB2312" w:eastAsia="仿宋_GB2312" w:cs="仿宋_GB2312"/>
                <w:color w:val="000000" w:themeColor="text1"/>
                <w:sz w:val="32"/>
                <w:szCs w:val="32"/>
                <w14:textFill>
                  <w14:solidFill>
                    <w14:schemeClr w14:val="tx1"/>
                  </w14:solidFill>
                </w14:textFill>
              </w:rPr>
              <w:t>8872</w:t>
            </w:r>
          </w:p>
        </w:tc>
        <w:tc>
          <w:tcPr>
            <w:tcW w:w="1476" w:type="dxa"/>
          </w:tcPr>
          <w:p>
            <w:pPr>
              <w:widowControl/>
              <w:jc w:val="center"/>
              <w:textAlignment w:val="top"/>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0.7522</w:t>
            </w:r>
          </w:p>
        </w:tc>
        <w:tc>
          <w:tcPr>
            <w:tcW w:w="1203" w:type="dxa"/>
          </w:tcPr>
          <w:p>
            <w:pPr>
              <w:widowControl/>
              <w:jc w:val="center"/>
              <w:textAlignment w:val="top"/>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221" w:type="dxa"/>
          </w:tcPr>
          <w:p>
            <w:pPr>
              <w:widowControl/>
              <w:jc w:val="center"/>
              <w:textAlignment w:val="top"/>
              <w:rPr>
                <w:rFonts w:hint="eastAsia"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0.3237</w:t>
            </w:r>
          </w:p>
        </w:tc>
        <w:tc>
          <w:tcPr>
            <w:tcW w:w="1300" w:type="dxa"/>
          </w:tcPr>
          <w:p>
            <w:pPr>
              <w:widowControl/>
              <w:jc w:val="center"/>
              <w:textAlignment w:val="top"/>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439" w:type="dxa"/>
          </w:tcPr>
          <w:p>
            <w:pPr>
              <w:widowControl/>
              <w:jc w:val="center"/>
              <w:textAlignment w:val="top"/>
              <w:rPr>
                <w:rFonts w:hint="eastAsia"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3</w:t>
            </w:r>
            <w:r>
              <w:rPr>
                <w:rFonts w:hint="eastAsia" w:ascii="仿宋_GB2312" w:hAnsi="仿宋_GB2312" w:eastAsia="仿宋_GB2312" w:cs="仿宋_GB2312"/>
                <w:color w:val="000000" w:themeColor="text1"/>
                <w:sz w:val="32"/>
                <w:szCs w:val="32"/>
                <w14:textFill>
                  <w14:solidFill>
                    <w14:schemeClr w14:val="tx1"/>
                  </w14:solidFill>
                </w14:textFill>
              </w:rPr>
              <w:t>.</w:t>
            </w:r>
            <w:r>
              <w:rPr>
                <w:rFonts w:ascii="仿宋_GB2312" w:hAnsi="仿宋_GB2312" w:eastAsia="仿宋_GB2312" w:cs="仿宋_GB2312"/>
                <w:color w:val="000000" w:themeColor="text1"/>
                <w:sz w:val="32"/>
                <w:szCs w:val="32"/>
                <w14:textFill>
                  <w14:solidFill>
                    <w14:schemeClr w14:val="tx1"/>
                  </w14:solidFill>
                </w14:textFill>
              </w:rPr>
              <w:t>2109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2502"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bookmarkStart w:id="17" w:name="_Toc1720260522_WPSOffice_Level2"/>
            <w:bookmarkStart w:id="18" w:name="_Toc384391166_WPSOffice_Level2"/>
            <w:r>
              <w:rPr>
                <w:rFonts w:hint="eastAsia" w:ascii="仿宋_GB2312" w:hAnsi="仿宋_GB2312" w:eastAsia="仿宋_GB2312" w:cs="仿宋_GB2312"/>
                <w:color w:val="000000" w:themeColor="text1"/>
                <w:sz w:val="32"/>
                <w:szCs w:val="32"/>
                <w14:textFill>
                  <w14:solidFill>
                    <w14:schemeClr w14:val="tx1"/>
                  </w14:solidFill>
                </w14:textFill>
              </w:rPr>
              <w:t>莲湖村十组</w:t>
            </w:r>
          </w:p>
        </w:tc>
        <w:tc>
          <w:tcPr>
            <w:tcW w:w="1243" w:type="dxa"/>
          </w:tcPr>
          <w:p>
            <w:pPr>
              <w:widowControl/>
              <w:jc w:val="center"/>
              <w:textAlignment w:val="top"/>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0.0358</w:t>
            </w:r>
          </w:p>
        </w:tc>
        <w:tc>
          <w:tcPr>
            <w:tcW w:w="1476" w:type="dxa"/>
          </w:tcPr>
          <w:p>
            <w:pPr>
              <w:widowControl/>
              <w:jc w:val="center"/>
              <w:textAlignment w:val="top"/>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203"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221"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300" w:type="dxa"/>
          </w:tcPr>
          <w:p>
            <w:pPr>
              <w:spacing w:line="540" w:lineRule="exact"/>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w:t>
            </w:r>
          </w:p>
        </w:tc>
        <w:tc>
          <w:tcPr>
            <w:tcW w:w="1439" w:type="dxa"/>
          </w:tcPr>
          <w:p>
            <w:pPr>
              <w:widowControl/>
              <w:jc w:val="center"/>
              <w:textAlignment w:val="top"/>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0.0358</w:t>
            </w:r>
          </w:p>
        </w:tc>
      </w:tr>
    </w:tbl>
    <w:p>
      <w:pPr>
        <w:spacing w:line="540" w:lineRule="exact"/>
        <w:ind w:firstLine="640" w:firstLineChars="200"/>
        <w:rPr>
          <w:rFonts w:hint="eastAsia" w:ascii="黑体" w:hAnsi="黑体" w:eastAsia="黑体" w:cs="黑体"/>
          <w:bCs/>
          <w:color w:val="000000" w:themeColor="text1"/>
          <w:sz w:val="32"/>
          <w:szCs w:val="32"/>
          <w14:textFill>
            <w14:solidFill>
              <w14:schemeClr w14:val="tx1"/>
            </w14:solidFill>
          </w14:textFill>
        </w:rPr>
      </w:pPr>
      <w:r>
        <w:rPr>
          <w:rFonts w:hint="eastAsia" w:ascii="黑体" w:hAnsi="黑体" w:eastAsia="黑体" w:cs="黑体"/>
          <w:bCs/>
          <w:color w:val="000000" w:themeColor="text1"/>
          <w:sz w:val="32"/>
          <w:szCs w:val="32"/>
          <w14:textFill>
            <w14:solidFill>
              <w14:schemeClr w14:val="tx1"/>
            </w14:solidFill>
          </w14:textFill>
        </w:rPr>
        <w:t>三、补偿方式与标准</w:t>
      </w:r>
      <w:bookmarkEnd w:id="17"/>
      <w:bookmarkEnd w:id="18"/>
    </w:p>
    <w:p>
      <w:pPr>
        <w:pStyle w:val="2"/>
        <w:spacing w:line="540" w:lineRule="exact"/>
        <w:ind w:firstLine="640" w:firstLineChars="200"/>
        <w:jc w:val="both"/>
        <w:rPr>
          <w:rFonts w:hint="eastAsia" w:ascii="仿宋_GB2312" w:hAnsi="仿宋_GB2312" w:eastAsia="仿宋_GB2312" w:cs="仿宋_GB2312"/>
          <w:color w:val="000000" w:themeColor="text1"/>
          <w:kern w:val="2"/>
          <w:lang w:val="en-US" w:bidi="ar-SA"/>
          <w14:textFill>
            <w14:solidFill>
              <w14:schemeClr w14:val="tx1"/>
            </w14:solidFill>
          </w14:textFill>
        </w:rPr>
      </w:pPr>
      <w:r>
        <w:rPr>
          <w:rFonts w:hint="eastAsia" w:ascii="楷体_GB2312" w:hAnsi="楷体_GB2312" w:eastAsia="楷体_GB2312" w:cs="楷体_GB2312"/>
          <w:color w:val="000000" w:themeColor="text1"/>
          <w:kern w:val="2"/>
          <w:lang w:val="en-US" w:bidi="ar-SA"/>
          <w14:textFill>
            <w14:solidFill>
              <w14:schemeClr w14:val="tx1"/>
            </w14:solidFill>
          </w14:textFill>
        </w:rPr>
        <w:t>（一）土地补偿费和安置补助费。</w:t>
      </w:r>
      <w:r>
        <w:rPr>
          <w:rFonts w:hint="eastAsia" w:ascii="仿宋_GB2312" w:hAnsi="仿宋_GB2312" w:eastAsia="仿宋_GB2312" w:cs="仿宋_GB2312"/>
          <w:color w:val="000000" w:themeColor="text1"/>
          <w:kern w:val="2"/>
          <w:lang w:val="en-US" w:bidi="ar-SA"/>
          <w14:textFill>
            <w14:solidFill>
              <w14:schemeClr w14:val="tx1"/>
            </w14:solidFill>
          </w14:textFill>
        </w:rPr>
        <w:t>本次征收土地补偿费、安置补助费标准按照《安徽省实施〈中华人民共和国土地管理法〉办法》及《安徽省人民政府关于公布全省征地区片综合地价标准的通知》</w:t>
      </w:r>
      <w:r>
        <w:rPr>
          <w:rFonts w:hint="eastAsia" w:ascii="仿宋_GB2312" w:hAnsi="仿宋_GB2312" w:eastAsia="仿宋_GB2312" w:cs="仿宋_GB2312"/>
          <w:color w:val="000000" w:themeColor="text1"/>
          <w:kern w:val="2"/>
          <w:lang w:val="en-US" w:bidi="ar-SA"/>
          <w14:textFill>
            <w14:solidFill>
              <w14:schemeClr w14:val="tx1"/>
            </w14:solidFill>
          </w14:textFill>
        </w:rPr>
        <w:t>（皖政〔2023〕62号，农用地和未利用地补偿标准为4.71万元/亩）执行。其中:征收建设用地(含宅基地)由香隅镇政府委托池州市鸿瑞房地产评估有限公司采用宗地评估方式进行补偿安置，评估单价为4.725万元/亩。</w:t>
      </w:r>
    </w:p>
    <w:p>
      <w:pPr>
        <w:pStyle w:val="2"/>
        <w:spacing w:line="540" w:lineRule="exact"/>
        <w:ind w:firstLine="640" w:firstLineChars="200"/>
        <w:jc w:val="both"/>
        <w:rPr>
          <w:rFonts w:hint="eastAsia" w:ascii="仿宋_GB2312" w:hAnsi="仿宋_GB2312" w:eastAsia="仿宋_GB2312" w:cs="仿宋_GB2312"/>
          <w:color w:val="000000" w:themeColor="text1"/>
          <w:kern w:val="2"/>
          <w:lang w:val="en-US" w:bidi="ar-SA"/>
          <w14:textFill>
            <w14:solidFill>
              <w14:schemeClr w14:val="tx1"/>
            </w14:solidFill>
          </w14:textFill>
        </w:rPr>
      </w:pPr>
      <w:r>
        <w:rPr>
          <w:rFonts w:hint="eastAsia" w:ascii="楷体_GB2312" w:hAnsi="楷体_GB2312" w:eastAsia="楷体_GB2312" w:cs="楷体_GB2312"/>
          <w:color w:val="000000" w:themeColor="text1"/>
          <w:kern w:val="2"/>
          <w:lang w:val="en-US" w:bidi="ar-SA"/>
          <w14:textFill>
            <w14:solidFill>
              <w14:schemeClr w14:val="tx1"/>
            </w14:solidFill>
          </w14:textFill>
        </w:rPr>
        <w:t>（二）地上附着物及青苗。</w:t>
      </w:r>
      <w:r>
        <w:rPr>
          <w:rFonts w:hint="eastAsia" w:ascii="仿宋_GB2312" w:hAnsi="仿宋_GB2312" w:eastAsia="仿宋_GB2312" w:cs="仿宋_GB2312"/>
          <w:color w:val="000000" w:themeColor="text1"/>
          <w:kern w:val="2"/>
          <w:lang w:val="en-US" w:bidi="ar-SA"/>
          <w14:textFill>
            <w14:solidFill>
              <w14:schemeClr w14:val="tx1"/>
            </w14:solidFill>
          </w14:textFill>
        </w:rPr>
        <w:t>本次征收土地</w:t>
      </w:r>
      <w:r>
        <w:rPr>
          <w:rFonts w:ascii="仿宋_GB2312" w:hAnsi="仿宋_GB2312" w:eastAsia="仿宋_GB2312" w:cs="仿宋_GB2312"/>
          <w:color w:val="000000" w:themeColor="text1"/>
          <w:kern w:val="2"/>
          <w:lang w:bidi="ar-SA"/>
          <w14:textFill>
            <w14:solidFill>
              <w14:schemeClr w14:val="tx1"/>
            </w14:solidFill>
          </w14:textFill>
        </w:rPr>
        <w:t>地上附着物及青苗</w:t>
      </w:r>
      <w:r>
        <w:rPr>
          <w:rFonts w:hint="eastAsia" w:ascii="仿宋_GB2312" w:hAnsi="仿宋_GB2312" w:eastAsia="仿宋_GB2312" w:cs="仿宋_GB2312"/>
          <w:color w:val="000000" w:themeColor="text1"/>
          <w:kern w:val="2"/>
          <w:lang w:val="en-US" w:bidi="ar-SA"/>
          <w14:textFill>
            <w14:solidFill>
              <w14:schemeClr w14:val="tx1"/>
            </w14:solidFill>
          </w14:textFill>
        </w:rPr>
        <w:t>按照《池州市人民政府关于公布各县区被征收土地</w:t>
      </w:r>
      <w:r>
        <w:rPr>
          <w:rFonts w:ascii="仿宋_GB2312" w:hAnsi="仿宋_GB2312" w:eastAsia="仿宋_GB2312" w:cs="仿宋_GB2312"/>
          <w:color w:val="000000" w:themeColor="text1"/>
          <w:kern w:val="2"/>
          <w:lang w:bidi="ar-SA"/>
          <w14:textFill>
            <w14:solidFill>
              <w14:schemeClr w14:val="tx1"/>
            </w14:solidFill>
          </w14:textFill>
        </w:rPr>
        <w:t>地上</w:t>
      </w:r>
      <w:r>
        <w:rPr>
          <w:rFonts w:hint="eastAsia" w:ascii="仿宋_GB2312" w:hAnsi="仿宋_GB2312" w:eastAsia="仿宋_GB2312" w:cs="仿宋_GB2312"/>
          <w:color w:val="000000" w:themeColor="text1"/>
          <w:kern w:val="2"/>
          <w:lang w:val="en-US" w:bidi="ar-SA"/>
          <w14:textFill>
            <w14:solidFill>
              <w14:schemeClr w14:val="tx1"/>
            </w14:solidFill>
          </w14:textFill>
        </w:rPr>
        <w:t>房屋</w:t>
      </w:r>
      <w:r>
        <w:rPr>
          <w:rFonts w:ascii="仿宋_GB2312" w:hAnsi="仿宋_GB2312" w:eastAsia="仿宋_GB2312" w:cs="仿宋_GB2312"/>
          <w:color w:val="000000" w:themeColor="text1"/>
          <w:kern w:val="2"/>
          <w:lang w:bidi="ar-SA"/>
          <w14:textFill>
            <w14:solidFill>
              <w14:schemeClr w14:val="tx1"/>
            </w14:solidFill>
          </w14:textFill>
        </w:rPr>
        <w:t>青苗及</w:t>
      </w:r>
      <w:r>
        <w:rPr>
          <w:rFonts w:hint="eastAsia" w:ascii="仿宋_GB2312" w:hAnsi="仿宋_GB2312" w:eastAsia="仿宋_GB2312" w:cs="仿宋_GB2312"/>
          <w:color w:val="000000" w:themeColor="text1"/>
          <w:kern w:val="2"/>
          <w:lang w:val="en-US" w:bidi="ar-SA"/>
          <w14:textFill>
            <w14:solidFill>
              <w14:schemeClr w14:val="tx1"/>
            </w14:solidFill>
          </w14:textFill>
        </w:rPr>
        <w:t>其他</w:t>
      </w:r>
      <w:r>
        <w:rPr>
          <w:rFonts w:ascii="仿宋_GB2312" w:hAnsi="仿宋_GB2312" w:eastAsia="仿宋_GB2312" w:cs="仿宋_GB2312"/>
          <w:color w:val="000000" w:themeColor="text1"/>
          <w:kern w:val="2"/>
          <w:lang w:bidi="ar-SA"/>
          <w14:textFill>
            <w14:solidFill>
              <w14:schemeClr w14:val="tx1"/>
            </w14:solidFill>
          </w14:textFill>
        </w:rPr>
        <w:t>附着物</w:t>
      </w:r>
      <w:r>
        <w:rPr>
          <w:rFonts w:hint="eastAsia" w:ascii="仿宋_GB2312" w:hAnsi="仿宋_GB2312" w:eastAsia="仿宋_GB2312" w:cs="仿宋_GB2312"/>
          <w:color w:val="000000" w:themeColor="text1"/>
          <w:kern w:val="2"/>
          <w:lang w:bidi="ar-SA"/>
          <w14:textFill>
            <w14:solidFill>
              <w14:schemeClr w14:val="tx1"/>
            </w14:solidFill>
          </w14:textFill>
        </w:rPr>
        <w:t>补偿标准的通知</w:t>
      </w:r>
      <w:r>
        <w:rPr>
          <w:rFonts w:hint="eastAsia" w:ascii="仿宋_GB2312" w:hAnsi="仿宋_GB2312" w:eastAsia="仿宋_GB2312" w:cs="仿宋_GB2312"/>
          <w:color w:val="000000" w:themeColor="text1"/>
          <w:kern w:val="2"/>
          <w:lang w:val="en-US" w:bidi="ar-SA"/>
          <w14:textFill>
            <w14:solidFill>
              <w14:schemeClr w14:val="tx1"/>
            </w14:solidFill>
          </w14:textFill>
        </w:rPr>
        <w:t>》【池政秘</w:t>
      </w:r>
      <w:r>
        <w:rPr>
          <w:rFonts w:hint="eastAsia" w:ascii="仿宋" w:hAnsi="仿宋" w:eastAsia="仿宋" w:cs="仿宋"/>
          <w:color w:val="000000" w:themeColor="text1"/>
          <w:kern w:val="2"/>
          <w:lang w:val="en-US" w:bidi="ar-SA"/>
          <w14:textFill>
            <w14:solidFill>
              <w14:schemeClr w14:val="tx1"/>
            </w14:solidFill>
          </w14:textFill>
        </w:rPr>
        <w:t>〔</w:t>
      </w:r>
      <w:r>
        <w:rPr>
          <w:rFonts w:hint="eastAsia" w:ascii="仿宋_GB2312" w:hAnsi="仿宋_GB2312" w:eastAsia="仿宋_GB2312" w:cs="仿宋_GB2312"/>
          <w:color w:val="000000" w:themeColor="text1"/>
          <w:kern w:val="2"/>
          <w:lang w:val="en-US" w:bidi="ar-SA"/>
          <w14:textFill>
            <w14:solidFill>
              <w14:schemeClr w14:val="tx1"/>
            </w14:solidFill>
          </w14:textFill>
        </w:rPr>
        <w:t>2020</w:t>
      </w:r>
      <w:r>
        <w:rPr>
          <w:rFonts w:hint="eastAsia" w:ascii="仿宋" w:hAnsi="仿宋" w:eastAsia="仿宋" w:cs="仿宋"/>
          <w:color w:val="000000" w:themeColor="text1"/>
          <w:kern w:val="2"/>
          <w:lang w:val="en-US" w:bidi="ar-SA"/>
          <w14:textFill>
            <w14:solidFill>
              <w14:schemeClr w14:val="tx1"/>
            </w14:solidFill>
          </w14:textFill>
        </w:rPr>
        <w:t>〕</w:t>
      </w:r>
      <w:r>
        <w:rPr>
          <w:rFonts w:hint="eastAsia" w:ascii="仿宋_GB2312" w:hAnsi="仿宋_GB2312" w:eastAsia="仿宋_GB2312" w:cs="仿宋_GB2312"/>
          <w:color w:val="000000" w:themeColor="text1"/>
          <w:kern w:val="2"/>
          <w:lang w:val="en-US" w:bidi="ar-SA"/>
          <w14:textFill>
            <w14:solidFill>
              <w14:schemeClr w14:val="tx1"/>
            </w14:solidFill>
          </w14:textFill>
        </w:rPr>
        <w:t>165号】执行。</w:t>
      </w:r>
    </w:p>
    <w:p>
      <w:pPr>
        <w:pStyle w:val="2"/>
        <w:spacing w:line="540" w:lineRule="exact"/>
        <w:ind w:firstLine="680" w:firstLineChars="200"/>
        <w:jc w:val="both"/>
        <w:rPr>
          <w:rFonts w:hint="eastAsia"/>
          <w:color w:val="000000" w:themeColor="text1"/>
          <w14:textFill>
            <w14:solidFill>
              <w14:schemeClr w14:val="tx1"/>
            </w14:solidFill>
          </w14:textFill>
        </w:rPr>
      </w:pPr>
      <w:r>
        <w:rPr>
          <w:rFonts w:hint="eastAsia"/>
          <w:color w:val="000000" w:themeColor="text1"/>
          <w:spacing w:val="10"/>
          <w:lang w:val="en-US"/>
          <w14:textFill>
            <w14:solidFill>
              <w14:schemeClr w14:val="tx1"/>
            </w14:solidFill>
          </w14:textFill>
        </w:rPr>
        <w:t>1.</w:t>
      </w:r>
      <w:r>
        <w:rPr>
          <w:color w:val="000000" w:themeColor="text1"/>
          <w:spacing w:val="10"/>
          <w14:textFill>
            <w14:solidFill>
              <w14:schemeClr w14:val="tx1"/>
            </w14:solidFill>
          </w14:textFill>
        </w:rPr>
        <w:t>青苗补偿标准</w:t>
      </w:r>
    </w:p>
    <w:tbl>
      <w:tblPr>
        <w:tblStyle w:val="11"/>
        <w:tblW w:w="92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08"/>
        <w:gridCol w:w="1925"/>
        <w:gridCol w:w="260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819" w:hRule="atLeast"/>
        </w:trPr>
        <w:tc>
          <w:tcPr>
            <w:tcW w:w="4708" w:type="dxa"/>
          </w:tcPr>
          <w:p>
            <w:pPr>
              <w:spacing w:before="184" w:line="237" w:lineRule="auto"/>
              <w:ind w:left="1710" w:firstLine="592"/>
              <w:jc w:val="left"/>
              <w:rPr>
                <w:rFonts w:hint="eastAsia" w:ascii="黑体" w:hAnsi="黑体" w:eastAsia="黑体" w:cs="黑体"/>
                <w:color w:val="000000" w:themeColor="text1"/>
                <w:sz w:val="28"/>
                <w:szCs w:val="28"/>
                <w14:textFill>
                  <w14:solidFill>
                    <w14:schemeClr w14:val="tx1"/>
                  </w14:solidFill>
                </w14:textFill>
              </w:rPr>
            </w:pPr>
            <w:r>
              <w:rPr>
                <w:rFonts w:ascii="黑体" w:hAnsi="黑体" w:eastAsia="黑体" w:cs="黑体"/>
                <w:color w:val="000000" w:themeColor="text1"/>
                <w:spacing w:val="8"/>
                <w:sz w:val="28"/>
                <w:szCs w:val="28"/>
                <w14:textFill>
                  <w14:solidFill>
                    <w14:schemeClr w14:val="tx1"/>
                  </w14:solidFill>
                </w14:textFill>
              </w:rPr>
              <w:t>农作物类型</w:t>
            </w:r>
          </w:p>
        </w:tc>
        <w:tc>
          <w:tcPr>
            <w:tcW w:w="1925" w:type="dxa"/>
          </w:tcPr>
          <w:p>
            <w:pPr>
              <w:spacing w:before="184" w:line="237" w:lineRule="auto"/>
              <w:ind w:firstLine="834" w:firstLineChars="300"/>
              <w:jc w:val="left"/>
              <w:rPr>
                <w:rFonts w:hint="eastAsia" w:ascii="黑体" w:hAnsi="黑体" w:eastAsia="黑体" w:cs="黑体"/>
                <w:color w:val="000000" w:themeColor="text1"/>
                <w:sz w:val="28"/>
                <w:szCs w:val="28"/>
                <w14:textFill>
                  <w14:solidFill>
                    <w14:schemeClr w14:val="tx1"/>
                  </w14:solidFill>
                </w14:textFill>
              </w:rPr>
            </w:pPr>
            <w:r>
              <w:rPr>
                <w:rFonts w:ascii="黑体" w:hAnsi="黑体" w:eastAsia="黑体" w:cs="黑体"/>
                <w:color w:val="000000" w:themeColor="text1"/>
                <w:spacing w:val="-1"/>
                <w:sz w:val="28"/>
                <w:szCs w:val="28"/>
                <w14:textFill>
                  <w14:solidFill>
                    <w14:schemeClr w14:val="tx1"/>
                  </w14:solidFill>
                </w14:textFill>
              </w:rPr>
              <w:t>单位</w:t>
            </w:r>
          </w:p>
        </w:tc>
        <w:tc>
          <w:tcPr>
            <w:tcW w:w="2606" w:type="dxa"/>
          </w:tcPr>
          <w:p>
            <w:pPr>
              <w:spacing w:before="184" w:line="237" w:lineRule="auto"/>
              <w:ind w:left="853" w:firstLine="580"/>
              <w:jc w:val="left"/>
              <w:rPr>
                <w:rFonts w:hint="eastAsia" w:ascii="黑体" w:hAnsi="黑体" w:eastAsia="黑体" w:cs="黑体"/>
                <w:color w:val="000000" w:themeColor="text1"/>
                <w:sz w:val="28"/>
                <w:szCs w:val="28"/>
                <w14:textFill>
                  <w14:solidFill>
                    <w14:schemeClr w14:val="tx1"/>
                  </w14:solidFill>
                </w14:textFill>
              </w:rPr>
            </w:pPr>
            <w:r>
              <w:rPr>
                <w:rFonts w:ascii="黑体" w:hAnsi="黑体" w:eastAsia="黑体" w:cs="黑体"/>
                <w:color w:val="000000" w:themeColor="text1"/>
                <w:spacing w:val="5"/>
                <w:sz w:val="28"/>
                <w:szCs w:val="28"/>
                <w14:textFill>
                  <w14:solidFill>
                    <w14:schemeClr w14:val="tx1"/>
                  </w14:solidFill>
                </w14:textFill>
              </w:rPr>
              <w:t>补偿标准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821" w:hRule="atLeast"/>
        </w:trPr>
        <w:tc>
          <w:tcPr>
            <w:tcW w:w="4708" w:type="dxa"/>
          </w:tcPr>
          <w:p>
            <w:pPr>
              <w:pStyle w:val="12"/>
              <w:spacing w:before="225" w:line="190" w:lineRule="auto"/>
              <w:ind w:firstLine="552"/>
              <w:jc w:val="center"/>
              <w:rPr>
                <w:rFonts w:hint="eastAsia"/>
                <w:color w:val="000000" w:themeColor="text1"/>
                <w:spacing w:val="-2"/>
                <w:sz w:val="28"/>
                <w:szCs w:val="28"/>
                <w14:textFill>
                  <w14:solidFill>
                    <w14:schemeClr w14:val="tx1"/>
                  </w14:solidFill>
                </w14:textFill>
              </w:rPr>
            </w:pPr>
            <w:r>
              <w:rPr>
                <w:color w:val="000000" w:themeColor="text1"/>
                <w:spacing w:val="-2"/>
                <w:sz w:val="28"/>
                <w:szCs w:val="28"/>
                <w14:textFill>
                  <w14:solidFill>
                    <w14:schemeClr w14:val="tx1"/>
                  </w14:solidFill>
                </w14:textFill>
              </w:rPr>
              <w:t>油菜 、小麦</w:t>
            </w:r>
          </w:p>
        </w:tc>
        <w:tc>
          <w:tcPr>
            <w:tcW w:w="1925" w:type="dxa"/>
          </w:tcPr>
          <w:p>
            <w:pPr>
              <w:pStyle w:val="12"/>
              <w:spacing w:before="225" w:line="190" w:lineRule="auto"/>
              <w:ind w:firstLine="552"/>
              <w:jc w:val="center"/>
              <w:rPr>
                <w:rFonts w:hint="eastAsia"/>
                <w:color w:val="000000" w:themeColor="text1"/>
                <w:spacing w:val="-2"/>
                <w:sz w:val="28"/>
                <w:szCs w:val="28"/>
                <w14:textFill>
                  <w14:solidFill>
                    <w14:schemeClr w14:val="tx1"/>
                  </w14:solidFill>
                </w14:textFill>
              </w:rPr>
            </w:pPr>
            <w:r>
              <w:rPr>
                <w:color w:val="000000" w:themeColor="text1"/>
                <w:spacing w:val="-2"/>
                <w:sz w:val="28"/>
                <w:szCs w:val="28"/>
                <w14:textFill>
                  <w14:solidFill>
                    <w14:schemeClr w14:val="tx1"/>
                  </w14:solidFill>
                </w14:textFill>
              </w:rPr>
              <w:t>元/亩</w:t>
            </w:r>
          </w:p>
        </w:tc>
        <w:tc>
          <w:tcPr>
            <w:tcW w:w="2606" w:type="dxa"/>
          </w:tcPr>
          <w:p>
            <w:pPr>
              <w:pStyle w:val="12"/>
              <w:spacing w:before="225" w:line="190" w:lineRule="auto"/>
              <w:ind w:firstLine="552"/>
              <w:jc w:val="center"/>
              <w:rPr>
                <w:rFonts w:hint="eastAsia"/>
                <w:color w:val="000000" w:themeColor="text1"/>
                <w:spacing w:val="-2"/>
                <w:sz w:val="28"/>
                <w:szCs w:val="28"/>
                <w14:textFill>
                  <w14:solidFill>
                    <w14:schemeClr w14:val="tx1"/>
                  </w14:solidFill>
                </w14:textFill>
              </w:rPr>
            </w:pPr>
            <w:r>
              <w:rPr>
                <w:color w:val="000000" w:themeColor="text1"/>
                <w:spacing w:val="-2"/>
                <w:sz w:val="28"/>
                <w:szCs w:val="28"/>
                <w14:textFill>
                  <w14:solidFill>
                    <w14:schemeClr w14:val="tx1"/>
                  </w14:solidFill>
                </w14:textFill>
              </w:rPr>
              <w:t>920 元/亩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823" w:hRule="atLeast"/>
        </w:trPr>
        <w:tc>
          <w:tcPr>
            <w:tcW w:w="4708" w:type="dxa"/>
          </w:tcPr>
          <w:p>
            <w:pPr>
              <w:pStyle w:val="12"/>
              <w:spacing w:before="225" w:line="190" w:lineRule="auto"/>
              <w:ind w:firstLine="552"/>
              <w:jc w:val="center"/>
              <w:rPr>
                <w:rFonts w:hint="eastAsia"/>
                <w:color w:val="000000" w:themeColor="text1"/>
                <w:spacing w:val="-2"/>
                <w:sz w:val="28"/>
                <w:szCs w:val="28"/>
                <w14:textFill>
                  <w14:solidFill>
                    <w14:schemeClr w14:val="tx1"/>
                  </w14:solidFill>
                </w14:textFill>
              </w:rPr>
            </w:pPr>
            <w:r>
              <w:rPr>
                <w:color w:val="000000" w:themeColor="text1"/>
                <w:spacing w:val="-2"/>
                <w:sz w:val="28"/>
                <w:szCs w:val="28"/>
                <w14:textFill>
                  <w14:solidFill>
                    <w14:schemeClr w14:val="tx1"/>
                  </w14:solidFill>
                </w14:textFill>
              </w:rPr>
              <w:t>水稻 、棉花</w:t>
            </w:r>
          </w:p>
        </w:tc>
        <w:tc>
          <w:tcPr>
            <w:tcW w:w="1925" w:type="dxa"/>
          </w:tcPr>
          <w:p>
            <w:pPr>
              <w:pStyle w:val="12"/>
              <w:spacing w:before="225" w:line="190" w:lineRule="auto"/>
              <w:ind w:firstLine="552"/>
              <w:jc w:val="center"/>
              <w:rPr>
                <w:rFonts w:hint="eastAsia"/>
                <w:color w:val="000000" w:themeColor="text1"/>
                <w:spacing w:val="-2"/>
                <w:sz w:val="28"/>
                <w:szCs w:val="28"/>
                <w14:textFill>
                  <w14:solidFill>
                    <w14:schemeClr w14:val="tx1"/>
                  </w14:solidFill>
                </w14:textFill>
              </w:rPr>
            </w:pPr>
            <w:r>
              <w:rPr>
                <w:color w:val="000000" w:themeColor="text1"/>
                <w:spacing w:val="-2"/>
                <w:sz w:val="28"/>
                <w:szCs w:val="28"/>
                <w14:textFill>
                  <w14:solidFill>
                    <w14:schemeClr w14:val="tx1"/>
                  </w14:solidFill>
                </w14:textFill>
              </w:rPr>
              <w:t>元/亩</w:t>
            </w:r>
          </w:p>
        </w:tc>
        <w:tc>
          <w:tcPr>
            <w:tcW w:w="2606" w:type="dxa"/>
          </w:tcPr>
          <w:p>
            <w:pPr>
              <w:pStyle w:val="12"/>
              <w:spacing w:before="225" w:line="190" w:lineRule="auto"/>
              <w:ind w:firstLine="552"/>
              <w:jc w:val="center"/>
              <w:rPr>
                <w:rFonts w:hint="eastAsia"/>
                <w:color w:val="000000" w:themeColor="text1"/>
                <w:spacing w:val="-2"/>
                <w:sz w:val="28"/>
                <w:szCs w:val="28"/>
                <w14:textFill>
                  <w14:solidFill>
                    <w14:schemeClr w14:val="tx1"/>
                  </w14:solidFill>
                </w14:textFill>
              </w:rPr>
            </w:pPr>
            <w:r>
              <w:rPr>
                <w:color w:val="000000" w:themeColor="text1"/>
                <w:spacing w:val="-2"/>
                <w:sz w:val="28"/>
                <w:szCs w:val="28"/>
                <w14:textFill>
                  <w14:solidFill>
                    <w14:schemeClr w14:val="tx1"/>
                  </w14:solidFill>
                </w14:textFill>
              </w:rPr>
              <w:t>1150 元/亩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891" w:hRule="atLeast"/>
        </w:trPr>
        <w:tc>
          <w:tcPr>
            <w:tcW w:w="4708" w:type="dxa"/>
          </w:tcPr>
          <w:p>
            <w:pPr>
              <w:pStyle w:val="12"/>
              <w:spacing w:before="225" w:line="190" w:lineRule="auto"/>
              <w:ind w:firstLine="552"/>
              <w:jc w:val="center"/>
              <w:rPr>
                <w:rFonts w:hint="eastAsia"/>
                <w:color w:val="000000" w:themeColor="text1"/>
                <w:spacing w:val="-2"/>
                <w:sz w:val="28"/>
                <w:szCs w:val="28"/>
                <w:lang w:eastAsia="zh-CN"/>
                <w14:textFill>
                  <w14:solidFill>
                    <w14:schemeClr w14:val="tx1"/>
                  </w14:solidFill>
                </w14:textFill>
              </w:rPr>
            </w:pPr>
            <w:r>
              <w:rPr>
                <w:color w:val="000000" w:themeColor="text1"/>
                <w:spacing w:val="-2"/>
                <w:sz w:val="28"/>
                <w:szCs w:val="28"/>
                <w:lang w:eastAsia="zh-CN"/>
                <w14:textFill>
                  <w14:solidFill>
                    <w14:schemeClr w14:val="tx1"/>
                  </w14:solidFill>
                </w14:textFill>
              </w:rPr>
              <w:t>藕塘 、菱角塘等水生经济作物</w:t>
            </w:r>
          </w:p>
        </w:tc>
        <w:tc>
          <w:tcPr>
            <w:tcW w:w="1925" w:type="dxa"/>
          </w:tcPr>
          <w:p>
            <w:pPr>
              <w:pStyle w:val="12"/>
              <w:spacing w:before="225" w:line="190" w:lineRule="auto"/>
              <w:ind w:firstLine="552"/>
              <w:jc w:val="center"/>
              <w:rPr>
                <w:rFonts w:hint="eastAsia"/>
                <w:color w:val="000000" w:themeColor="text1"/>
                <w:spacing w:val="-2"/>
                <w:sz w:val="28"/>
                <w:szCs w:val="28"/>
                <w14:textFill>
                  <w14:solidFill>
                    <w14:schemeClr w14:val="tx1"/>
                  </w14:solidFill>
                </w14:textFill>
              </w:rPr>
            </w:pPr>
            <w:r>
              <w:rPr>
                <w:color w:val="000000" w:themeColor="text1"/>
                <w:spacing w:val="-2"/>
                <w:sz w:val="28"/>
                <w:szCs w:val="28"/>
                <w14:textFill>
                  <w14:solidFill>
                    <w14:schemeClr w14:val="tx1"/>
                  </w14:solidFill>
                </w14:textFill>
              </w:rPr>
              <w:t>元/亩</w:t>
            </w:r>
          </w:p>
        </w:tc>
        <w:tc>
          <w:tcPr>
            <w:tcW w:w="2606" w:type="dxa"/>
          </w:tcPr>
          <w:p>
            <w:pPr>
              <w:pStyle w:val="12"/>
              <w:spacing w:before="225" w:line="190" w:lineRule="auto"/>
              <w:ind w:firstLine="552"/>
              <w:jc w:val="center"/>
              <w:rPr>
                <w:rFonts w:hint="eastAsia"/>
                <w:color w:val="000000" w:themeColor="text1"/>
                <w:spacing w:val="-2"/>
                <w:sz w:val="28"/>
                <w:szCs w:val="28"/>
                <w14:textFill>
                  <w14:solidFill>
                    <w14:schemeClr w14:val="tx1"/>
                  </w14:solidFill>
                </w14:textFill>
              </w:rPr>
            </w:pPr>
            <w:r>
              <w:rPr>
                <w:color w:val="000000" w:themeColor="text1"/>
                <w:spacing w:val="-2"/>
                <w:sz w:val="28"/>
                <w:szCs w:val="28"/>
                <w14:textFill>
                  <w14:solidFill>
                    <w14:schemeClr w14:val="tx1"/>
                  </w14:solidFill>
                </w14:textFill>
              </w:rPr>
              <w:t>1200 元/亩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74" w:hRule="atLeast"/>
        </w:trPr>
        <w:tc>
          <w:tcPr>
            <w:tcW w:w="4708" w:type="dxa"/>
          </w:tcPr>
          <w:p>
            <w:pPr>
              <w:pStyle w:val="12"/>
              <w:spacing w:before="225" w:line="190" w:lineRule="auto"/>
              <w:ind w:firstLine="552"/>
              <w:jc w:val="center"/>
              <w:rPr>
                <w:rFonts w:hint="eastAsia"/>
                <w:color w:val="000000" w:themeColor="text1"/>
                <w:spacing w:val="-2"/>
                <w:sz w:val="28"/>
                <w:szCs w:val="28"/>
                <w:lang w:eastAsia="zh-CN"/>
                <w14:textFill>
                  <w14:solidFill>
                    <w14:schemeClr w14:val="tx1"/>
                  </w14:solidFill>
                </w14:textFill>
              </w:rPr>
            </w:pPr>
            <w:r>
              <w:rPr>
                <w:rFonts w:hint="eastAsia"/>
                <w:color w:val="000000" w:themeColor="text1"/>
                <w:spacing w:val="-2"/>
                <w:sz w:val="28"/>
                <w:szCs w:val="28"/>
                <w:lang w:eastAsia="zh-CN"/>
                <w14:textFill>
                  <w14:solidFill>
                    <w14:schemeClr w14:val="tx1"/>
                  </w14:solidFill>
                </w14:textFill>
              </w:rPr>
              <w:t>鱼塘</w:t>
            </w:r>
          </w:p>
        </w:tc>
        <w:tc>
          <w:tcPr>
            <w:tcW w:w="1925" w:type="dxa"/>
          </w:tcPr>
          <w:p>
            <w:pPr>
              <w:pStyle w:val="12"/>
              <w:spacing w:before="225" w:line="190" w:lineRule="auto"/>
              <w:ind w:firstLine="552"/>
              <w:jc w:val="center"/>
              <w:rPr>
                <w:rFonts w:hint="eastAsia"/>
                <w:color w:val="000000" w:themeColor="text1"/>
                <w:spacing w:val="-2"/>
                <w:sz w:val="28"/>
                <w:szCs w:val="28"/>
                <w:lang w:eastAsia="zh-CN"/>
                <w14:textFill>
                  <w14:solidFill>
                    <w14:schemeClr w14:val="tx1"/>
                  </w14:solidFill>
                </w14:textFill>
              </w:rPr>
            </w:pPr>
            <w:r>
              <w:rPr>
                <w:color w:val="000000" w:themeColor="text1"/>
                <w:spacing w:val="-2"/>
                <w:sz w:val="28"/>
                <w:szCs w:val="28"/>
                <w14:textFill>
                  <w14:solidFill>
                    <w14:schemeClr w14:val="tx1"/>
                  </w14:solidFill>
                </w14:textFill>
              </w:rPr>
              <w:t>元/亩</w:t>
            </w:r>
          </w:p>
        </w:tc>
        <w:tc>
          <w:tcPr>
            <w:tcW w:w="2606" w:type="dxa"/>
          </w:tcPr>
          <w:p>
            <w:pPr>
              <w:pStyle w:val="12"/>
              <w:spacing w:before="225" w:line="190" w:lineRule="auto"/>
              <w:ind w:firstLine="552"/>
              <w:jc w:val="center"/>
              <w:rPr>
                <w:rFonts w:hint="eastAsia"/>
                <w:color w:val="000000" w:themeColor="text1"/>
                <w:spacing w:val="-2"/>
                <w:sz w:val="28"/>
                <w:szCs w:val="28"/>
                <w:lang w:eastAsia="zh-CN"/>
                <w14:textFill>
                  <w14:solidFill>
                    <w14:schemeClr w14:val="tx1"/>
                  </w14:solidFill>
                </w14:textFill>
              </w:rPr>
            </w:pPr>
            <w:r>
              <w:rPr>
                <w:rFonts w:hint="eastAsia"/>
                <w:color w:val="000000" w:themeColor="text1"/>
                <w:spacing w:val="-2"/>
                <w:sz w:val="28"/>
                <w:szCs w:val="28"/>
                <w:lang w:eastAsia="zh-CN"/>
                <w14:textFill>
                  <w14:solidFill>
                    <w14:schemeClr w14:val="tx1"/>
                  </w14:solidFill>
                </w14:textFill>
              </w:rPr>
              <w:t>1500元/亩</w:t>
            </w:r>
          </w:p>
        </w:tc>
      </w:tr>
    </w:tbl>
    <w:p>
      <w:pPr>
        <w:pStyle w:val="2"/>
        <w:spacing w:before="133" w:line="190" w:lineRule="auto"/>
        <w:ind w:left="640" w:firstLine="624"/>
        <w:rPr>
          <w:rFonts w:hint="eastAsia"/>
          <w:color w:val="000000" w:themeColor="text1"/>
          <w14:textFill>
            <w14:solidFill>
              <w14:schemeClr w14:val="tx1"/>
            </w14:solidFill>
          </w14:textFill>
        </w:rPr>
      </w:pPr>
      <w:r>
        <w:rPr>
          <w:rFonts w:hint="eastAsia"/>
          <w:color w:val="000000" w:themeColor="text1"/>
          <w:spacing w:val="-4"/>
          <w:lang w:val="en-US"/>
          <w14:textFill>
            <w14:solidFill>
              <w14:schemeClr w14:val="tx1"/>
            </w14:solidFill>
          </w14:textFill>
        </w:rPr>
        <w:t>2.</w:t>
      </w:r>
      <w:r>
        <w:rPr>
          <w:color w:val="000000" w:themeColor="text1"/>
          <w:spacing w:val="-4"/>
          <w14:textFill>
            <w14:solidFill>
              <w14:schemeClr w14:val="tx1"/>
            </w14:solidFill>
          </w14:textFill>
        </w:rPr>
        <w:t>林木、</w:t>
      </w:r>
      <w:r>
        <w:rPr>
          <w:color w:val="000000" w:themeColor="text1"/>
          <w:spacing w:val="-59"/>
          <w14:textFill>
            <w14:solidFill>
              <w14:schemeClr w14:val="tx1"/>
            </w14:solidFill>
          </w14:textFill>
        </w:rPr>
        <w:t xml:space="preserve"> </w:t>
      </w:r>
      <w:r>
        <w:rPr>
          <w:color w:val="000000" w:themeColor="text1"/>
          <w:spacing w:val="-4"/>
          <w14:textFill>
            <w14:solidFill>
              <w14:schemeClr w14:val="tx1"/>
            </w14:solidFill>
          </w14:textFill>
        </w:rPr>
        <w:t>园地补偿标准</w:t>
      </w:r>
    </w:p>
    <w:p>
      <w:pPr>
        <w:rPr>
          <w:color w:val="000000" w:themeColor="text1"/>
          <w14:textFill>
            <w14:solidFill>
              <w14:schemeClr w14:val="tx1"/>
            </w14:solidFill>
          </w14:textFill>
        </w:rPr>
      </w:pPr>
    </w:p>
    <w:tbl>
      <w:tblPr>
        <w:tblStyle w:val="11"/>
        <w:tblW w:w="947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63"/>
        <w:gridCol w:w="4003"/>
        <w:gridCol w:w="28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0" w:hRule="atLeast"/>
        </w:trPr>
        <w:tc>
          <w:tcPr>
            <w:tcW w:w="2663" w:type="dxa"/>
          </w:tcPr>
          <w:p>
            <w:pPr>
              <w:spacing w:before="191" w:line="237" w:lineRule="auto"/>
              <w:ind w:firstLine="1112" w:firstLineChars="400"/>
              <w:rPr>
                <w:rFonts w:hint="eastAsia" w:ascii="黑体" w:hAnsi="黑体" w:eastAsia="黑体" w:cs="黑体"/>
                <w:color w:val="000000" w:themeColor="text1"/>
                <w:sz w:val="28"/>
                <w:szCs w:val="28"/>
                <w14:textFill>
                  <w14:solidFill>
                    <w14:schemeClr w14:val="tx1"/>
                  </w14:solidFill>
                </w14:textFill>
              </w:rPr>
            </w:pPr>
            <w:r>
              <w:rPr>
                <w:rFonts w:ascii="黑体" w:hAnsi="黑体" w:eastAsia="黑体" w:cs="黑体"/>
                <w:color w:val="000000" w:themeColor="text1"/>
                <w:spacing w:val="-1"/>
                <w:sz w:val="28"/>
                <w:szCs w:val="28"/>
                <w14:textFill>
                  <w14:solidFill>
                    <w14:schemeClr w14:val="tx1"/>
                  </w14:solidFill>
                </w14:textFill>
              </w:rPr>
              <w:t>类型</w:t>
            </w:r>
          </w:p>
        </w:tc>
        <w:tc>
          <w:tcPr>
            <w:tcW w:w="4003" w:type="dxa"/>
          </w:tcPr>
          <w:p>
            <w:pPr>
              <w:spacing w:before="191" w:line="237" w:lineRule="auto"/>
              <w:ind w:firstLine="2016" w:firstLineChars="700"/>
              <w:rPr>
                <w:rFonts w:hint="eastAsia" w:ascii="黑体" w:hAnsi="黑体" w:eastAsia="黑体" w:cs="黑体"/>
                <w:color w:val="000000" w:themeColor="text1"/>
                <w:sz w:val="28"/>
                <w:szCs w:val="28"/>
                <w14:textFill>
                  <w14:solidFill>
                    <w14:schemeClr w14:val="tx1"/>
                  </w14:solidFill>
                </w14:textFill>
              </w:rPr>
            </w:pPr>
            <w:r>
              <w:rPr>
                <w:rFonts w:ascii="黑体" w:hAnsi="黑体" w:eastAsia="黑体" w:cs="黑体"/>
                <w:color w:val="000000" w:themeColor="text1"/>
                <w:spacing w:val="4"/>
                <w:sz w:val="28"/>
                <w:szCs w:val="28"/>
                <w14:textFill>
                  <w14:solidFill>
                    <w14:schemeClr w14:val="tx1"/>
                  </w14:solidFill>
                </w14:textFill>
              </w:rPr>
              <w:t>分类</w:t>
            </w:r>
          </w:p>
        </w:tc>
        <w:tc>
          <w:tcPr>
            <w:tcW w:w="2813" w:type="dxa"/>
          </w:tcPr>
          <w:p>
            <w:pPr>
              <w:spacing w:before="191" w:line="237" w:lineRule="auto"/>
              <w:ind w:firstLine="580" w:firstLineChars="200"/>
              <w:rPr>
                <w:rFonts w:hint="eastAsia" w:ascii="黑体" w:hAnsi="黑体" w:eastAsia="黑体" w:cs="黑体"/>
                <w:color w:val="000000" w:themeColor="text1"/>
                <w:sz w:val="28"/>
                <w:szCs w:val="28"/>
                <w14:textFill>
                  <w14:solidFill>
                    <w14:schemeClr w14:val="tx1"/>
                  </w14:solidFill>
                </w14:textFill>
              </w:rPr>
            </w:pPr>
            <w:r>
              <w:rPr>
                <w:rFonts w:ascii="黑体" w:hAnsi="黑体" w:eastAsia="黑体" w:cs="黑体"/>
                <w:color w:val="000000" w:themeColor="text1"/>
                <w:spacing w:val="5"/>
                <w:sz w:val="28"/>
                <w:szCs w:val="28"/>
                <w14:textFill>
                  <w14:solidFill>
                    <w14:schemeClr w14:val="tx1"/>
                  </w14:solidFill>
                </w14:textFill>
              </w:rPr>
              <w:t>补偿标准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5" w:hRule="atLeast"/>
        </w:trPr>
        <w:tc>
          <w:tcPr>
            <w:tcW w:w="2663" w:type="dxa"/>
            <w:vAlign w:val="center"/>
          </w:tcPr>
          <w:p>
            <w:pPr>
              <w:pStyle w:val="12"/>
              <w:spacing w:before="133" w:line="207" w:lineRule="auto"/>
              <w:ind w:firstLine="288" w:firstLineChars="100"/>
              <w:jc w:val="left"/>
              <w:rPr>
                <w:rFonts w:hint="eastAsia"/>
                <w:color w:val="000000" w:themeColor="text1"/>
                <w:sz w:val="28"/>
                <w:szCs w:val="28"/>
                <w14:textFill>
                  <w14:solidFill>
                    <w14:schemeClr w14:val="tx1"/>
                  </w14:solidFill>
                </w14:textFill>
              </w:rPr>
            </w:pPr>
            <w:r>
              <w:rPr>
                <w:color w:val="000000" w:themeColor="text1"/>
                <w:spacing w:val="4"/>
                <w:sz w:val="28"/>
                <w:szCs w:val="28"/>
                <w14:textFill>
                  <w14:solidFill>
                    <w14:schemeClr w14:val="tx1"/>
                  </w14:solidFill>
                </w14:textFill>
              </w:rPr>
              <w:t>一般树种成片林</w:t>
            </w:r>
          </w:p>
        </w:tc>
        <w:tc>
          <w:tcPr>
            <w:tcW w:w="4003" w:type="dxa"/>
            <w:vAlign w:val="center"/>
          </w:tcPr>
          <w:p>
            <w:pPr>
              <w:pStyle w:val="12"/>
              <w:spacing w:before="194" w:line="221" w:lineRule="auto"/>
              <w:ind w:right="1"/>
              <w:jc w:val="left"/>
              <w:rPr>
                <w:rFonts w:hint="eastAsia"/>
                <w:color w:val="000000" w:themeColor="text1"/>
                <w:spacing w:val="2"/>
                <w:sz w:val="28"/>
                <w:szCs w:val="28"/>
                <w:lang w:eastAsia="zh-CN"/>
                <w14:textFill>
                  <w14:solidFill>
                    <w14:schemeClr w14:val="tx1"/>
                  </w14:solidFill>
                </w14:textFill>
              </w:rPr>
            </w:pPr>
            <w:r>
              <w:rPr>
                <w:color w:val="000000" w:themeColor="text1"/>
                <w:spacing w:val="2"/>
                <w:sz w:val="28"/>
                <w:szCs w:val="28"/>
                <w:lang w:eastAsia="zh-CN"/>
                <w14:textFill>
                  <w14:solidFill>
                    <w14:schemeClr w14:val="tx1"/>
                  </w14:solidFill>
                </w14:textFill>
              </w:rPr>
              <w:t xml:space="preserve">郁闭度在 </w:t>
            </w:r>
            <w:r>
              <w:rPr>
                <w:rFonts w:ascii="Times New Roman" w:hAnsi="Times New Roman" w:eastAsia="Times New Roman" w:cs="Times New Roman"/>
                <w:color w:val="000000" w:themeColor="text1"/>
                <w:spacing w:val="2"/>
                <w:sz w:val="28"/>
                <w:szCs w:val="28"/>
                <w:lang w:eastAsia="zh-CN"/>
                <w14:textFill>
                  <w14:solidFill>
                    <w14:schemeClr w14:val="tx1"/>
                  </w14:solidFill>
                </w14:textFill>
              </w:rPr>
              <w:t>0.2</w:t>
            </w:r>
            <w:r>
              <w:rPr>
                <w:rFonts w:ascii="Times New Roman" w:hAnsi="Times New Roman" w:eastAsia="Times New Roman" w:cs="Times New Roman"/>
                <w:color w:val="000000" w:themeColor="text1"/>
                <w:spacing w:val="74"/>
                <w:sz w:val="28"/>
                <w:szCs w:val="28"/>
                <w:lang w:eastAsia="zh-CN"/>
                <w14:textFill>
                  <w14:solidFill>
                    <w14:schemeClr w14:val="tx1"/>
                  </w14:solidFill>
                </w14:textFill>
              </w:rPr>
              <w:t xml:space="preserve"> </w:t>
            </w:r>
            <w:r>
              <w:rPr>
                <w:color w:val="000000" w:themeColor="text1"/>
                <w:spacing w:val="2"/>
                <w:sz w:val="28"/>
                <w:szCs w:val="28"/>
                <w:lang w:eastAsia="zh-CN"/>
                <w14:textFill>
                  <w14:solidFill>
                    <w14:schemeClr w14:val="tx1"/>
                  </w14:solidFill>
                </w14:textFill>
              </w:rPr>
              <w:t>以下的杂竹林、</w:t>
            </w:r>
            <w:r>
              <w:rPr>
                <w:color w:val="000000" w:themeColor="text1"/>
                <w:spacing w:val="2"/>
                <w:sz w:val="28"/>
                <w:szCs w:val="28"/>
                <w14:textFill>
                  <w14:solidFill>
                    <w14:schemeClr w14:val="tx1"/>
                  </w14:solidFill>
                </w14:textFill>
              </w:rPr>
              <w:t xml:space="preserve">灌木林按 </w:t>
            </w:r>
            <w:r>
              <w:rPr>
                <w:rFonts w:ascii="Times New Roman" w:hAnsi="Times New Roman" w:eastAsia="Times New Roman" w:cs="Times New Roman"/>
                <w:color w:val="000000" w:themeColor="text1"/>
                <w:spacing w:val="2"/>
                <w:sz w:val="28"/>
                <w:szCs w:val="28"/>
                <w14:textFill>
                  <w14:solidFill>
                    <w14:schemeClr w14:val="tx1"/>
                  </w14:solidFill>
                </w14:textFill>
              </w:rPr>
              <w:t>30%</w:t>
            </w:r>
            <w:r>
              <w:rPr>
                <w:rFonts w:ascii="Times New Roman" w:hAnsi="Times New Roman" w:eastAsia="Times New Roman" w:cs="Times New Roman"/>
                <w:color w:val="000000" w:themeColor="text1"/>
                <w:sz w:val="28"/>
                <w:szCs w:val="28"/>
                <w14:textFill>
                  <w14:solidFill>
                    <w14:schemeClr w14:val="tx1"/>
                  </w14:solidFill>
                </w14:textFill>
              </w:rPr>
              <w:t xml:space="preserve"> </w:t>
            </w:r>
            <w:r>
              <w:rPr>
                <w:color w:val="000000" w:themeColor="text1"/>
                <w:spacing w:val="-4"/>
                <w:sz w:val="28"/>
                <w:szCs w:val="28"/>
                <w14:textFill>
                  <w14:solidFill>
                    <w14:schemeClr w14:val="tx1"/>
                  </w14:solidFill>
                </w14:textFill>
              </w:rPr>
              <w:t>补偿</w:t>
            </w:r>
          </w:p>
        </w:tc>
        <w:tc>
          <w:tcPr>
            <w:tcW w:w="2813" w:type="dxa"/>
            <w:vAlign w:val="center"/>
          </w:tcPr>
          <w:p>
            <w:pPr>
              <w:pStyle w:val="12"/>
              <w:spacing w:before="133" w:line="208" w:lineRule="auto"/>
              <w:ind w:firstLine="544" w:firstLineChars="200"/>
              <w:jc w:val="left"/>
              <w:rPr>
                <w:rFonts w:hint="eastAsia"/>
                <w:color w:val="000000" w:themeColor="text1"/>
                <w:sz w:val="28"/>
                <w:szCs w:val="28"/>
                <w14:textFill>
                  <w14:solidFill>
                    <w14:schemeClr w14:val="tx1"/>
                  </w14:solidFill>
                </w14:textFill>
              </w:rPr>
            </w:pPr>
            <w:r>
              <w:rPr>
                <w:rFonts w:ascii="Times New Roman" w:hAnsi="Times New Roman" w:eastAsia="Times New Roman" w:cs="Times New Roman"/>
                <w:color w:val="000000" w:themeColor="text1"/>
                <w:spacing w:val="-4"/>
                <w:sz w:val="28"/>
                <w:szCs w:val="28"/>
                <w14:textFill>
                  <w14:solidFill>
                    <w14:schemeClr w14:val="tx1"/>
                  </w14:solidFill>
                </w14:textFill>
              </w:rPr>
              <w:t>1700</w:t>
            </w:r>
            <w:r>
              <w:rPr>
                <w:rFonts w:ascii="Times New Roman" w:hAnsi="Times New Roman" w:eastAsia="Times New Roman" w:cs="Times New Roman"/>
                <w:color w:val="000000" w:themeColor="text1"/>
                <w:spacing w:val="33"/>
                <w:sz w:val="28"/>
                <w:szCs w:val="28"/>
                <w14:textFill>
                  <w14:solidFill>
                    <w14:schemeClr w14:val="tx1"/>
                  </w14:solidFill>
                </w14:textFill>
              </w:rPr>
              <w:t xml:space="preserve"> </w:t>
            </w:r>
            <w:r>
              <w:rPr>
                <w:color w:val="000000" w:themeColor="text1"/>
                <w:spacing w:val="-4"/>
                <w:sz w:val="28"/>
                <w:szCs w:val="28"/>
                <w14:textFill>
                  <w14:solidFill>
                    <w14:schemeClr w14:val="tx1"/>
                  </w14:solidFill>
                </w14:textFill>
              </w:rPr>
              <w:t>元</w:t>
            </w:r>
            <w:r>
              <w:rPr>
                <w:rFonts w:ascii="Times New Roman" w:hAnsi="Times New Roman" w:eastAsia="Times New Roman" w:cs="Times New Roman"/>
                <w:color w:val="000000" w:themeColor="text1"/>
                <w:spacing w:val="-4"/>
                <w:sz w:val="28"/>
                <w:szCs w:val="28"/>
                <w14:textFill>
                  <w14:solidFill>
                    <w14:schemeClr w14:val="tx1"/>
                  </w14:solidFill>
                </w14:textFill>
              </w:rPr>
              <w:t>/</w:t>
            </w:r>
            <w:r>
              <w:rPr>
                <w:color w:val="000000" w:themeColor="text1"/>
                <w:spacing w:val="-4"/>
                <w:sz w:val="28"/>
                <w:szCs w:val="28"/>
                <w14:textFill>
                  <w14:solidFill>
                    <w14:schemeClr w14:val="tx1"/>
                  </w14:solidFill>
                </w14:textFill>
              </w:rPr>
              <w:t>亩</w:t>
            </w:r>
          </w:p>
        </w:tc>
      </w:tr>
    </w:tbl>
    <w:p>
      <w:pPr>
        <w:pStyle w:val="2"/>
        <w:spacing w:line="440" w:lineRule="exact"/>
        <w:ind w:firstLine="643" w:firstLineChars="200"/>
        <w:rPr>
          <w:rFonts w:hint="eastAsia" w:ascii="仿宋_GB2312" w:hAnsi="仿宋_GB2312" w:eastAsia="仿宋_GB2312" w:cs="仿宋_GB2312"/>
          <w:color w:val="000000" w:themeColor="text1"/>
          <w:kern w:val="2"/>
          <w:lang w:val="en-US" w:bidi="ar-SA"/>
          <w14:textFill>
            <w14:solidFill>
              <w14:schemeClr w14:val="tx1"/>
            </w14:solidFill>
          </w14:textFill>
        </w:rPr>
      </w:pPr>
      <w:bookmarkStart w:id="19" w:name="_Toc1414143022_WPSOffice_Level2"/>
      <w:bookmarkStart w:id="20" w:name="_Toc1180604254_WPSOffice_Level2"/>
      <w:r>
        <w:rPr>
          <w:rFonts w:hint="eastAsia" w:ascii="楷体" w:hAnsi="楷体" w:eastAsia="楷体" w:cs="楷体"/>
          <w:b/>
          <w:bCs/>
          <w:color w:val="000000" w:themeColor="text1"/>
          <w:kern w:val="2"/>
          <w:lang w:val="en-US" w:bidi="ar-SA"/>
          <w14:textFill>
            <w14:solidFill>
              <w14:schemeClr w14:val="tx1"/>
            </w14:solidFill>
          </w14:textFill>
        </w:rPr>
        <w:t>（三）农村村民住宅。</w:t>
      </w:r>
      <w:r>
        <w:rPr>
          <w:rFonts w:hint="eastAsia" w:ascii="仿宋_GB2312" w:hAnsi="仿宋_GB2312" w:eastAsia="仿宋_GB2312" w:cs="仿宋_GB2312"/>
          <w:color w:val="000000" w:themeColor="text1"/>
          <w:kern w:val="2"/>
          <w:lang w:val="en-US" w:bidi="ar-SA"/>
          <w14:textFill>
            <w14:solidFill>
              <w14:schemeClr w14:val="tx1"/>
            </w14:solidFill>
          </w14:textFill>
        </w:rPr>
        <w:t>本次征收土地不涉及征收农村村民住宅。</w:t>
      </w:r>
    </w:p>
    <w:p>
      <w:pPr>
        <w:pStyle w:val="3"/>
        <w:spacing w:line="440" w:lineRule="exact"/>
        <w:ind w:left="0" w:leftChars="0" w:firstLine="640" w:firstLineChars="20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本次土地征收的补偿方式为货币。</w:t>
      </w:r>
    </w:p>
    <w:p>
      <w:pPr>
        <w:pStyle w:val="2"/>
        <w:spacing w:line="540" w:lineRule="exact"/>
        <w:ind w:firstLine="640" w:firstLineChars="200"/>
        <w:jc w:val="both"/>
        <w:rPr>
          <w:rFonts w:hint="eastAsia" w:ascii="黑体" w:hAnsi="黑体" w:eastAsia="黑体" w:cs="黑体"/>
          <w:bCs/>
          <w:color w:val="000000" w:themeColor="text1"/>
          <w14:textFill>
            <w14:solidFill>
              <w14:schemeClr w14:val="tx1"/>
            </w14:solidFill>
          </w14:textFill>
        </w:rPr>
      </w:pPr>
      <w:r>
        <w:rPr>
          <w:rFonts w:hint="eastAsia" w:ascii="黑体" w:hAnsi="黑体" w:eastAsia="黑体" w:cs="黑体"/>
          <w:bCs/>
          <w:color w:val="000000" w:themeColor="text1"/>
          <w14:textFill>
            <w14:solidFill>
              <w14:schemeClr w14:val="tx1"/>
            </w14:solidFill>
          </w14:textFill>
        </w:rPr>
        <w:t>四、安置对象、安置方式</w:t>
      </w:r>
      <w:bookmarkEnd w:id="19"/>
      <w:bookmarkEnd w:id="20"/>
    </w:p>
    <w:p>
      <w:pPr>
        <w:pStyle w:val="2"/>
        <w:spacing w:line="540" w:lineRule="exact"/>
        <w:ind w:firstLine="640" w:firstLineChars="200"/>
        <w:jc w:val="both"/>
        <w:rPr>
          <w:rFonts w:hint="eastAsia" w:ascii="仿宋_GB2312" w:hAnsi="仿宋_GB2312" w:eastAsia="仿宋_GB2312" w:cs="仿宋_GB2312"/>
          <w:color w:val="000000" w:themeColor="text1"/>
          <w:kern w:val="2"/>
          <w:lang w:val="en-US" w:bidi="ar-SA"/>
          <w14:textFill>
            <w14:solidFill>
              <w14:schemeClr w14:val="tx1"/>
            </w14:solidFill>
          </w14:textFill>
        </w:rPr>
      </w:pPr>
      <w:r>
        <w:rPr>
          <w:rFonts w:hint="eastAsia" w:ascii="仿宋_GB2312" w:hAnsi="仿宋_GB2312" w:eastAsia="仿宋_GB2312" w:cs="仿宋_GB2312"/>
          <w:color w:val="000000" w:themeColor="text1"/>
          <w:kern w:val="2"/>
          <w:lang w:val="en-US" w:bidi="ar-SA"/>
          <w14:textFill>
            <w14:solidFill>
              <w14:schemeClr w14:val="tx1"/>
            </w14:solidFill>
          </w14:textFill>
        </w:rPr>
        <w:t>本次征收土地的安置对象根据《安徽省土地征收及补偿安置办法》第三十三条、第三十四条、第三十五条、第三十六条、第三十七条等规定确定；</w:t>
      </w:r>
      <w:bookmarkStart w:id="21" w:name="_Toc1242406024_WPSOffice_Level2"/>
      <w:bookmarkStart w:id="22" w:name="_Toc813809769_WPSOffice_Level2"/>
      <w:r>
        <w:rPr>
          <w:rFonts w:hint="eastAsia" w:ascii="仿宋_GB2312" w:hAnsi="仿宋_GB2312" w:eastAsia="仿宋_GB2312" w:cs="仿宋_GB2312"/>
          <w:color w:val="000000" w:themeColor="text1"/>
          <w:kern w:val="2"/>
          <w:lang w:val="en-US" w:bidi="ar-SA"/>
          <w14:textFill>
            <w14:solidFill>
              <w14:schemeClr w14:val="tx1"/>
            </w14:solidFill>
          </w14:textFill>
        </w:rPr>
        <w:t>本次征收土地涉及人口采取货币、社保等方式进行安置。</w:t>
      </w:r>
    </w:p>
    <w:p>
      <w:pPr>
        <w:pStyle w:val="2"/>
        <w:spacing w:line="540" w:lineRule="exact"/>
        <w:ind w:firstLine="640" w:firstLineChars="200"/>
        <w:jc w:val="both"/>
        <w:rPr>
          <w:rFonts w:hint="eastAsia" w:ascii="黑体" w:hAnsi="黑体" w:eastAsia="黑体" w:cs="黑体"/>
          <w:bCs/>
          <w:color w:val="000000" w:themeColor="text1"/>
          <w14:textFill>
            <w14:solidFill>
              <w14:schemeClr w14:val="tx1"/>
            </w14:solidFill>
          </w14:textFill>
        </w:rPr>
      </w:pPr>
      <w:r>
        <w:rPr>
          <w:rFonts w:hint="eastAsia" w:ascii="黑体" w:hAnsi="黑体" w:eastAsia="黑体" w:cs="黑体"/>
          <w:bCs/>
          <w:color w:val="000000" w:themeColor="text1"/>
          <w14:textFill>
            <w14:solidFill>
              <w14:schemeClr w14:val="tx1"/>
            </w14:solidFill>
          </w14:textFill>
        </w:rPr>
        <w:t>五、社会保障措施</w:t>
      </w:r>
      <w:bookmarkEnd w:id="21"/>
      <w:bookmarkEnd w:id="22"/>
    </w:p>
    <w:p>
      <w:pPr>
        <w:spacing w:line="54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bookmarkStart w:id="23" w:name="_Toc1178363258_WPSOffice_Level2"/>
      <w:bookmarkStart w:id="24" w:name="_Toc1396043390_WPSOffice_Level2"/>
      <w:r>
        <w:rPr>
          <w:rFonts w:hint="eastAsia" w:ascii="仿宋_GB2312" w:hAnsi="仿宋_GB2312" w:eastAsia="仿宋_GB2312" w:cs="仿宋_GB2312"/>
          <w:color w:val="000000" w:themeColor="text1"/>
          <w:sz w:val="32"/>
          <w:szCs w:val="32"/>
          <w14:textFill>
            <w14:solidFill>
              <w14:schemeClr w14:val="tx1"/>
            </w14:solidFill>
          </w14:textFill>
        </w:rPr>
        <w:t>本次被征地农民的社会保障措施按照《安徽省人民政府关于对符合条件的被征地农民社会保障对象实行基本养老保险缴费补贴政策的通知》（皖政〔2023〕72号）《安徽省人力资源和社会保障厅 安徽省财政厅 安徽省自然资源厅 安徽省农业农村厅关于印发对符合条件的被征地农民社会保障对象实行基本养老保险缴费补贴实施细则的通知》（皖人社发〔2023〕18号）及《东至县人民政府关于对符合条件的被征地农民社会保障对象实行基本养老保险缴费补贴政策的通知》（东政秘〔2024〕19号）的规定执行。具体情况如下：</w:t>
      </w:r>
    </w:p>
    <w:p>
      <w:pPr>
        <w:spacing w:line="540" w:lineRule="exact"/>
        <w:ind w:firstLine="643"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1.</w:t>
      </w:r>
      <w:r>
        <w:rPr>
          <w:rFonts w:hint="eastAsia" w:ascii="仿宋_GB2312" w:hAnsi="仿宋_GB2312" w:eastAsia="仿宋_GB2312" w:cs="仿宋_GB2312"/>
          <w:color w:val="000000" w:themeColor="text1"/>
          <w:sz w:val="32"/>
          <w:szCs w:val="32"/>
          <w14:textFill>
            <w14:solidFill>
              <w14:schemeClr w14:val="tx1"/>
            </w14:solidFill>
          </w14:textFill>
        </w:rPr>
        <w:t>县域范围内，在依法征收农民集体所有土地时，将被征地农民安置人员中失去全部或大部分土地（户内人均所剩耕地面积不足 0.3 亩），且年满 16 周岁的人员纳入基本养老保险缴费补贴对象范围（以下简称“补贴对象”）。</w:t>
      </w:r>
    </w:p>
    <w:p>
      <w:pPr>
        <w:spacing w:line="540" w:lineRule="exact"/>
        <w:ind w:firstLine="643"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2.</w:t>
      </w:r>
      <w:r>
        <w:rPr>
          <w:rFonts w:hint="eastAsia" w:ascii="仿宋_GB2312" w:hAnsi="仿宋_GB2312" w:eastAsia="仿宋_GB2312" w:cs="仿宋_GB2312"/>
          <w:color w:val="000000" w:themeColor="text1"/>
          <w:sz w:val="32"/>
          <w:szCs w:val="32"/>
          <w14:textFill>
            <w14:solidFill>
              <w14:schemeClr w14:val="tx1"/>
            </w14:solidFill>
          </w14:textFill>
        </w:rPr>
        <w:t>补贴对象参加基本养老保险的（城乡居民养老保险、职工养老保险），可享受缴费补贴，参加城乡居民养老保险、职工养老保险享受同等补贴标准。补贴标准为土地被依法征收时全县平均土地区片综合地价。</w:t>
      </w:r>
    </w:p>
    <w:p>
      <w:pPr>
        <w:spacing w:line="540" w:lineRule="exact"/>
        <w:ind w:firstLine="640" w:firstLineChars="200"/>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六、其他事项</w:t>
      </w:r>
      <w:bookmarkEnd w:id="13"/>
      <w:bookmarkEnd w:id="14"/>
      <w:bookmarkEnd w:id="23"/>
      <w:bookmarkEnd w:id="24"/>
    </w:p>
    <w:p>
      <w:pPr>
        <w:spacing w:line="54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kern w:val="0"/>
          <w:sz w:val="32"/>
          <w:szCs w:val="32"/>
          <w14:textFill>
            <w14:solidFill>
              <w14:schemeClr w14:val="tx1"/>
            </w14:solidFill>
          </w14:textFill>
        </w:rPr>
        <w:t>（一）本征地补偿安置方案公告</w:t>
      </w:r>
      <w:r>
        <w:rPr>
          <w:rFonts w:hint="eastAsia" w:ascii="仿宋_GB2312" w:hAnsi="仿宋_GB2312" w:eastAsia="仿宋_GB2312" w:cs="仿宋_GB2312"/>
          <w:color w:val="000000" w:themeColor="text1"/>
          <w:sz w:val="32"/>
          <w:szCs w:val="32"/>
          <w14:textFill>
            <w14:solidFill>
              <w14:schemeClr w14:val="tx1"/>
            </w14:solidFill>
          </w14:textFill>
        </w:rPr>
        <w:t>在拟征收土地所在的香隅镇、金鸡村、二十一组、二十二组，莲湖村、九组、十组，黄山村、永丰组、莲花组</w:t>
      </w:r>
      <w:r>
        <w:rPr>
          <w:rFonts w:ascii="仿宋_GB2312" w:hAnsi="仿宋_GB2312" w:eastAsia="仿宋_GB2312" w:cs="仿宋_GB2312"/>
          <w:color w:val="000000" w:themeColor="text1"/>
          <w:sz w:val="32"/>
          <w:szCs w:val="32"/>
          <w14:textFill>
            <w14:solidFill>
              <w14:schemeClr w14:val="tx1"/>
            </w14:solidFill>
          </w14:textFill>
        </w:rPr>
        <w:t>范围内</w:t>
      </w:r>
      <w:r>
        <w:rPr>
          <w:rFonts w:hint="eastAsia" w:ascii="Times New Roman" w:hAnsi="Times New Roman" w:eastAsia="仿宋_GB2312" w:cs="Times New Roman"/>
          <w:color w:val="000000" w:themeColor="text1"/>
          <w:kern w:val="0"/>
          <w:sz w:val="32"/>
          <w:szCs w:val="32"/>
          <w14:textFill>
            <w14:solidFill>
              <w14:schemeClr w14:val="tx1"/>
            </w14:solidFill>
          </w14:textFill>
        </w:rPr>
        <w:t>，采用镇政务公开栏及村务公开栏张贴等方式发布</w:t>
      </w:r>
      <w:r>
        <w:rPr>
          <w:rFonts w:hint="eastAsia" w:ascii="仿宋_GB2312" w:hAnsi="仿宋_GB2312" w:eastAsia="仿宋_GB2312" w:cs="仿宋_GB2312"/>
          <w:color w:val="000000" w:themeColor="text1"/>
          <w:sz w:val="32"/>
          <w:szCs w:val="32"/>
          <w14:textFill>
            <w14:solidFill>
              <w14:schemeClr w14:val="tx1"/>
            </w14:solidFill>
          </w14:textFill>
        </w:rPr>
        <w:t>，并在东至县政府门户网站（【</w:t>
      </w:r>
      <w:r>
        <w:rPr>
          <w:rFonts w:hint="eastAsia" w:ascii="仿宋_GB2312" w:hAnsi="Times" w:eastAsia="仿宋_GB2312" w:cs="Times New Roman"/>
          <w:color w:val="000000" w:themeColor="text1"/>
          <w:sz w:val="32"/>
          <w:szCs w:val="32"/>
          <w14:textFill>
            <w14:solidFill>
              <w14:schemeClr w14:val="tx1"/>
            </w14:solidFill>
          </w14:textFill>
        </w:rPr>
        <w:t>www.dongzhi.gov.cn</w:t>
      </w:r>
      <w:r>
        <w:rPr>
          <w:rFonts w:hint="eastAsia" w:ascii="仿宋_GB2312" w:hAnsi="仿宋_GB2312" w:eastAsia="仿宋_GB2312" w:cs="仿宋_GB2312"/>
          <w:color w:val="000000" w:themeColor="text1"/>
          <w:sz w:val="32"/>
          <w:szCs w:val="32"/>
          <w14:textFill>
            <w14:solidFill>
              <w14:schemeClr w14:val="tx1"/>
            </w14:solidFill>
          </w14:textFill>
        </w:rPr>
        <w:t>】）发布，听取被征地的农村集体经济组织及其成员、村（居）民委员会、村（居）民小组和其他利害关系人的意见。本公告期限自</w:t>
      </w:r>
      <w:r>
        <w:rPr>
          <w:rFonts w:hint="eastAsia" w:ascii="仿宋_GB2312" w:hAnsi="仿宋_GB2312" w:eastAsia="仿宋_GB2312" w:cs="仿宋_GB2312"/>
          <w:color w:val="000000" w:themeColor="text1"/>
          <w:sz w:val="32"/>
          <w:szCs w:val="32"/>
          <w14:textFill>
            <w14:solidFill>
              <w14:schemeClr w14:val="tx1"/>
            </w14:solidFill>
          </w14:textFill>
        </w:rPr>
        <w:t>2025年9月12日至2025年10月12日</w:t>
      </w:r>
      <w:r>
        <w:rPr>
          <w:rFonts w:hint="eastAsia" w:ascii="仿宋_GB2312" w:hAnsi="仿宋_GB2312" w:eastAsia="仿宋_GB2312" w:cs="仿宋_GB2312"/>
          <w:color w:val="000000" w:themeColor="text1"/>
          <w:sz w:val="32"/>
          <w:szCs w:val="32"/>
          <w14:textFill>
            <w14:solidFill>
              <w14:schemeClr w14:val="tx1"/>
            </w14:solidFill>
          </w14:textFill>
        </w:rPr>
        <w:t>。</w:t>
      </w:r>
    </w:p>
    <w:p>
      <w:pPr>
        <w:spacing w:line="54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二）本次土地征收的实施单位为香隅镇人民政府，将组织办理补偿登记及征地补偿安置协议签订等事项。拟征收土地范围内的土地所有权人、使用权人应当在本公告发布之日起31日内，持不动产权属证明材料至香隅镇人民政府（联系人：吴义敏；联系方式：0566-8161</w:t>
      </w:r>
      <w:r>
        <w:rPr>
          <w:rFonts w:hint="eastAsia" w:ascii="仿宋_GB2312" w:hAnsi="仿宋_GB2312" w:eastAsia="仿宋_GB2312" w:cs="仿宋_GB2312"/>
          <w:color w:val="000000" w:themeColor="text1"/>
          <w:sz w:val="32"/>
          <w:szCs w:val="32"/>
          <w14:textFill>
            <w14:solidFill>
              <w14:schemeClr w14:val="tx1"/>
            </w14:solidFill>
          </w14:textFill>
        </w:rPr>
        <w:t>021）</w:t>
      </w:r>
      <w:r>
        <w:rPr>
          <w:rFonts w:hint="eastAsia" w:ascii="仿宋_GB2312" w:hAnsi="仿宋_GB2312" w:eastAsia="仿宋_GB2312" w:cs="仿宋_GB2312"/>
          <w:color w:val="000000" w:themeColor="text1"/>
          <w:sz w:val="32"/>
          <w:szCs w:val="32"/>
          <w14:textFill>
            <w14:solidFill>
              <w14:schemeClr w14:val="tx1"/>
            </w14:solidFill>
          </w14:textFill>
        </w:rPr>
        <w:t>办理补偿登记。拟征收土地所有权人、使用权人不能亲自办理补偿登记的，可以委托他人办理。未在规定期限内办理补偿登记的，香隅镇人民政府将书面通知拟征收土地所有权人、使用权人补办。通知补办后仍不办理的，补偿登记事项根据土地现状调查结果予以确定。</w:t>
      </w:r>
    </w:p>
    <w:p>
      <w:pPr>
        <w:spacing w:line="54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（三）对本征地补偿安置方案公告有异议的，拟征收土地范围内的土地所有权人、使用权人应在公告发布之日起至公告期满后5个工作日内，以书面形式向</w:t>
      </w:r>
      <w:r>
        <w:rPr>
          <w:rFonts w:hint="eastAsia" w:ascii="仿宋_GB2312" w:hAnsi="仿宋_GB2312" w:eastAsia="仿宋_GB2312" w:cs="仿宋_GB2312"/>
          <w:color w:val="000000" w:themeColor="text1"/>
          <w:sz w:val="32"/>
          <w:szCs w:val="32"/>
          <w14:textFill>
            <w14:solidFill>
              <w14:schemeClr w14:val="tx1"/>
            </w14:solidFill>
          </w14:textFill>
        </w:rPr>
        <w:t>东至县自然资源和规划局（联系人：叶孟光；电话：0566-7028613）</w:t>
      </w:r>
      <w:r>
        <w:rPr>
          <w:rFonts w:hint="eastAsia" w:ascii="仿宋_GB2312" w:hAnsi="仿宋_GB2312" w:eastAsia="仿宋_GB2312" w:cs="仿宋_GB2312"/>
          <w:color w:val="000000" w:themeColor="text1"/>
          <w:sz w:val="32"/>
          <w:szCs w:val="32"/>
          <w14:textFill>
            <w14:solidFill>
              <w14:schemeClr w14:val="tx1"/>
            </w14:solidFill>
          </w14:textFill>
        </w:rPr>
        <w:t>提出。相关土地权利人在规定时间内未提交书面意见的，视为无异议。</w:t>
      </w:r>
    </w:p>
    <w:p>
      <w:pPr>
        <w:spacing w:line="54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（四）如过半数被征地的农村集体经济组织成员认为征地补偿安置方案不符合法律、法规规定，东至县人民政府将依法组织听证。</w:t>
      </w:r>
    </w:p>
    <w:p>
      <w:pPr>
        <w:spacing w:line="540" w:lineRule="exact"/>
        <w:ind w:firstLine="640" w:firstLineChars="200"/>
        <w:rPr>
          <w:rFonts w:hint="eastAsia" w:ascii="仿宋_GB2312" w:hAnsi="仿宋_GB2312" w:eastAsia="仿宋_GB2312" w:cs="仿宋_GB2312"/>
          <w:bCs/>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（五）本次土地征收范围和面积以</w:t>
      </w:r>
      <w:r>
        <w:rPr>
          <w:rFonts w:hint="eastAsia" w:ascii="仿宋_GB2312" w:hAnsi="仿宋_GB2312" w:eastAsia="仿宋_GB2312" w:cs="仿宋_GB2312"/>
          <w:bCs/>
          <w:color w:val="000000" w:themeColor="text1"/>
          <w:sz w:val="32"/>
          <w:szCs w:val="32"/>
          <w14:textFill>
            <w14:solidFill>
              <w14:schemeClr w14:val="tx1"/>
            </w14:solidFill>
          </w14:textFill>
        </w:rPr>
        <w:t>最终土地征收批准文件载明的内容为准。</w:t>
      </w:r>
    </w:p>
    <w:p>
      <w:pPr>
        <w:spacing w:line="54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（六）</w:t>
      </w:r>
      <w:r>
        <w:rPr>
          <w:rFonts w:hint="eastAsia" w:ascii="仿宋_GB2312" w:hAnsi="仿宋_GB2312" w:eastAsia="仿宋_GB2312" w:cs="仿宋_GB2312"/>
          <w:color w:val="000000" w:themeColor="text1"/>
          <w:sz w:val="32"/>
          <w:szCs w:val="32"/>
          <w14:textFill>
            <w14:solidFill>
              <w14:schemeClr w14:val="tx1"/>
            </w14:solidFill>
          </w14:textFill>
        </w:rPr>
        <w:t>香隅镇人民政府将于</w:t>
      </w:r>
      <w:r>
        <w:rPr>
          <w:rFonts w:hint="eastAsia" w:ascii="仿宋_GB2312" w:hAnsi="仿宋_GB2312" w:eastAsia="仿宋_GB2312" w:cs="仿宋_GB2312"/>
          <w:color w:val="000000" w:themeColor="text1"/>
          <w:sz w:val="32"/>
          <w:szCs w:val="32"/>
          <w14:textFill>
            <w14:solidFill>
              <w14:schemeClr w14:val="tx1"/>
            </w14:solidFill>
          </w14:textFill>
        </w:rPr>
        <w:t>2025年10月17</w:t>
      </w:r>
      <w:r>
        <w:rPr>
          <w:rFonts w:hint="eastAsia" w:ascii="仿宋_GB2312" w:hAnsi="仿宋_GB2312" w:eastAsia="仿宋_GB2312" w:cs="仿宋_GB2312"/>
          <w:color w:val="000000" w:themeColor="text1"/>
          <w:sz w:val="32"/>
          <w:szCs w:val="32"/>
          <w14:textFill>
            <w14:solidFill>
              <w14:schemeClr w14:val="tx1"/>
            </w14:solidFill>
          </w14:textFill>
        </w:rPr>
        <w:t>日后组织开展征地补偿安置协议签订工作，拟征收土地范围内的土地所有权人、使用权人应当予以配合。</w:t>
      </w:r>
    </w:p>
    <w:p>
      <w:pPr>
        <w:spacing w:line="54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p>
    <w:p>
      <w:pPr>
        <w:pStyle w:val="2"/>
        <w:spacing w:line="540" w:lineRule="exact"/>
        <w:ind w:firstLine="640" w:firstLineChars="200"/>
        <w:rPr>
          <w:rFonts w:hint="eastAsia"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color w:val="000000" w:themeColor="text1"/>
          <w14:textFill>
            <w14:solidFill>
              <w14:schemeClr w14:val="tx1"/>
            </w14:solidFill>
          </w14:textFill>
        </w:rPr>
        <w:t xml:space="preserve">附件：拟征收土地范围示意图         </w:t>
      </w:r>
    </w:p>
    <w:p>
      <w:pPr>
        <w:pStyle w:val="3"/>
        <w:spacing w:line="540" w:lineRule="exact"/>
        <w:rPr>
          <w:color w:val="000000" w:themeColor="text1"/>
          <w14:textFill>
            <w14:solidFill>
              <w14:schemeClr w14:val="tx1"/>
            </w14:solidFill>
          </w14:textFill>
        </w:rPr>
      </w:pPr>
    </w:p>
    <w:p>
      <w:pPr>
        <w:spacing w:line="540" w:lineRule="exact"/>
        <w:ind w:firstLine="640" w:firstLineChars="200"/>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                  东至县人民政府</w:t>
      </w:r>
    </w:p>
    <w:p>
      <w:pPr>
        <w:spacing w:line="540" w:lineRule="exact"/>
        <w:ind w:firstLine="640" w:firstLineChars="200"/>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 xml:space="preserve"> 2025年9月12日</w:t>
      </w:r>
    </w:p>
    <w:p>
      <w:pPr>
        <w:rPr>
          <w:color w:val="000000" w:themeColor="text1"/>
          <w14:textFill>
            <w14:solidFill>
              <w14:schemeClr w14:val="tx1"/>
            </w14:solidFill>
          </w14:textFill>
        </w:rPr>
      </w:pPr>
    </w:p>
    <w:bookmarkEnd w:id="2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ZjNDIxNGU4OTViYTE5MWI5ZjZkMzgxYzlkNmYyMTgifQ=="/>
  </w:docVars>
  <w:rsids>
    <w:rsidRoot w:val="37575F8A"/>
    <w:rsid w:val="000409FC"/>
    <w:rsid w:val="00044F54"/>
    <w:rsid w:val="00060076"/>
    <w:rsid w:val="000C6E7F"/>
    <w:rsid w:val="000F4771"/>
    <w:rsid w:val="001D2EB2"/>
    <w:rsid w:val="001E198F"/>
    <w:rsid w:val="00246C82"/>
    <w:rsid w:val="004C6F9C"/>
    <w:rsid w:val="005251C5"/>
    <w:rsid w:val="006131D7"/>
    <w:rsid w:val="00621D74"/>
    <w:rsid w:val="00765B4B"/>
    <w:rsid w:val="007E4869"/>
    <w:rsid w:val="0088475D"/>
    <w:rsid w:val="00902C2A"/>
    <w:rsid w:val="009C77CB"/>
    <w:rsid w:val="009E2F93"/>
    <w:rsid w:val="009F3A43"/>
    <w:rsid w:val="00A97BFE"/>
    <w:rsid w:val="00B949F4"/>
    <w:rsid w:val="00D26B42"/>
    <w:rsid w:val="00F759EB"/>
    <w:rsid w:val="00F8192F"/>
    <w:rsid w:val="01101675"/>
    <w:rsid w:val="01E0373D"/>
    <w:rsid w:val="022E44A8"/>
    <w:rsid w:val="025C7268"/>
    <w:rsid w:val="028C11CF"/>
    <w:rsid w:val="02915933"/>
    <w:rsid w:val="02C46BBB"/>
    <w:rsid w:val="02D05560"/>
    <w:rsid w:val="03E21EAD"/>
    <w:rsid w:val="04F419D9"/>
    <w:rsid w:val="05393890"/>
    <w:rsid w:val="058645FB"/>
    <w:rsid w:val="060A2B37"/>
    <w:rsid w:val="06250DB6"/>
    <w:rsid w:val="065E2E82"/>
    <w:rsid w:val="065F7326"/>
    <w:rsid w:val="074958E1"/>
    <w:rsid w:val="07A23E3A"/>
    <w:rsid w:val="07B2792A"/>
    <w:rsid w:val="07FA121C"/>
    <w:rsid w:val="07FE491D"/>
    <w:rsid w:val="08A6123D"/>
    <w:rsid w:val="08D35DAA"/>
    <w:rsid w:val="0979769F"/>
    <w:rsid w:val="098350DA"/>
    <w:rsid w:val="09C33728"/>
    <w:rsid w:val="0A2D14EA"/>
    <w:rsid w:val="0A8F5D00"/>
    <w:rsid w:val="0AE24082"/>
    <w:rsid w:val="0B9F1F73"/>
    <w:rsid w:val="0B9F7502"/>
    <w:rsid w:val="0BB1395E"/>
    <w:rsid w:val="0C28640C"/>
    <w:rsid w:val="0C2F779B"/>
    <w:rsid w:val="0C6D3E1F"/>
    <w:rsid w:val="0C7E5649"/>
    <w:rsid w:val="0D48419C"/>
    <w:rsid w:val="0D737656"/>
    <w:rsid w:val="0DA47D15"/>
    <w:rsid w:val="0DF45274"/>
    <w:rsid w:val="0E152BCF"/>
    <w:rsid w:val="0E8A0CB9"/>
    <w:rsid w:val="0EA53D44"/>
    <w:rsid w:val="0EAD49A7"/>
    <w:rsid w:val="0F032819"/>
    <w:rsid w:val="0F384BB8"/>
    <w:rsid w:val="0FBD6E6C"/>
    <w:rsid w:val="0FCD3553"/>
    <w:rsid w:val="0FD83CA6"/>
    <w:rsid w:val="10134CDE"/>
    <w:rsid w:val="10280789"/>
    <w:rsid w:val="10636B6F"/>
    <w:rsid w:val="10693B2C"/>
    <w:rsid w:val="110E4E6E"/>
    <w:rsid w:val="11D84431"/>
    <w:rsid w:val="12696E37"/>
    <w:rsid w:val="13196AAF"/>
    <w:rsid w:val="133F2E39"/>
    <w:rsid w:val="14495172"/>
    <w:rsid w:val="14C71101"/>
    <w:rsid w:val="14EC25C7"/>
    <w:rsid w:val="1548367B"/>
    <w:rsid w:val="15B036FB"/>
    <w:rsid w:val="15DB2EE2"/>
    <w:rsid w:val="1606331B"/>
    <w:rsid w:val="163503F5"/>
    <w:rsid w:val="1663076D"/>
    <w:rsid w:val="173619DD"/>
    <w:rsid w:val="176C53FF"/>
    <w:rsid w:val="177E15D6"/>
    <w:rsid w:val="17AB72E5"/>
    <w:rsid w:val="17CA0378"/>
    <w:rsid w:val="17E07C8C"/>
    <w:rsid w:val="18981FD2"/>
    <w:rsid w:val="18BF1EA7"/>
    <w:rsid w:val="19307672"/>
    <w:rsid w:val="197748B8"/>
    <w:rsid w:val="19FB6F0E"/>
    <w:rsid w:val="1A516B2E"/>
    <w:rsid w:val="1AE23C2A"/>
    <w:rsid w:val="1B3171D1"/>
    <w:rsid w:val="1BA84E74"/>
    <w:rsid w:val="1C3B6526"/>
    <w:rsid w:val="1C5C258F"/>
    <w:rsid w:val="1C7C6848"/>
    <w:rsid w:val="1CFC7225"/>
    <w:rsid w:val="1DA76F7C"/>
    <w:rsid w:val="1DBC738D"/>
    <w:rsid w:val="1E0068A1"/>
    <w:rsid w:val="1E7554E1"/>
    <w:rsid w:val="1E953927"/>
    <w:rsid w:val="1ED512B1"/>
    <w:rsid w:val="1EE12B77"/>
    <w:rsid w:val="1EF31336"/>
    <w:rsid w:val="1FD955FC"/>
    <w:rsid w:val="1FECD35E"/>
    <w:rsid w:val="20106B9E"/>
    <w:rsid w:val="20623843"/>
    <w:rsid w:val="2067156E"/>
    <w:rsid w:val="20C067BC"/>
    <w:rsid w:val="20F85F56"/>
    <w:rsid w:val="2190618E"/>
    <w:rsid w:val="219655FF"/>
    <w:rsid w:val="21B75E11"/>
    <w:rsid w:val="21FB3F4F"/>
    <w:rsid w:val="225E6D5C"/>
    <w:rsid w:val="2283065D"/>
    <w:rsid w:val="22D447A0"/>
    <w:rsid w:val="22ED590A"/>
    <w:rsid w:val="235A6CAA"/>
    <w:rsid w:val="238D507B"/>
    <w:rsid w:val="23C16AD3"/>
    <w:rsid w:val="242A0B1C"/>
    <w:rsid w:val="247B4ED4"/>
    <w:rsid w:val="249211D4"/>
    <w:rsid w:val="24EC5DD1"/>
    <w:rsid w:val="27677991"/>
    <w:rsid w:val="279B588D"/>
    <w:rsid w:val="28152C01"/>
    <w:rsid w:val="282F6A92"/>
    <w:rsid w:val="285B2AEE"/>
    <w:rsid w:val="28763AC8"/>
    <w:rsid w:val="28A51D7B"/>
    <w:rsid w:val="29233D8C"/>
    <w:rsid w:val="29235B3A"/>
    <w:rsid w:val="293301AD"/>
    <w:rsid w:val="29345F99"/>
    <w:rsid w:val="299F78B6"/>
    <w:rsid w:val="29BC67FC"/>
    <w:rsid w:val="29DE0A1E"/>
    <w:rsid w:val="2A4E4E38"/>
    <w:rsid w:val="2AD40BD1"/>
    <w:rsid w:val="2B345DDC"/>
    <w:rsid w:val="2BA03472"/>
    <w:rsid w:val="2C934D84"/>
    <w:rsid w:val="2D3447B9"/>
    <w:rsid w:val="2D46629B"/>
    <w:rsid w:val="2D80355B"/>
    <w:rsid w:val="2E2A1718"/>
    <w:rsid w:val="2E8A5886"/>
    <w:rsid w:val="2EC41B6D"/>
    <w:rsid w:val="2EC969A6"/>
    <w:rsid w:val="2ED718A0"/>
    <w:rsid w:val="2EF266DA"/>
    <w:rsid w:val="2F526244"/>
    <w:rsid w:val="2FAC6889"/>
    <w:rsid w:val="30240B15"/>
    <w:rsid w:val="30760C45"/>
    <w:rsid w:val="3095556F"/>
    <w:rsid w:val="31197F4E"/>
    <w:rsid w:val="311E5564"/>
    <w:rsid w:val="312A0A3B"/>
    <w:rsid w:val="313034EA"/>
    <w:rsid w:val="31572824"/>
    <w:rsid w:val="32186458"/>
    <w:rsid w:val="32615418"/>
    <w:rsid w:val="334119DE"/>
    <w:rsid w:val="33AD7074"/>
    <w:rsid w:val="33BB353F"/>
    <w:rsid w:val="355809AC"/>
    <w:rsid w:val="363E3FB3"/>
    <w:rsid w:val="364A0BAA"/>
    <w:rsid w:val="36637EBD"/>
    <w:rsid w:val="37575F8A"/>
    <w:rsid w:val="37632D27"/>
    <w:rsid w:val="37971BCD"/>
    <w:rsid w:val="389600D6"/>
    <w:rsid w:val="39D215E2"/>
    <w:rsid w:val="39D709A6"/>
    <w:rsid w:val="3A0379ED"/>
    <w:rsid w:val="3BE13D5E"/>
    <w:rsid w:val="3CC01BC6"/>
    <w:rsid w:val="3CC2593E"/>
    <w:rsid w:val="3CC86CCC"/>
    <w:rsid w:val="3CE07B72"/>
    <w:rsid w:val="3D1421B4"/>
    <w:rsid w:val="3DAB4624"/>
    <w:rsid w:val="3DD4087E"/>
    <w:rsid w:val="3DF17300"/>
    <w:rsid w:val="3F5D36FC"/>
    <w:rsid w:val="3F677511"/>
    <w:rsid w:val="3F794F45"/>
    <w:rsid w:val="3F8E7D59"/>
    <w:rsid w:val="3F93711E"/>
    <w:rsid w:val="40980764"/>
    <w:rsid w:val="40C17CBA"/>
    <w:rsid w:val="40F24F24"/>
    <w:rsid w:val="41886A2A"/>
    <w:rsid w:val="418F600A"/>
    <w:rsid w:val="41A75102"/>
    <w:rsid w:val="41DB3538"/>
    <w:rsid w:val="41E00614"/>
    <w:rsid w:val="42976F25"/>
    <w:rsid w:val="42DB35FF"/>
    <w:rsid w:val="42E3216A"/>
    <w:rsid w:val="430D368B"/>
    <w:rsid w:val="43AE3C5E"/>
    <w:rsid w:val="44024872"/>
    <w:rsid w:val="44CD30D2"/>
    <w:rsid w:val="44F763A1"/>
    <w:rsid w:val="452151CC"/>
    <w:rsid w:val="453B4476"/>
    <w:rsid w:val="45CC15DB"/>
    <w:rsid w:val="45D109A0"/>
    <w:rsid w:val="46497370"/>
    <w:rsid w:val="46E42955"/>
    <w:rsid w:val="47B642F1"/>
    <w:rsid w:val="48052B82"/>
    <w:rsid w:val="48A54E75"/>
    <w:rsid w:val="48CE400C"/>
    <w:rsid w:val="48E1539E"/>
    <w:rsid w:val="49177011"/>
    <w:rsid w:val="497E2BEC"/>
    <w:rsid w:val="4A7F4E6E"/>
    <w:rsid w:val="4A922FA0"/>
    <w:rsid w:val="4B3A6FE7"/>
    <w:rsid w:val="4BC25F7E"/>
    <w:rsid w:val="4BEF7DD1"/>
    <w:rsid w:val="4C0513A3"/>
    <w:rsid w:val="4C6D6F48"/>
    <w:rsid w:val="4D057181"/>
    <w:rsid w:val="4E265601"/>
    <w:rsid w:val="4EA330F5"/>
    <w:rsid w:val="4F493C9D"/>
    <w:rsid w:val="4F6B59C1"/>
    <w:rsid w:val="4FB21842"/>
    <w:rsid w:val="51200A2D"/>
    <w:rsid w:val="51295B34"/>
    <w:rsid w:val="51316796"/>
    <w:rsid w:val="52282993"/>
    <w:rsid w:val="52462715"/>
    <w:rsid w:val="52635075"/>
    <w:rsid w:val="52F39EB2"/>
    <w:rsid w:val="530C74BB"/>
    <w:rsid w:val="53264396"/>
    <w:rsid w:val="5338205E"/>
    <w:rsid w:val="536015B5"/>
    <w:rsid w:val="538928BA"/>
    <w:rsid w:val="53D63625"/>
    <w:rsid w:val="53FC752F"/>
    <w:rsid w:val="54BE2A37"/>
    <w:rsid w:val="54EA382C"/>
    <w:rsid w:val="552F56E3"/>
    <w:rsid w:val="557D644E"/>
    <w:rsid w:val="558A0B6B"/>
    <w:rsid w:val="55FB7373"/>
    <w:rsid w:val="570010E5"/>
    <w:rsid w:val="57541992"/>
    <w:rsid w:val="57552F9A"/>
    <w:rsid w:val="58006EC2"/>
    <w:rsid w:val="58613E05"/>
    <w:rsid w:val="590649AC"/>
    <w:rsid w:val="594F0101"/>
    <w:rsid w:val="597C5D3F"/>
    <w:rsid w:val="59D93E6F"/>
    <w:rsid w:val="5A01659A"/>
    <w:rsid w:val="5AC02939"/>
    <w:rsid w:val="5BBB1A7E"/>
    <w:rsid w:val="5CB12E81"/>
    <w:rsid w:val="5CDF354A"/>
    <w:rsid w:val="5D664C65"/>
    <w:rsid w:val="5DA327CA"/>
    <w:rsid w:val="5E1831B8"/>
    <w:rsid w:val="5E2A6A47"/>
    <w:rsid w:val="5EBD78BB"/>
    <w:rsid w:val="5EE16508"/>
    <w:rsid w:val="5F5D2176"/>
    <w:rsid w:val="5F7268F8"/>
    <w:rsid w:val="5F88611B"/>
    <w:rsid w:val="5FBF7663"/>
    <w:rsid w:val="60433DF0"/>
    <w:rsid w:val="60BD1DF5"/>
    <w:rsid w:val="60D13AF2"/>
    <w:rsid w:val="61497B2C"/>
    <w:rsid w:val="614B38A4"/>
    <w:rsid w:val="61891CD7"/>
    <w:rsid w:val="61D13582"/>
    <w:rsid w:val="63506F50"/>
    <w:rsid w:val="65206DF6"/>
    <w:rsid w:val="658B24C1"/>
    <w:rsid w:val="666845B1"/>
    <w:rsid w:val="6692787F"/>
    <w:rsid w:val="6740552D"/>
    <w:rsid w:val="676E3E49"/>
    <w:rsid w:val="67B53825"/>
    <w:rsid w:val="67E005F1"/>
    <w:rsid w:val="682F64A8"/>
    <w:rsid w:val="685C6397"/>
    <w:rsid w:val="68C87588"/>
    <w:rsid w:val="68CC52CB"/>
    <w:rsid w:val="69430FB5"/>
    <w:rsid w:val="695232F6"/>
    <w:rsid w:val="695E1C9B"/>
    <w:rsid w:val="69AB1384"/>
    <w:rsid w:val="6A5C267E"/>
    <w:rsid w:val="6A883473"/>
    <w:rsid w:val="6A9F462D"/>
    <w:rsid w:val="6AD246EE"/>
    <w:rsid w:val="6BA83F7F"/>
    <w:rsid w:val="6C472EBA"/>
    <w:rsid w:val="6C615D2A"/>
    <w:rsid w:val="6D4A0EB4"/>
    <w:rsid w:val="6DD24183"/>
    <w:rsid w:val="6E1868BC"/>
    <w:rsid w:val="6E6A72C4"/>
    <w:rsid w:val="6EA168B2"/>
    <w:rsid w:val="6EED2394"/>
    <w:rsid w:val="6EF4132C"/>
    <w:rsid w:val="6F6C3363"/>
    <w:rsid w:val="6F767D3E"/>
    <w:rsid w:val="6F7D796B"/>
    <w:rsid w:val="6FDB4045"/>
    <w:rsid w:val="6FF62C2D"/>
    <w:rsid w:val="70730EA4"/>
    <w:rsid w:val="71665B90"/>
    <w:rsid w:val="717D7938"/>
    <w:rsid w:val="718F158B"/>
    <w:rsid w:val="71A072F4"/>
    <w:rsid w:val="726978D8"/>
    <w:rsid w:val="72C139C6"/>
    <w:rsid w:val="730438B3"/>
    <w:rsid w:val="7349576A"/>
    <w:rsid w:val="7439758C"/>
    <w:rsid w:val="74501C35"/>
    <w:rsid w:val="745A6283"/>
    <w:rsid w:val="7474174D"/>
    <w:rsid w:val="74EE0377"/>
    <w:rsid w:val="756E285F"/>
    <w:rsid w:val="75C13CDD"/>
    <w:rsid w:val="76092875"/>
    <w:rsid w:val="762A7AD4"/>
    <w:rsid w:val="764C17F9"/>
    <w:rsid w:val="76D90BB3"/>
    <w:rsid w:val="77882D05"/>
    <w:rsid w:val="77AE0291"/>
    <w:rsid w:val="77EB3293"/>
    <w:rsid w:val="785B3F75"/>
    <w:rsid w:val="78770683"/>
    <w:rsid w:val="78CE0BEB"/>
    <w:rsid w:val="79951709"/>
    <w:rsid w:val="79A17AC3"/>
    <w:rsid w:val="7A0423EA"/>
    <w:rsid w:val="7A965738"/>
    <w:rsid w:val="7B123402"/>
    <w:rsid w:val="7B2014A6"/>
    <w:rsid w:val="7B825CBD"/>
    <w:rsid w:val="7BA30EB1"/>
    <w:rsid w:val="7BD5403F"/>
    <w:rsid w:val="7BD77DB7"/>
    <w:rsid w:val="7C036DFE"/>
    <w:rsid w:val="7C556F2D"/>
    <w:rsid w:val="7CC3033B"/>
    <w:rsid w:val="7CEB1FF8"/>
    <w:rsid w:val="7D0C67E9"/>
    <w:rsid w:val="7D4B0C5F"/>
    <w:rsid w:val="7D9D293A"/>
    <w:rsid w:val="7E1D1CCD"/>
    <w:rsid w:val="7E2968C4"/>
    <w:rsid w:val="7E5A4CCF"/>
    <w:rsid w:val="7F3D43D5"/>
    <w:rsid w:val="7F6000C3"/>
    <w:rsid w:val="7F9D1317"/>
    <w:rsid w:val="7FF36FDE"/>
    <w:rsid w:val="EDF33D91"/>
    <w:rsid w:val="EE2B1E8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6">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qFormat/>
    <w:uiPriority w:val="1"/>
    <w:pPr>
      <w:autoSpaceDE w:val="0"/>
      <w:autoSpaceDN w:val="0"/>
      <w:jc w:val="left"/>
    </w:pPr>
    <w:rPr>
      <w:rFonts w:ascii="宋体" w:hAnsi="宋体"/>
      <w:kern w:val="0"/>
      <w:sz w:val="32"/>
      <w:szCs w:val="32"/>
      <w:lang w:val="zh-CN" w:bidi="zh-CN"/>
    </w:rPr>
  </w:style>
  <w:style w:type="paragraph" w:styleId="3">
    <w:name w:val="toc 5"/>
    <w:basedOn w:val="1"/>
    <w:next w:val="1"/>
    <w:qFormat/>
    <w:uiPriority w:val="0"/>
    <w:pPr>
      <w:ind w:left="1680" w:leftChars="800"/>
    </w:pPr>
  </w:style>
  <w:style w:type="paragraph" w:styleId="4">
    <w:name w:val="footer"/>
    <w:basedOn w:val="1"/>
    <w:link w:val="10"/>
    <w:qFormat/>
    <w:uiPriority w:val="0"/>
    <w:pPr>
      <w:tabs>
        <w:tab w:val="center" w:pos="4153"/>
        <w:tab w:val="right" w:pos="8306"/>
      </w:tabs>
      <w:snapToGrid w:val="0"/>
      <w:jc w:val="left"/>
    </w:pPr>
    <w:rPr>
      <w:sz w:val="18"/>
      <w:szCs w:val="18"/>
    </w:rPr>
  </w:style>
  <w:style w:type="paragraph" w:styleId="5">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9">
    <w:name w:val="页眉 字符"/>
    <w:basedOn w:val="6"/>
    <w:link w:val="5"/>
    <w:qFormat/>
    <w:uiPriority w:val="0"/>
    <w:rPr>
      <w:rFonts w:ascii="Calibri" w:hAnsi="Calibri" w:cs="宋体"/>
      <w:kern w:val="2"/>
      <w:sz w:val="18"/>
      <w:szCs w:val="18"/>
    </w:rPr>
  </w:style>
  <w:style w:type="character" w:customStyle="1" w:styleId="10">
    <w:name w:val="页脚 字符"/>
    <w:basedOn w:val="6"/>
    <w:link w:val="4"/>
    <w:qFormat/>
    <w:uiPriority w:val="0"/>
    <w:rPr>
      <w:rFonts w:ascii="Calibri" w:hAnsi="Calibri" w:cs="宋体"/>
      <w:kern w:val="2"/>
      <w:sz w:val="18"/>
      <w:szCs w:val="18"/>
    </w:rPr>
  </w:style>
  <w:style w:type="table" w:customStyle="1" w:styleId="11">
    <w:name w:val="Table Normal"/>
    <w:semiHidden/>
    <w:unhideWhenUsed/>
    <w:qFormat/>
    <w:uiPriority w:val="0"/>
    <w:tblPr>
      <w:tblLayout w:type="fixed"/>
      <w:tblCellMar>
        <w:top w:w="0" w:type="dxa"/>
        <w:left w:w="0" w:type="dxa"/>
        <w:bottom w:w="0" w:type="dxa"/>
        <w:right w:w="0" w:type="dxa"/>
      </w:tblCellMar>
    </w:tblPr>
  </w:style>
  <w:style w:type="paragraph" w:customStyle="1" w:styleId="12">
    <w:name w:val="Table Text"/>
    <w:basedOn w:val="1"/>
    <w:semiHidden/>
    <w:qFormat/>
    <w:uiPriority w:val="0"/>
    <w:rPr>
      <w:rFonts w:ascii="微软雅黑" w:hAnsi="微软雅黑" w:eastAsia="微软雅黑" w:cs="微软雅黑"/>
      <w:sz w:val="31"/>
      <w:szCs w:val="31"/>
      <w:lang w:eastAsia="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Pages>
  <Words>1555</Words>
  <Characters>1634</Characters>
  <Lines>81</Lines>
  <Paragraphs>45</Paragraphs>
  <TotalTime>37</TotalTime>
  <ScaleCrop>false</ScaleCrop>
  <LinksUpToDate>false</LinksUpToDate>
  <CharactersWithSpaces>3144</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2024-05-13T09:49:00Z</dcterms:created>
  <dc:creator>stardust</dc:creator>
  <cp:lastModifiedBy>冯宝宝</cp:lastModifiedBy>
  <cp:lastPrinted>2025-09-02T01:58:00Z</cp:lastPrinted>
  <dcterms:modified xsi:type="dcterms:W3CDTF">2025-09-17T02:24:34Z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y fmtid="{D5CDD505-2E9C-101B-9397-08002B2CF9AE}" pid="3" name="ICV">
    <vt:lpwstr>F9300C311D6B4B9AADED10091F1C229B_13</vt:lpwstr>
  </property>
  <property fmtid="{D5CDD505-2E9C-101B-9397-08002B2CF9AE}" pid="4" name="KSOTemplateDocerSaveRecord">
    <vt:lpwstr>eyJoZGlkIjoiNjZhMTM5M2ZjYzg4ZWMzZTg0ZWU0MTljYTM0YzlkOWQiLCJ1c2VySWQiOiI0MjgwMTAzNTQifQ==</vt:lpwstr>
  </property>
</Properties>
</file>