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EDF79">
      <w:pPr>
        <w:spacing w:line="590" w:lineRule="exact"/>
        <w:rPr>
          <w:rFonts w:ascii="仿宋_GB2312" w:hAnsi="仿宋" w:eastAsia="仿宋_GB2312" w:cs="仿宋"/>
          <w:sz w:val="32"/>
          <w:szCs w:val="32"/>
        </w:rPr>
      </w:pPr>
    </w:p>
    <w:p w14:paraId="61CBDE8B">
      <w:pPr>
        <w:spacing w:line="590" w:lineRule="exact"/>
        <w:jc w:val="center"/>
        <w:rPr>
          <w:rFonts w:ascii="方正小标宋简体" w:hAnsi="方正小标宋简体" w:eastAsia="方正小标宋简体" w:cs="方正小标宋简体"/>
          <w:b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/>
          <w:sz w:val="40"/>
          <w:szCs w:val="40"/>
          <w:lang w:val="en-US" w:eastAsia="zh-CN"/>
        </w:rPr>
        <w:t>东流镇</w:t>
      </w:r>
      <w:r>
        <w:rPr>
          <w:rFonts w:hint="eastAsia" w:ascii="方正小标宋简体" w:hAnsi="方正小标宋简体" w:eastAsia="方正小标宋简体" w:cs="方正小标宋简体"/>
          <w:b/>
          <w:sz w:val="40"/>
          <w:szCs w:val="40"/>
        </w:rPr>
        <w:t>人民政府202</w:t>
      </w:r>
      <w:r>
        <w:rPr>
          <w:rFonts w:ascii="方正小标宋简体" w:hAnsi="方正小标宋简体" w:eastAsia="方正小标宋简体" w:cs="方正小标宋简体"/>
          <w:b/>
          <w:sz w:val="40"/>
          <w:szCs w:val="40"/>
        </w:rPr>
        <w:t>4</w:t>
      </w:r>
      <w:r>
        <w:rPr>
          <w:rFonts w:hint="eastAsia" w:ascii="方正小标宋简体" w:hAnsi="方正小标宋简体" w:eastAsia="方正小标宋简体" w:cs="方正小标宋简体"/>
          <w:b/>
          <w:sz w:val="40"/>
          <w:szCs w:val="40"/>
        </w:rPr>
        <w:t>年政府信息</w:t>
      </w:r>
    </w:p>
    <w:p w14:paraId="17F9F777">
      <w:pPr>
        <w:spacing w:line="590" w:lineRule="exact"/>
        <w:jc w:val="center"/>
        <w:rPr>
          <w:rFonts w:ascii="方正小标宋简体" w:hAnsi="方正小标宋简体" w:eastAsia="方正小标宋简体" w:cs="方正小标宋简体"/>
          <w:b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/>
          <w:sz w:val="40"/>
          <w:szCs w:val="40"/>
        </w:rPr>
        <w:t>公开工作年度报告</w:t>
      </w:r>
    </w:p>
    <w:p w14:paraId="1B24F749">
      <w:pPr>
        <w:spacing w:line="590" w:lineRule="exact"/>
        <w:rPr>
          <w:rFonts w:ascii="方正小标宋简体" w:hAnsi="仿宋" w:eastAsia="方正小标宋简体" w:cs="仿宋"/>
          <w:sz w:val="36"/>
          <w:szCs w:val="36"/>
        </w:rPr>
      </w:pPr>
    </w:p>
    <w:p w14:paraId="27AB7EF6">
      <w:pPr>
        <w:spacing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本报告依据《中华人民共和国政府信息公开条例》（国务院令第711号）和《国务院办公厅政府信息与政务公开办公室关于印发&lt;中华人民共和国政府信息公开工作年度报告格式&gt;的通知》（国办公开办函〔2021〕30号）要求，结合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东流镇</w:t>
      </w:r>
      <w:r>
        <w:rPr>
          <w:rFonts w:hint="eastAsia" w:ascii="仿宋_GB2312" w:hAnsi="仿宋" w:eastAsia="仿宋_GB2312" w:cs="Times New Roman"/>
          <w:sz w:val="32"/>
          <w:szCs w:val="32"/>
        </w:rPr>
        <w:t>人民政府202</w:t>
      </w:r>
      <w:r>
        <w:rPr>
          <w:rFonts w:ascii="仿宋_GB2312" w:hAnsi="仿宋" w:eastAsia="仿宋_GB2312" w:cs="Times New Roman"/>
          <w:sz w:val="32"/>
          <w:szCs w:val="32"/>
        </w:rPr>
        <w:t>4</w:t>
      </w:r>
      <w:r>
        <w:rPr>
          <w:rFonts w:hint="eastAsia" w:ascii="仿宋_GB2312" w:hAnsi="仿宋" w:eastAsia="仿宋_GB2312" w:cs="Times New Roman"/>
          <w:sz w:val="32"/>
          <w:szCs w:val="32"/>
        </w:rPr>
        <w:t>年政府信息公开工作编制而成。本报告中使用数据统计期限为202</w:t>
      </w:r>
      <w:r>
        <w:rPr>
          <w:rFonts w:ascii="仿宋_GB2312" w:hAnsi="仿宋" w:eastAsia="仿宋_GB2312" w:cs="Times New Roman"/>
          <w:sz w:val="32"/>
          <w:szCs w:val="32"/>
        </w:rPr>
        <w:t>4</w:t>
      </w:r>
      <w:r>
        <w:rPr>
          <w:rFonts w:hint="eastAsia" w:ascii="仿宋_GB2312" w:hAnsi="仿宋" w:eastAsia="仿宋_GB2312" w:cs="Times New Roman"/>
          <w:sz w:val="32"/>
          <w:szCs w:val="32"/>
        </w:rPr>
        <w:t>年1月1日至12月31日。</w:t>
      </w:r>
      <w:r>
        <w:rPr>
          <w:rFonts w:ascii="仿宋_GB2312" w:hAnsi="仿宋" w:eastAsia="仿宋_GB2312" w:cs="Times New Roman"/>
          <w:sz w:val="32"/>
          <w:szCs w:val="32"/>
        </w:rPr>
        <w:t>如对本报告有任何疑问</w:t>
      </w:r>
      <w:r>
        <w:rPr>
          <w:rFonts w:hint="eastAsia" w:ascii="仿宋_GB2312" w:hAnsi="仿宋" w:eastAsia="仿宋_GB2312" w:cs="Times New Roman"/>
          <w:sz w:val="32"/>
          <w:szCs w:val="32"/>
        </w:rPr>
        <w:t>，请与东流镇人民政府办公室联系（地址：东至县东流镇泉东路711号，邮编：247210，电话：0566-8121063，传真：0566-8124100）</w:t>
      </w:r>
      <w:r>
        <w:rPr>
          <w:rFonts w:hint="eastAsia" w:ascii="仿宋_GB2312" w:hAnsi="仿宋" w:eastAsia="仿宋_GB2312" w:cs="Times New Roman"/>
          <w:sz w:val="32"/>
          <w:szCs w:val="32"/>
          <w:lang w:eastAsia="zh-CN"/>
        </w:rPr>
        <w:t>。</w:t>
      </w:r>
    </w:p>
    <w:p w14:paraId="32C630A4">
      <w:pPr>
        <w:spacing w:line="590" w:lineRule="exact"/>
        <w:ind w:firstLine="640" w:firstLineChars="20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一、总体情况</w:t>
      </w:r>
    </w:p>
    <w:p w14:paraId="668D6A10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202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仿宋_GB2312" w:hAnsi="仿宋" w:eastAsia="仿宋_GB2312" w:cs="Times New Roman"/>
          <w:sz w:val="32"/>
          <w:szCs w:val="32"/>
        </w:rPr>
        <w:t>年，东流镇认真落实省、市、县关于政务公开工作的各项决策部署，切实履行政务信息公开各项工作职责，不断提升政府信息公开工作效率和服务质量，助力经济发展和社会进步。</w:t>
      </w:r>
    </w:p>
    <w:p w14:paraId="786E33B9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（一）主动公开</w:t>
      </w:r>
    </w:p>
    <w:p w14:paraId="6345CE76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  <w:highlight w:val="none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一是</w:t>
      </w:r>
      <w:r>
        <w:rPr>
          <w:rFonts w:hint="eastAsia" w:ascii="仿宋_GB2312" w:hAnsi="仿宋" w:eastAsia="仿宋_GB2312" w:cs="Times New Roman"/>
          <w:sz w:val="32"/>
          <w:szCs w:val="32"/>
        </w:rPr>
        <w:t>围绕年度政务公开重点工作，依照目录规范要求，设置政策文件、决策公开、财政专项资金等88个一级目录，202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仿宋_GB2312" w:hAnsi="仿宋" w:eastAsia="仿宋_GB2312" w:cs="Times New Roman"/>
          <w:sz w:val="32"/>
          <w:szCs w:val="32"/>
        </w:rPr>
        <w:t>年主动公开各类政府信息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1048</w:t>
      </w:r>
      <w:r>
        <w:rPr>
          <w:rFonts w:hint="eastAsia" w:ascii="仿宋_GB2312" w:hAnsi="仿宋" w:eastAsia="仿宋_GB2312" w:cs="Times New Roman"/>
          <w:sz w:val="32"/>
          <w:szCs w:val="32"/>
        </w:rPr>
        <w:t>条，其中财政专项资金相关信息发布14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仿宋" w:eastAsia="仿宋_GB2312" w:cs="Times New Roman"/>
          <w:sz w:val="32"/>
          <w:szCs w:val="32"/>
        </w:rPr>
        <w:t>条，公共资源交易领域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10</w:t>
      </w:r>
      <w:r>
        <w:rPr>
          <w:rFonts w:hint="eastAsia" w:ascii="仿宋_GB2312" w:hAnsi="仿宋" w:eastAsia="仿宋_GB2312" w:cs="Times New Roman"/>
          <w:sz w:val="32"/>
          <w:szCs w:val="32"/>
        </w:rPr>
        <w:t>条，扶贫领域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26</w:t>
      </w:r>
      <w:r>
        <w:rPr>
          <w:rFonts w:hint="eastAsia" w:ascii="仿宋_GB2312" w:hAnsi="仿宋" w:eastAsia="仿宋_GB2312" w:cs="Times New Roman"/>
          <w:sz w:val="32"/>
          <w:szCs w:val="32"/>
        </w:rPr>
        <w:t>条，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就业创业领域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94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条，社会救助领域11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条。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二是积极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回应群众关切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主动释疑解惑，发布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农业补贴、医疗卫生、教育等信息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266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公开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就业创业、乡村振兴、民生实事等信息1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条。通过文字、动画、图片、视频解读等方式公开政策信息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条。</w:t>
      </w:r>
    </w:p>
    <w:p w14:paraId="2BF35757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  <w:highlight w:val="none"/>
        </w:rPr>
      </w:pP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（二）依申请公开</w:t>
      </w:r>
    </w:p>
    <w:p w14:paraId="45446983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进一步规范依申请公开各个环节的办理流程，参加全县依申请公开工作学习培训，2024年度，我镇收到1条政府信息公开申请，申请方式为网上提交，已按时办结，全年没有发生因政府信息公开引起的行政复议和行政诉讼。</w:t>
      </w:r>
    </w:p>
    <w:p w14:paraId="615693B0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（三）政府信息管理</w:t>
      </w:r>
    </w:p>
    <w:p w14:paraId="13F290C8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  <w:highlight w:val="none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严格落实信息公开“三审”制度，不断完善政府信息公开管理机制，着力提升信息公开质效</w:t>
      </w:r>
      <w:r>
        <w:rPr>
          <w:rFonts w:hint="eastAsia" w:ascii="仿宋_GB2312" w:hAnsi="仿宋" w:eastAsia="仿宋_GB2312" w:cs="Times New Roman"/>
          <w:sz w:val="32"/>
          <w:szCs w:val="32"/>
          <w:lang w:eastAsia="zh-CN"/>
        </w:rPr>
        <w:t>，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强化信息发布保密核查，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清理无效历史信息310条</w:t>
      </w:r>
      <w:r>
        <w:rPr>
          <w:rFonts w:hint="eastAsia" w:ascii="仿宋_GB2312" w:hAnsi="仿宋" w:eastAsia="仿宋_GB2312" w:cs="Times New Roman"/>
          <w:sz w:val="32"/>
          <w:szCs w:val="32"/>
        </w:rPr>
        <w:t>。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梳理</w:t>
      </w:r>
      <w:r>
        <w:rPr>
          <w:rFonts w:hint="eastAsia" w:ascii="仿宋_GB2312" w:hAnsi="仿宋" w:eastAsia="仿宋_GB2312" w:cs="Times New Roman"/>
          <w:sz w:val="32"/>
          <w:szCs w:val="32"/>
        </w:rPr>
        <w:t>现行有效文件和规划文件及时纳入全县政策文件库，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2024年未发布</w:t>
      </w:r>
      <w:r>
        <w:rPr>
          <w:rFonts w:hint="eastAsia" w:ascii="仿宋_GB2312" w:hAnsi="仿宋" w:eastAsia="仿宋_GB2312" w:cs="Times New Roman"/>
          <w:sz w:val="32"/>
          <w:szCs w:val="32"/>
        </w:rPr>
        <w:t>现行有效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行政</w:t>
      </w:r>
      <w:r>
        <w:rPr>
          <w:rFonts w:hint="eastAsia" w:ascii="仿宋_GB2312" w:hAnsi="仿宋" w:eastAsia="仿宋_GB2312" w:cs="Times New Roman"/>
          <w:sz w:val="32"/>
          <w:szCs w:val="32"/>
        </w:rPr>
        <w:t>规范性文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件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发布政策文件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个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规划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" w:eastAsia="仿宋_GB2312" w:cs="Times New Roman"/>
          <w:sz w:val="32"/>
          <w:szCs w:val="32"/>
          <w:highlight w:val="none"/>
        </w:rPr>
        <w:t>条。</w:t>
      </w:r>
    </w:p>
    <w:p w14:paraId="1262A764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（四）政府信息公开平台建设</w:t>
      </w:r>
    </w:p>
    <w:p w14:paraId="15FB882C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一是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健全完善法定</w:t>
      </w:r>
      <w:r>
        <w:rPr>
          <w:rFonts w:hint="eastAsia" w:ascii="仿宋_GB2312" w:hAnsi="仿宋" w:eastAsia="仿宋_GB2312" w:cs="Times New Roman"/>
          <w:sz w:val="32"/>
          <w:szCs w:val="32"/>
        </w:rPr>
        <w:t>主动公开栏目，确保内容准确、及时更新，杜绝错链、断链和内容混杂。二是使用好“古镇东流”微信公众号，及</w:t>
      </w:r>
      <w:r>
        <w:rPr>
          <w:rFonts w:hint="eastAsia" w:ascii="仿宋_GB2312" w:hAnsi="仿宋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时推送公开党委政府工作动态、政务信息以及各种惠民政策。截至202</w:t>
      </w:r>
      <w:r>
        <w:rPr>
          <w:rFonts w:hint="eastAsia" w:ascii="仿宋_GB2312" w:hAnsi="仿宋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年12月31日，“古镇东流”公众号关注人数达3131人，累计发布文章公众号</w:t>
      </w:r>
      <w:r>
        <w:rPr>
          <w:rFonts w:hint="eastAsia" w:ascii="仿宋_GB2312" w:hAnsi="仿宋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611</w:t>
      </w:r>
      <w:r>
        <w:rPr>
          <w:rFonts w:hint="eastAsia" w:ascii="仿宋_GB2312" w:hAnsi="仿宋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篇，确保政务公开高效运行。三是继续通过公示栏、LED显示屏、微信群等形式公开民生信息，确保各政务公开信息及时更新，做到信息公开透明化、规</w:t>
      </w:r>
      <w:r>
        <w:rPr>
          <w:rFonts w:hint="eastAsia" w:ascii="仿宋_GB2312" w:hAnsi="仿宋" w:eastAsia="仿宋_GB2312" w:cs="Times New Roman"/>
          <w:sz w:val="32"/>
          <w:szCs w:val="32"/>
        </w:rPr>
        <w:t>范化。</w:t>
      </w:r>
    </w:p>
    <w:p w14:paraId="3B484A40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（五）监督保障</w:t>
      </w:r>
    </w:p>
    <w:p w14:paraId="57DABA2E">
      <w:pPr>
        <w:spacing w:after="156" w:afterLines="50" w:line="59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发挥效能考核“指挥棒”功效，加大政务公开督查力度，及时对各村（社区）政务公开工作进行检查，并将考核结果作为年度考核、个人评先评优的依据之一。按照《202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仿宋_GB2312" w:hAnsi="仿宋" w:eastAsia="仿宋_GB2312" w:cs="Times New Roman"/>
          <w:sz w:val="32"/>
          <w:szCs w:val="32"/>
        </w:rPr>
        <w:t>年东至县政务公开重点工作任务分工表》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做</w:t>
      </w:r>
      <w:r>
        <w:rPr>
          <w:rFonts w:hint="eastAsia" w:ascii="仿宋_GB2312" w:hAnsi="仿宋" w:eastAsia="仿宋_GB2312" w:cs="Times New Roman"/>
          <w:sz w:val="32"/>
          <w:szCs w:val="32"/>
        </w:rPr>
        <w:t>任务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分解</w:t>
      </w:r>
      <w:r>
        <w:rPr>
          <w:rFonts w:hint="eastAsia" w:ascii="仿宋_GB2312" w:hAnsi="仿宋" w:eastAsia="仿宋_GB2312" w:cs="Times New Roman"/>
          <w:sz w:val="32"/>
          <w:szCs w:val="32"/>
        </w:rPr>
        <w:t>，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责任到岗，</w:t>
      </w:r>
      <w:r>
        <w:rPr>
          <w:rFonts w:hint="eastAsia" w:ascii="仿宋_GB2312" w:hAnsi="仿宋" w:eastAsia="仿宋_GB2312" w:cs="Times New Roman"/>
          <w:sz w:val="32"/>
          <w:szCs w:val="32"/>
        </w:rPr>
        <w:t>对安全生产、乡村振兴、优化营商环境等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重点工作</w:t>
      </w:r>
      <w:r>
        <w:rPr>
          <w:rFonts w:hint="eastAsia" w:ascii="仿宋_GB2312" w:hAnsi="仿宋" w:eastAsia="仿宋_GB2312" w:cs="Times New Roman"/>
          <w:sz w:val="32"/>
          <w:szCs w:val="32"/>
        </w:rPr>
        <w:t>加大信息更新力度，做到各项政务信息有序公开。以高度的政治自觉主动接受社会监督，通过设置意见箱、网上留言、当面提交等方式，了解公众需求，征集公众对政务公开工作的意见建议，并针对指出的问题逐项核查、整改落实。社会公众对我单位社会评议结果良好。全年未发生政务公开责任追究事件。</w:t>
      </w:r>
    </w:p>
    <w:p w14:paraId="75BE24EA">
      <w:pPr>
        <w:spacing w:after="156" w:afterLines="50" w:line="590" w:lineRule="exact"/>
        <w:ind w:firstLine="640" w:firstLineChars="20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二、主动公开政府信息情况</w:t>
      </w:r>
    </w:p>
    <w:tbl>
      <w:tblPr>
        <w:tblStyle w:val="4"/>
        <w:tblW w:w="9356" w:type="dxa"/>
        <w:jc w:val="center"/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38"/>
        <w:gridCol w:w="2339"/>
        <w:gridCol w:w="2339"/>
        <w:gridCol w:w="2340"/>
      </w:tblGrid>
      <w:tr w14:paraId="60F85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9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0C570D8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第二十条第（一）项</w:t>
            </w:r>
          </w:p>
        </w:tc>
      </w:tr>
      <w:tr w14:paraId="43784704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E061FEF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2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BE0F87B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本年</w:t>
            </w: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制发件数</w:t>
            </w:r>
          </w:p>
        </w:tc>
        <w:tc>
          <w:tcPr>
            <w:tcW w:w="2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6F748B1F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本年废止件数</w:t>
            </w:r>
          </w:p>
        </w:tc>
        <w:tc>
          <w:tcPr>
            <w:tcW w:w="24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0D00545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现行有效件</w:t>
            </w: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数</w:t>
            </w:r>
          </w:p>
        </w:tc>
      </w:tr>
      <w:tr w14:paraId="7B82C4F6"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4D457E3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规          章</w:t>
            </w:r>
          </w:p>
        </w:tc>
        <w:tc>
          <w:tcPr>
            <w:tcW w:w="2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54431D8F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0</w:t>
            </w:r>
          </w:p>
        </w:tc>
        <w:tc>
          <w:tcPr>
            <w:tcW w:w="2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BCB8C2C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0</w:t>
            </w:r>
          </w:p>
        </w:tc>
        <w:tc>
          <w:tcPr>
            <w:tcW w:w="24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3A425640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</w:rPr>
              <w:t>0</w:t>
            </w:r>
          </w:p>
        </w:tc>
      </w:tr>
      <w:tr w14:paraId="2ED562EB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29D5F35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行政规范性文件</w:t>
            </w:r>
          </w:p>
        </w:tc>
        <w:tc>
          <w:tcPr>
            <w:tcW w:w="2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0E8DCD3F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4138C94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74B9C31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  <w:tr w14:paraId="2B5FBF56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9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6CF13826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第二十条第（五）项</w:t>
            </w:r>
          </w:p>
        </w:tc>
      </w:tr>
      <w:tr w14:paraId="3822A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A685F7A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DFCF5EA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本年处理决定数量</w:t>
            </w:r>
          </w:p>
        </w:tc>
      </w:tr>
      <w:tr w14:paraId="4FDA20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857BCD8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行政许可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791A947D">
            <w:pPr>
              <w:widowControl/>
              <w:jc w:val="center"/>
              <w:rPr>
                <w:rFonts w:hint="default" w:cs="Times New Roman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13</w:t>
            </w:r>
          </w:p>
        </w:tc>
      </w:tr>
      <w:tr w14:paraId="195A86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9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3C5E3D9D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第二十条第（六）项</w:t>
            </w:r>
          </w:p>
        </w:tc>
      </w:tr>
      <w:tr w14:paraId="2263EF1F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CE1C220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450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2922F95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本年处理决定数量</w:t>
            </w:r>
          </w:p>
        </w:tc>
      </w:tr>
      <w:tr w14:paraId="50AE8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CBEF5A4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行政处罚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2931D43E">
            <w:pPr>
              <w:widowControl/>
              <w:jc w:val="center"/>
              <w:rPr>
                <w:rFonts w:hint="default" w:cs="Times New Roman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27</w:t>
            </w:r>
          </w:p>
        </w:tc>
      </w:tr>
      <w:tr w14:paraId="4FF66984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D0D8797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行政强制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67E286B8">
            <w:pPr>
              <w:widowControl/>
              <w:jc w:val="center"/>
              <w:rPr>
                <w:rFonts w:hint="default" w:cs="Times New Roman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10</w:t>
            </w:r>
          </w:p>
        </w:tc>
      </w:tr>
      <w:tr w14:paraId="1CB30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9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AE01799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第二十条第（八）项</w:t>
            </w:r>
          </w:p>
        </w:tc>
      </w:tr>
      <w:tr w14:paraId="3F773197"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9AA57BA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信息内容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1D423DA6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本年收费金额（单位：万元）</w:t>
            </w:r>
          </w:p>
        </w:tc>
      </w:tr>
      <w:tr w14:paraId="55F439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4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440BB311">
            <w:pPr>
              <w:widowControl/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行政事业性收费</w:t>
            </w:r>
          </w:p>
        </w:tc>
        <w:tc>
          <w:tcPr>
            <w:tcW w:w="745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14:paraId="0682A446">
            <w:pPr>
              <w:jc w:val="center"/>
              <w:rPr>
                <w:rFonts w:cs="Times New Roman" w:asciiTheme="minorEastAsia" w:hAnsiTheme="minorEastAsia"/>
                <w:sz w:val="24"/>
                <w:szCs w:val="24"/>
              </w:rPr>
            </w:pPr>
          </w:p>
        </w:tc>
      </w:tr>
    </w:tbl>
    <w:p w14:paraId="2F7789E8">
      <w:pPr>
        <w:spacing w:before="156" w:beforeLines="50" w:after="156" w:afterLines="50" w:line="600" w:lineRule="exact"/>
        <w:ind w:firstLine="640" w:firstLineChars="20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三、收到和处理政府信息公开申请情况</w:t>
      </w:r>
    </w:p>
    <w:tbl>
      <w:tblPr>
        <w:tblStyle w:val="4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930"/>
        <w:gridCol w:w="3002"/>
        <w:gridCol w:w="659"/>
        <w:gridCol w:w="668"/>
        <w:gridCol w:w="668"/>
        <w:gridCol w:w="668"/>
        <w:gridCol w:w="668"/>
        <w:gridCol w:w="670"/>
        <w:gridCol w:w="671"/>
      </w:tblGrid>
      <w:tr w14:paraId="4E971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  <w:jc w:val="center"/>
        </w:trPr>
        <w:tc>
          <w:tcPr>
            <w:tcW w:w="4684" w:type="dxa"/>
            <w:gridSpan w:val="3"/>
            <w:vMerge w:val="restart"/>
            <w:tcMar>
              <w:left w:w="108" w:type="dxa"/>
              <w:right w:w="108" w:type="dxa"/>
            </w:tcMar>
            <w:vAlign w:val="center"/>
          </w:tcPr>
          <w:p w14:paraId="108EF382">
            <w:pPr>
              <w:widowControl/>
              <w:spacing w:line="30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（本列数据的勾稽关系为：第一项加第二项之和，等于第三项加第四项之和）</w:t>
            </w:r>
          </w:p>
        </w:tc>
        <w:tc>
          <w:tcPr>
            <w:tcW w:w="4672" w:type="dxa"/>
            <w:gridSpan w:val="7"/>
            <w:tcMar>
              <w:left w:w="57" w:type="dxa"/>
              <w:right w:w="57" w:type="dxa"/>
            </w:tcMar>
            <w:vAlign w:val="center"/>
          </w:tcPr>
          <w:p w14:paraId="18E4580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申请人情况</w:t>
            </w:r>
          </w:p>
        </w:tc>
      </w:tr>
      <w:tr w14:paraId="064D6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 w:hRule="atLeast"/>
          <w:jc w:val="center"/>
        </w:trPr>
        <w:tc>
          <w:tcPr>
            <w:tcW w:w="4684" w:type="dxa"/>
            <w:gridSpan w:val="3"/>
            <w:vMerge w:val="continue"/>
            <w:tcMar>
              <w:left w:w="108" w:type="dxa"/>
              <w:right w:w="108" w:type="dxa"/>
            </w:tcMar>
            <w:vAlign w:val="center"/>
          </w:tcPr>
          <w:p w14:paraId="46E3707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59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4C08DC5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自然人</w:t>
            </w:r>
          </w:p>
        </w:tc>
        <w:tc>
          <w:tcPr>
            <w:tcW w:w="3342" w:type="dxa"/>
            <w:gridSpan w:val="5"/>
            <w:tcMar>
              <w:left w:w="108" w:type="dxa"/>
              <w:right w:w="108" w:type="dxa"/>
            </w:tcMar>
            <w:vAlign w:val="center"/>
          </w:tcPr>
          <w:p w14:paraId="64C01CA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法人或其他组织</w:t>
            </w:r>
          </w:p>
        </w:tc>
        <w:tc>
          <w:tcPr>
            <w:tcW w:w="671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1C086CA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总计</w:t>
            </w:r>
          </w:p>
        </w:tc>
      </w:tr>
      <w:tr w14:paraId="53F02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4684" w:type="dxa"/>
            <w:gridSpan w:val="3"/>
            <w:vMerge w:val="continue"/>
            <w:tcMar>
              <w:left w:w="108" w:type="dxa"/>
              <w:right w:w="108" w:type="dxa"/>
            </w:tcMar>
            <w:vAlign w:val="center"/>
          </w:tcPr>
          <w:p w14:paraId="265B5993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59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57F748C">
            <w:pPr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68" w:type="dxa"/>
            <w:tcMar>
              <w:left w:w="108" w:type="dxa"/>
              <w:right w:w="108" w:type="dxa"/>
            </w:tcMar>
            <w:vAlign w:val="center"/>
          </w:tcPr>
          <w:p w14:paraId="4C173F5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商业</w:t>
            </w:r>
          </w:p>
          <w:p w14:paraId="15FB4AC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企业</w:t>
            </w:r>
          </w:p>
        </w:tc>
        <w:tc>
          <w:tcPr>
            <w:tcW w:w="668" w:type="dxa"/>
            <w:tcMar>
              <w:left w:w="108" w:type="dxa"/>
              <w:right w:w="108" w:type="dxa"/>
            </w:tcMar>
            <w:vAlign w:val="center"/>
          </w:tcPr>
          <w:p w14:paraId="3839E6E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科研</w:t>
            </w:r>
          </w:p>
          <w:p w14:paraId="2AC4D3B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机构</w:t>
            </w:r>
          </w:p>
        </w:tc>
        <w:tc>
          <w:tcPr>
            <w:tcW w:w="668" w:type="dxa"/>
            <w:tcMar>
              <w:left w:w="108" w:type="dxa"/>
              <w:right w:w="108" w:type="dxa"/>
            </w:tcMar>
            <w:vAlign w:val="center"/>
          </w:tcPr>
          <w:p w14:paraId="2930921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社会公益组织</w:t>
            </w:r>
          </w:p>
        </w:tc>
        <w:tc>
          <w:tcPr>
            <w:tcW w:w="668" w:type="dxa"/>
            <w:tcMar>
              <w:left w:w="108" w:type="dxa"/>
              <w:right w:w="108" w:type="dxa"/>
            </w:tcMar>
            <w:vAlign w:val="center"/>
          </w:tcPr>
          <w:p w14:paraId="1F2DCE0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法律服务机构</w:t>
            </w:r>
          </w:p>
        </w:tc>
        <w:tc>
          <w:tcPr>
            <w:tcW w:w="670" w:type="dxa"/>
            <w:tcMar>
              <w:left w:w="108" w:type="dxa"/>
              <w:right w:w="108" w:type="dxa"/>
            </w:tcMar>
            <w:vAlign w:val="center"/>
          </w:tcPr>
          <w:p w14:paraId="495AD34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其他</w:t>
            </w:r>
          </w:p>
        </w:tc>
        <w:tc>
          <w:tcPr>
            <w:tcW w:w="671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34322A10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13B27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4684" w:type="dxa"/>
            <w:gridSpan w:val="3"/>
            <w:tcMar>
              <w:left w:w="57" w:type="dxa"/>
              <w:right w:w="57" w:type="dxa"/>
            </w:tcMar>
            <w:vAlign w:val="center"/>
          </w:tcPr>
          <w:p w14:paraId="044046D9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一、本年新收政府信息公开申请数量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29D5255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FFE0FA1">
            <w:pPr>
              <w:widowControl/>
              <w:spacing w:line="300" w:lineRule="exact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2D08D3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4189EBF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C9D2833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1B83CECC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21B9354C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</w:tr>
      <w:tr w14:paraId="706ED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4684" w:type="dxa"/>
            <w:gridSpan w:val="3"/>
            <w:tcMar>
              <w:left w:w="57" w:type="dxa"/>
              <w:right w:w="57" w:type="dxa"/>
            </w:tcMar>
            <w:vAlign w:val="center"/>
          </w:tcPr>
          <w:p w14:paraId="28493B0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2DD0E84C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32366AF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67BE1E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2F1A035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47DE843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007B6B8C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3B559050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716F6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0BAA1C5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三、本年度办理结果</w:t>
            </w:r>
          </w:p>
        </w:tc>
        <w:tc>
          <w:tcPr>
            <w:tcW w:w="3932" w:type="dxa"/>
            <w:gridSpan w:val="2"/>
            <w:tcMar>
              <w:left w:w="57" w:type="dxa"/>
              <w:right w:w="57" w:type="dxa"/>
            </w:tcMar>
            <w:vAlign w:val="center"/>
          </w:tcPr>
          <w:p w14:paraId="13A8737D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（一）予以公开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1AC3972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518D314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BAF3995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7ECB2F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7863BF4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7E4EBC33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349EC47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330FA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7F9235AF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932" w:type="dxa"/>
            <w:gridSpan w:val="2"/>
            <w:tcMar>
              <w:left w:w="57" w:type="dxa"/>
              <w:right w:w="57" w:type="dxa"/>
            </w:tcMar>
            <w:vAlign w:val="center"/>
          </w:tcPr>
          <w:p w14:paraId="1451035B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（二）部分公开</w:t>
            </w:r>
            <w:r>
              <w:rPr>
                <w:rFonts w:hint="eastAsia" w:cs="楷体" w:asciiTheme="minorEastAsia" w:hAnsiTheme="minorEastAsia"/>
                <w:kern w:val="0"/>
                <w:szCs w:val="21"/>
              </w:rPr>
              <w:t>（区分处理的，只计这一情形，不计其他情形）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70727E6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BA8AD2A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5244BD2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0BC620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C87F32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72B0A3A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A767FF7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62B32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1A58AEE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1E071D5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（三）不予公开</w:t>
            </w: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42BFF7B7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1.属于国家秘密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50DE41C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A5841AE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4F1876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D1CE704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9B65EAF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0CE3E1A6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113267E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7E09C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599666D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7D047C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0CDBC067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2.其他法律行政法规禁止公开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32BF87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1E5F14A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5D2A59E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BD439D1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82E943D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7119500A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1F14340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436F4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9E1FAEC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C2EB1DD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3D5E2C0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3.危及“三安全一稳定”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C95085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61286A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EDA636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F18BD9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79E5EF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2326A02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07786C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7FA5B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3E6CBEF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91437C2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6FE0274E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4.保护第三方合法权益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4935FA57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E9A19F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A053BF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9905A6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B9DF99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104E568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6185EC5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29AF1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E302B52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AB6B29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5470B85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5.属于三类内部事务信息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A67279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7F0064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78BDC6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46741E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B5C4F9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0C08E45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1D457FE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740D6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ED0B43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6D0C64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52259DF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6.属于四类过程性信息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79E6488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9A0A8C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096562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E02C99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5FF27B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2B2816C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385D60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01D82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5AF055C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B3E500E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5577C35E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7.属于行政执法案卷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1438F69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ADEAFB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E229B9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F936A3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1F4F98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243A931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4F70EB6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4BB41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DE9005E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450956D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72321E24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8.属于行政查询事项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AEFDA6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9ED39E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D602E5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7A81A6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42BB7D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7416EE1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0EBD2E0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6F3E1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B65AEE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6C868A74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（四）无法提供</w:t>
            </w: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6D7F995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1.本机关不掌握相关政府信息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793B0D7E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8991AF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73CB12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39F918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1C34EC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3D0E948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44D54EF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31DC3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C53374E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11E90E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08AAC86E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2.没有现成信息需要另行制作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1FA6DFC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98EEAE7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B4D9B7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8B1EF0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01A544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3983CF8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386FDA2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3901A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2F96227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28B2FD7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76084EB2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3.补正后申请内容仍不明确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745DAE7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7F64A4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8A01EB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C6EC827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9BE4DC7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15E10AD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38101A1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52F29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000F6BB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3D2EDB1B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（五）不予处理</w:t>
            </w: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0E325152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1.信访举报投诉类申请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085793A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AF1ED0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2D639C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481CA3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54EC28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530E65A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1ACA7BD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18E90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83B30A4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2EEB8A7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538A9CD1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2.重复申请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4FAF74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6BDF97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7E35CE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EB085D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6712F1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10DC520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FC885A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223EA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187E0CB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0FC09FC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39CE3BC7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3.要求提供公开出版物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12384E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FDAEC6E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CB130B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442274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8C922C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2EA61BB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655B033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6E866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C4EACD6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9EB4188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5241FD1A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4.无正当理由大量反复申请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958B35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B86626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5A60EC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51A057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3829F6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2FFF785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0999556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569E2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4DFA55D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96BD8A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1796683C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6E1D30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FA8F67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67C26D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FBDF4C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BE828C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610DDCC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805195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2F1DE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D77CDD5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1E7FB5B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（六）其他处理</w:t>
            </w: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339AB84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1.申请人无正当理由逾期不补正、行政机关不再处理其政府信息公开申请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25D6B53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337EBF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F2883A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05F685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1C5E7F1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0B7E563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6A75541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17539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F85B108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B28EB8A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6022D312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2.申请人逾期未按收费通知要求缴纳费用、行政机关不再处理其政府信息公开申请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5177579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24C0259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359E585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31521C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D60D5B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6BBEE33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3179556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57E92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A6312E2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30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4C11298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002" w:type="dxa"/>
            <w:tcMar>
              <w:left w:w="57" w:type="dxa"/>
              <w:right w:w="57" w:type="dxa"/>
            </w:tcMar>
            <w:vAlign w:val="center"/>
          </w:tcPr>
          <w:p w14:paraId="46313F66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3.其他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1FFE457E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54E614C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473C490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69ECFC5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98AFF1A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0D16F67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D50F21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  <w:tr w14:paraId="42F3A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752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4D5004D">
            <w:pPr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932" w:type="dxa"/>
            <w:gridSpan w:val="2"/>
            <w:tcMar>
              <w:left w:w="57" w:type="dxa"/>
              <w:right w:w="57" w:type="dxa"/>
            </w:tcMar>
            <w:vAlign w:val="center"/>
          </w:tcPr>
          <w:p w14:paraId="3FA7B52A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（七）总计</w:t>
            </w:r>
          </w:p>
        </w:tc>
        <w:tc>
          <w:tcPr>
            <w:tcW w:w="659" w:type="dxa"/>
            <w:tcMar>
              <w:left w:w="57" w:type="dxa"/>
              <w:right w:w="57" w:type="dxa"/>
            </w:tcMar>
            <w:vAlign w:val="center"/>
          </w:tcPr>
          <w:p w14:paraId="35052FA9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304066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9C3F69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795A89B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tcMar>
              <w:left w:w="57" w:type="dxa"/>
              <w:right w:w="57" w:type="dxa"/>
            </w:tcMar>
            <w:vAlign w:val="center"/>
          </w:tcPr>
          <w:p w14:paraId="022AD2A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tcMar>
              <w:left w:w="57" w:type="dxa"/>
              <w:right w:w="57" w:type="dxa"/>
            </w:tcMar>
            <w:vAlign w:val="center"/>
          </w:tcPr>
          <w:p w14:paraId="717C27C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tcMar>
              <w:left w:w="57" w:type="dxa"/>
              <w:right w:w="57" w:type="dxa"/>
            </w:tcMar>
            <w:vAlign w:val="center"/>
          </w:tcPr>
          <w:p w14:paraId="7C683496">
            <w:pPr>
              <w:widowControl/>
              <w:spacing w:line="300" w:lineRule="exact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</w:tr>
      <w:tr w14:paraId="3E66D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4684" w:type="dxa"/>
            <w:gridSpan w:val="3"/>
            <w:tcMar>
              <w:left w:w="57" w:type="dxa"/>
              <w:right w:w="57" w:type="dxa"/>
            </w:tcMar>
            <w:vAlign w:val="center"/>
          </w:tcPr>
          <w:p w14:paraId="510BBA63">
            <w:pPr>
              <w:widowControl/>
              <w:spacing w:line="300" w:lineRule="exac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四、结转下年度继续办理</w:t>
            </w:r>
          </w:p>
        </w:tc>
        <w:tc>
          <w:tcPr>
            <w:tcW w:w="659" w:type="dxa"/>
            <w:shd w:val="clear"/>
            <w:tcMar>
              <w:left w:w="57" w:type="dxa"/>
              <w:right w:w="57" w:type="dxa"/>
            </w:tcMar>
            <w:vAlign w:val="center"/>
          </w:tcPr>
          <w:p w14:paraId="47D305A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shd w:val="clear"/>
            <w:tcMar>
              <w:left w:w="57" w:type="dxa"/>
              <w:right w:w="57" w:type="dxa"/>
            </w:tcMar>
            <w:vAlign w:val="center"/>
          </w:tcPr>
          <w:p w14:paraId="3535FDE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shd w:val="clear"/>
            <w:tcMar>
              <w:left w:w="57" w:type="dxa"/>
              <w:right w:w="57" w:type="dxa"/>
            </w:tcMar>
            <w:vAlign w:val="center"/>
          </w:tcPr>
          <w:p w14:paraId="1AB112F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shd w:val="clear"/>
            <w:tcMar>
              <w:left w:w="57" w:type="dxa"/>
              <w:right w:w="57" w:type="dxa"/>
            </w:tcMar>
            <w:vAlign w:val="center"/>
          </w:tcPr>
          <w:p w14:paraId="534B04EE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68" w:type="dxa"/>
            <w:shd w:val="clear"/>
            <w:tcMar>
              <w:left w:w="57" w:type="dxa"/>
              <w:right w:w="57" w:type="dxa"/>
            </w:tcMar>
            <w:vAlign w:val="center"/>
          </w:tcPr>
          <w:p w14:paraId="29B53C9C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0" w:type="dxa"/>
            <w:shd w:val="clear"/>
            <w:tcMar>
              <w:left w:w="57" w:type="dxa"/>
              <w:right w:w="57" w:type="dxa"/>
            </w:tcMar>
            <w:vAlign w:val="center"/>
          </w:tcPr>
          <w:p w14:paraId="4049F37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71" w:type="dxa"/>
            <w:shd w:val="clear"/>
            <w:tcMar>
              <w:left w:w="57" w:type="dxa"/>
              <w:right w:w="57" w:type="dxa"/>
            </w:tcMar>
            <w:vAlign w:val="center"/>
          </w:tcPr>
          <w:p w14:paraId="013BF32B">
            <w:pPr>
              <w:widowControl/>
              <w:spacing w:line="300" w:lineRule="exact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</w:tbl>
    <w:p w14:paraId="55F0FE6C">
      <w:pPr>
        <w:spacing w:before="156" w:beforeLines="50" w:after="156" w:afterLines="50" w:line="600" w:lineRule="exact"/>
        <w:ind w:firstLine="640" w:firstLineChars="200"/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四、政府信息公开行政复议、行政诉讼情况</w:t>
      </w:r>
    </w:p>
    <w:tbl>
      <w:tblPr>
        <w:tblStyle w:val="4"/>
        <w:tblW w:w="935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3"/>
        <w:gridCol w:w="623"/>
        <w:gridCol w:w="623"/>
        <w:gridCol w:w="623"/>
        <w:gridCol w:w="623"/>
        <w:gridCol w:w="623"/>
        <w:gridCol w:w="623"/>
        <w:gridCol w:w="624"/>
        <w:gridCol w:w="624"/>
        <w:gridCol w:w="624"/>
        <w:gridCol w:w="624"/>
        <w:gridCol w:w="624"/>
        <w:gridCol w:w="625"/>
        <w:gridCol w:w="625"/>
        <w:gridCol w:w="625"/>
      </w:tblGrid>
      <w:tr w14:paraId="5E2D64C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01F95E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7E869C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行政诉讼</w:t>
            </w:r>
          </w:p>
        </w:tc>
      </w:tr>
      <w:tr w14:paraId="1DE3F3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830686B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901589E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  <w:p w14:paraId="4F1C5FDB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78C144F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其他</w:t>
            </w:r>
          </w:p>
          <w:p w14:paraId="3BBCC0A4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0716D79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尚未</w:t>
            </w:r>
          </w:p>
          <w:p w14:paraId="372FDD4C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B143BCA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5EC98FF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891D3EC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复议后起诉</w:t>
            </w:r>
          </w:p>
        </w:tc>
      </w:tr>
      <w:tr w14:paraId="4D5330D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AC91FAE">
            <w:pPr>
              <w:spacing w:line="26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6826BDB">
            <w:pPr>
              <w:spacing w:line="26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607FB37">
            <w:pPr>
              <w:spacing w:line="26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5C02C51">
            <w:pPr>
              <w:spacing w:line="26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FB0D3D6">
            <w:pPr>
              <w:spacing w:line="260" w:lineRule="exac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5FF6EE3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  <w:p w14:paraId="2D44C81F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DBA1174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  <w:p w14:paraId="54D22C63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D1ED984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其他</w:t>
            </w:r>
          </w:p>
          <w:p w14:paraId="1E4B025D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9243B87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尚未</w:t>
            </w:r>
          </w:p>
          <w:p w14:paraId="2313C5CB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0E3468F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EE2C055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  <w:p w14:paraId="5044A287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E293B69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结果</w:t>
            </w:r>
          </w:p>
          <w:p w14:paraId="0B7D755D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11DC821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其他</w:t>
            </w:r>
          </w:p>
          <w:p w14:paraId="51F3587C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97D0F35">
            <w:pPr>
              <w:widowControl/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尚未</w:t>
            </w:r>
          </w:p>
          <w:p w14:paraId="7EDEE942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0CB850B">
            <w:pPr>
              <w:widowControl/>
              <w:spacing w:line="26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总计</w:t>
            </w:r>
          </w:p>
        </w:tc>
      </w:tr>
      <w:tr w14:paraId="4C1393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7D1C8D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0E8C080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DDE6AC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B555A86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D14C3C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3C8271D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7ABD3E9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542A99F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EB58004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D427E83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5B1CAB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8F66195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C61CD48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485FA22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02E7CB1">
            <w:pPr>
              <w:widowControl/>
              <w:spacing w:line="300" w:lineRule="exact"/>
              <w:jc w:val="center"/>
              <w:rPr>
                <w:rFonts w:cs="Times New Roman" w:asciiTheme="minorEastAsia" w:hAnsiTheme="minorEastAsia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</w:p>
        </w:tc>
      </w:tr>
    </w:tbl>
    <w:p w14:paraId="14FBF3EE">
      <w:pPr>
        <w:widowControl/>
        <w:shd w:val="clear" w:color="auto" w:fill="FFFFFF"/>
        <w:spacing w:line="590" w:lineRule="exact"/>
        <w:ind w:firstLine="640" w:firstLineChars="200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五、存在的主要问题及改进情况</w:t>
      </w:r>
    </w:p>
    <w:p w14:paraId="5955E5DE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存在问题</w:t>
      </w:r>
      <w:bookmarkStart w:id="0" w:name="_GoBack"/>
      <w:bookmarkEnd w:id="0"/>
      <w:r>
        <w:rPr>
          <w:rFonts w:hint="eastAsia" w:ascii="仿宋_GB2312" w:hAnsi="仿宋" w:eastAsia="仿宋_GB2312" w:cs="仿宋"/>
          <w:sz w:val="32"/>
          <w:szCs w:val="32"/>
        </w:rPr>
        <w:t xml:space="preserve">： </w:t>
      </w:r>
    </w:p>
    <w:p w14:paraId="76A296AA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1. 信息更新不够及时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仿宋"/>
          <w:sz w:val="32"/>
          <w:szCs w:val="32"/>
        </w:rPr>
        <w:t>部分政策文件和服务指南的更新速度未能跟上实际工作变化，导致公众获取的信息存在滞后性。</w:t>
      </w:r>
    </w:p>
    <w:p w14:paraId="668536BD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2. 公开渠道有待拓宽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仿宋"/>
          <w:sz w:val="32"/>
          <w:szCs w:val="32"/>
        </w:rPr>
        <w:t>在社交媒体和其他新媒体平台的利用率不高，影响了信息的覆盖面。</w:t>
      </w:r>
    </w:p>
    <w:p w14:paraId="70079553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3. 政策解读深度不足：部分政策解读内容较为简略，未能充分解答公众关切，影响了政策的传播效果。</w:t>
      </w:r>
    </w:p>
    <w:p w14:paraId="20348B1E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改进情况：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一是</w:t>
      </w:r>
      <w:r>
        <w:rPr>
          <w:rFonts w:hint="eastAsia" w:ascii="仿宋_GB2312" w:hAnsi="仿宋" w:eastAsia="仿宋_GB2312" w:cs="仿宋"/>
          <w:sz w:val="32"/>
          <w:szCs w:val="32"/>
        </w:rPr>
        <w:t>加强信息更新管理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仿宋"/>
          <w:sz w:val="32"/>
          <w:szCs w:val="32"/>
        </w:rPr>
        <w:t>建立更加完善的信息更新机制，确保政策文件和服务指南的及时更新。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二是</w:t>
      </w:r>
      <w:r>
        <w:rPr>
          <w:rFonts w:hint="eastAsia" w:ascii="仿宋_GB2312" w:hAnsi="仿宋" w:eastAsia="仿宋_GB2312" w:cs="仿宋"/>
          <w:sz w:val="32"/>
          <w:szCs w:val="32"/>
        </w:rPr>
        <w:t>拓宽公开渠道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仿宋"/>
          <w:sz w:val="32"/>
          <w:szCs w:val="32"/>
        </w:rPr>
        <w:t>增加在社交媒体和其他新媒体平台的政府信息公开力度，提高信息的传播效率和覆盖面。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三是</w:t>
      </w:r>
      <w:r>
        <w:rPr>
          <w:rFonts w:hint="eastAsia" w:ascii="仿宋_GB2312" w:hAnsi="仿宋" w:eastAsia="仿宋_GB2312" w:cs="仿宋"/>
          <w:sz w:val="32"/>
          <w:szCs w:val="32"/>
        </w:rPr>
        <w:t>深化政策解读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仿宋"/>
          <w:sz w:val="32"/>
          <w:szCs w:val="32"/>
        </w:rPr>
        <w:t>加强对政策文件的深入解读，以更加通俗易懂的方式向公众传达政策意图和具体措施。</w:t>
      </w:r>
    </w:p>
    <w:p w14:paraId="2D5B9F7B">
      <w:pPr>
        <w:widowControl/>
        <w:shd w:val="clear" w:color="auto" w:fill="FFFFFF"/>
        <w:spacing w:line="590" w:lineRule="exact"/>
        <w:ind w:firstLine="640" w:firstLineChars="200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六、其他需要报告的事项</w:t>
      </w:r>
    </w:p>
    <w:p w14:paraId="32445764">
      <w:pPr>
        <w:spacing w:line="590" w:lineRule="exact"/>
        <w:ind w:firstLine="640" w:firstLineChars="200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政府信息公开收取信息处理费情况。按照《国务院办公厅关于印发&lt;政府信息公开信息处理费管理办法&gt;的通知》国办函〔2020〕109号）规定的按件、按量收费标准，本年度没有产生信息公开处理费。</w:t>
      </w:r>
    </w:p>
    <w:p w14:paraId="2F59A3B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0" w:firstLineChars="200"/>
        <w:jc w:val="both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创新开展工作方面：</w:t>
      </w:r>
      <w:r>
        <w:rPr>
          <w:rFonts w:hint="eastAsia" w:ascii="仿宋_GB2312" w:hAnsi="仿宋" w:eastAsia="仿宋_GB2312" w:cs="仿宋"/>
          <w:sz w:val="32"/>
          <w:szCs w:val="32"/>
        </w:rPr>
        <w:t>202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4</w:t>
      </w:r>
      <w:r>
        <w:rPr>
          <w:rFonts w:hint="eastAsia" w:ascii="仿宋_GB2312" w:hAnsi="仿宋" w:eastAsia="仿宋_GB2312" w:cs="仿宋"/>
          <w:sz w:val="32"/>
          <w:szCs w:val="32"/>
        </w:rPr>
        <w:t>年，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东流镇进一步健全完善政务公开专区设置，设立政策咨询综合服务台，打造办事指南墙，配备电脑、打印复印机等电子设备，提供更便捷、更集中、更优质的政府信息查询、政府信息公开申请、政策宣传解读等政务公开服务，切实把服务群众的“最后一公里”变成“最美零距离”。专区利用智能宣传屏、多功能显示屏等现代化设备，采取动漫音视频等群众喜闻乐见的形式，围绕教育、医疗、住房保障、食品安全等人民群众关心关切的话题，积极开展政务公开、党建引领基层治理、村务公开等宣传工作，精准传达政策意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6D4"/>
    <w:rsid w:val="00014BF3"/>
    <w:rsid w:val="000B7CCD"/>
    <w:rsid w:val="00124303"/>
    <w:rsid w:val="001F29E5"/>
    <w:rsid w:val="00362C7E"/>
    <w:rsid w:val="00363025"/>
    <w:rsid w:val="003D2AEA"/>
    <w:rsid w:val="004A4F15"/>
    <w:rsid w:val="006224EC"/>
    <w:rsid w:val="00646CC8"/>
    <w:rsid w:val="006476D4"/>
    <w:rsid w:val="00715489"/>
    <w:rsid w:val="007516FA"/>
    <w:rsid w:val="0077333F"/>
    <w:rsid w:val="00776169"/>
    <w:rsid w:val="007A495B"/>
    <w:rsid w:val="008311D4"/>
    <w:rsid w:val="00893724"/>
    <w:rsid w:val="00A370E2"/>
    <w:rsid w:val="00A46AFC"/>
    <w:rsid w:val="00A92846"/>
    <w:rsid w:val="00B36257"/>
    <w:rsid w:val="00B947DE"/>
    <w:rsid w:val="00BB72E6"/>
    <w:rsid w:val="00BC3579"/>
    <w:rsid w:val="00CC28EF"/>
    <w:rsid w:val="00CF0680"/>
    <w:rsid w:val="00DA3694"/>
    <w:rsid w:val="00E123E4"/>
    <w:rsid w:val="00F659D4"/>
    <w:rsid w:val="00FA23AF"/>
    <w:rsid w:val="00FC6DEC"/>
    <w:rsid w:val="00FD3522"/>
    <w:rsid w:val="040533DA"/>
    <w:rsid w:val="0B3861E1"/>
    <w:rsid w:val="13DB164B"/>
    <w:rsid w:val="1535468F"/>
    <w:rsid w:val="17E416FE"/>
    <w:rsid w:val="20B322F1"/>
    <w:rsid w:val="32CE61B4"/>
    <w:rsid w:val="33707BCD"/>
    <w:rsid w:val="41500128"/>
    <w:rsid w:val="4A271D5E"/>
    <w:rsid w:val="4DCE4577"/>
    <w:rsid w:val="53285A20"/>
    <w:rsid w:val="5898717E"/>
    <w:rsid w:val="5C0276AD"/>
    <w:rsid w:val="5EB8249D"/>
    <w:rsid w:val="63A257E0"/>
    <w:rsid w:val="6686712D"/>
    <w:rsid w:val="68D20407"/>
    <w:rsid w:val="766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1247</Words>
  <Characters>1337</Characters>
  <Lines>12</Lines>
  <Paragraphs>3</Paragraphs>
  <TotalTime>2</TotalTime>
  <ScaleCrop>false</ScaleCrop>
  <LinksUpToDate>false</LinksUpToDate>
  <CharactersWithSpaces>1337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2024-12-30T01:48:00Z</dcterms:created>
  <dc:creator>叶干城</dc:creator>
  <cp:lastModifiedBy>A </cp:lastModifiedBy>
  <dcterms:modified xsi:type="dcterms:W3CDTF">2025-01-24T08:06:36Z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eyJoZGlkIjoiNDA4NWMyZmRiNDBjYjNhOWE5ZDg5ZWQxNjY5MjgxMjIiLCJ1c2VySWQiOiI3MzM1Mzg0MzAifQ==</vt:lpwstr>
  </property>
  <property fmtid="{D5CDD505-2E9C-101B-9397-08002B2CF9AE}" pid="3" name="KSOProductBuildVer">
    <vt:lpwstr>2052-12.1.0.19770</vt:lpwstr>
  </property>
  <property fmtid="{D5CDD505-2E9C-101B-9397-08002B2CF9AE}" pid="4" name="ICV">
    <vt:lpwstr>9C095B3F54A04A4E989D9794AB036B7A_13</vt:lpwstr>
  </property>
</Properties>
</file>