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FF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东至县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2023年防汛抗旱工作要点任务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分解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表</w:t>
      </w:r>
    </w:p>
    <w:tbl>
      <w:tblPr>
        <w:tblStyle w:val="5"/>
        <w:tblW w:w="130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8"/>
        <w:gridCol w:w="477"/>
        <w:gridCol w:w="1593"/>
        <w:gridCol w:w="3531"/>
        <w:gridCol w:w="1790"/>
        <w:gridCol w:w="1172"/>
        <w:gridCol w:w="3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1018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  <w:t>类别</w:t>
            </w:r>
          </w:p>
        </w:tc>
        <w:tc>
          <w:tcPr>
            <w:tcW w:w="207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  <w:t>工作要点</w:t>
            </w:r>
          </w:p>
        </w:tc>
        <w:tc>
          <w:tcPr>
            <w:tcW w:w="353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  <w:t>落实措施</w:t>
            </w:r>
          </w:p>
        </w:tc>
        <w:tc>
          <w:tcPr>
            <w:tcW w:w="1790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  <w:t>责任单位</w:t>
            </w:r>
          </w:p>
        </w:tc>
        <w:tc>
          <w:tcPr>
            <w:tcW w:w="117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</w:rPr>
              <w:t>办理时限</w:t>
            </w:r>
          </w:p>
        </w:tc>
        <w:tc>
          <w:tcPr>
            <w:tcW w:w="3480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8"/>
                <w:szCs w:val="28"/>
                <w:lang w:eastAsia="zh-CN"/>
              </w:rPr>
              <w:t>工作进展情况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  <w:jc w:val="center"/>
        </w:trPr>
        <w:tc>
          <w:tcPr>
            <w:tcW w:w="1018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  <w:t>一、提升组织指挥能力</w:t>
            </w:r>
          </w:p>
          <w:p>
            <w:pPr>
              <w:spacing w:line="300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  <w:t>贯通防汛抗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  <w:t>旱指挥体系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及时调整市、县、乡镇防指组成人员及办公室设置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县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防办</w:t>
            </w:r>
          </w:p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各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</w:rPr>
              <w:t>地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例：填写完成情况、存在问题及下一步工作安排。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" w:hRule="atLeast"/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逐步充实各级防办人员力量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县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防办</w:t>
            </w:r>
          </w:p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各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</w:rPr>
              <w:t>地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3月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3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完善城市防洪防涝指挥体系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县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县住建局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尧渡镇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3月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增强指挥部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指挥功能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推进应急指挥中心建设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县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防办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主汛期前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left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做好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防汛抗旱“三大系统”应用推广、对接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应用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4月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6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及时组建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县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防指专家组，建立健全联合值守、会商、指挥机制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3月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center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7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检查维护防汛抗旱有关硬件设施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县自规局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县住建局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县气象局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县文旅局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县融媒体中心</w:t>
            </w:r>
          </w:p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县应急局</w:t>
            </w:r>
          </w:p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3月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default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落实防汛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抗旱责任</w:t>
            </w: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left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8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及时印发、收集各级党政领导防汛抗旱分工文件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，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梳理党政负责同志防汛抗旱包保责任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名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单，制订工作清单并向上级防指报备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3月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9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明确防洪工程防汛行政责任人和技术责任人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县住建局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3月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10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加紧完善落实山洪地质灾害威胁区、低洼易涝区、江心洲外滩圩、低标准圩口、小型水库下游等高风险区人员转移避险网格，明确网格责任人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，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报县级有关部门备案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县自规局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3月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11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、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落实地下空间、在建工地基坑等高风险部位管理单位防汛责任人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县住建局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县交通运输局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3月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eastAsia="zh-CN"/>
              </w:rPr>
              <w:t>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12、按照省防办工作部署，制定各级防汛包保责任人、防洪工程责任人、网格责任人等防汛责任人职责清单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12月底前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0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开展培训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和演练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13、及时组织开展防汛业务知识培训，提升队伍专业水平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防办</w:t>
            </w:r>
          </w:p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各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</w:rPr>
              <w:t>地</w:t>
            </w:r>
            <w:r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  <w:t>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4月20日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1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left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14、结合当地及各行业主管部门实际，立足实战开展演练（洪涝易发区、地质灾害重点威胁乡镇、街道至少组织开展1次以上人员转移实战演练）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相关成员单位</w:t>
            </w:r>
          </w:p>
          <w:p>
            <w:pPr>
              <w:spacing w:line="290" w:lineRule="exact"/>
              <w:ind w:firstLine="210" w:firstLineChars="100"/>
              <w:rPr>
                <w:rFonts w:ascii="Times New Roman" w:hAnsi="Times New Roman" w:eastAsia="仿宋_GB2312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4月20日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修订完善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应急预案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left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15、修订完善本行业、本地区防汛抗旱应急预案和突发重大险情应急抢险预案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相关成员单位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4月25日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left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16、印发示范文本推动乡级防汛抗旱应急预案编制，增强可操作性。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4月25日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17、按照省水利厅部署，开展应急水量调度方案制定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left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18、修订完善城市防洪防涝应急预案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县住建局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4月25日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left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19、修订完善县级消防救援队伍《洪涝灾害应急救援预案》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县消防救援大队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4月25日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restart"/>
            <w:vAlign w:val="center"/>
          </w:tcPr>
          <w:p>
            <w:pPr>
              <w:spacing w:line="300" w:lineRule="exact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  <w:t>二、提升风险防控能力</w:t>
            </w:r>
          </w:p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落实工程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度汛措施</w:t>
            </w:r>
          </w:p>
        </w:tc>
        <w:tc>
          <w:tcPr>
            <w:tcW w:w="35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70" w:lineRule="exact"/>
              <w:ind w:firstLine="210" w:firstLineChars="100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20、组织开展河道、堤防、水库、闸站等防洪排涝工程和城市易涝点隐患排查整治，建立问题、措施和责任清单，在汛前完成整改，隐患清单报同级防指；汛前难以完成整改的，制定应急度汛预案，落实责任和度汛措施。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相关成员单位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3月20日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6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left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21、指导督促完成堤防、水库开口子工程复堤复坝，加强在建涉水工程监管，清除河道阻水围堰、恢复堤防断面，跨汛期施工工程制定安全度汛预案。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3月20日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Align w:val="center"/>
          </w:tcPr>
          <w:p>
            <w:pPr>
              <w:spacing w:line="290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1593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加强风险</w:t>
            </w:r>
          </w:p>
          <w:p>
            <w:pPr>
              <w:spacing w:line="290" w:lineRule="exact"/>
              <w:jc w:val="center"/>
              <w:rPr>
                <w:rFonts w:ascii="Times New Roman" w:hAnsi="Times New Roman" w:eastAsia="仿宋_GB2312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隐患排查</w:t>
            </w:r>
          </w:p>
        </w:tc>
        <w:tc>
          <w:tcPr>
            <w:tcW w:w="35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0" w:lineRule="exact"/>
              <w:ind w:firstLine="210" w:firstLineChars="100"/>
              <w:jc w:val="left"/>
              <w:textAlignment w:val="auto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22、以乡镇为单位，全面摸排山洪灾害威胁区、地质灾害隐患点和各类洪涝高风险点进行排查，“一点一策”落实风险管控措施，对防控对象、防控责任、威胁人员实行清单化管理，形成乡镇洪涝高风险点防控清单，并报县级有关部门备案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3月20日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593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推进风险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精准化管理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23、按照省防办工作部署，以县区（管委会）为单位，试点开展风险隐患“一张图”绘制，明确风险登记、威胁对象、管控责任、管控措施、预警条件，推进风险隐患精准化管理和智能化研判、管控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8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提升短临预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报预警能力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24、持续强化监测预警能力，加快监测站网建设，优化测报方式和方案，细化暴雨、山洪、地质灾害、内涝短临预警颗粒度，提高精准度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县自规局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县气象局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color w:val="auto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color w:val="auto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color w:val="auto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25、规范各类预警发布流程、内容及方式，畅通应急广播、“三微一端”发布渠道，推动预警信息直达责任人和受威胁群众</w:t>
            </w:r>
          </w:p>
        </w:tc>
        <w:tc>
          <w:tcPr>
            <w:tcW w:w="17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县住建局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县自规局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县文旅局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县气象局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县应急局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县融媒体中心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电信、移动、联通东至分公司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26、建立健全预警“叫应”机制，明确叫应内容、条件、部门、方式、时效和被叫应责任人、反馈要求等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相关成员单位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3月15日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7" w:hRule="atLeast"/>
          <w:jc w:val="center"/>
        </w:trPr>
        <w:tc>
          <w:tcPr>
            <w:tcW w:w="1018" w:type="dxa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593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强化预警</w:t>
            </w:r>
          </w:p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和响应衔接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27、建立健全重点行业、领域“停课、停工、停业”机制，完善气象灾害防御重点单位名录库，明确预警接收渠道，督促落实预警—联动机制</w:t>
            </w:r>
          </w:p>
        </w:tc>
        <w:tc>
          <w:tcPr>
            <w:tcW w:w="17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县教体局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县民政局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县住建局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县交通运输局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县农业农村局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县文旅局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县卫健委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县应急局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restart"/>
            <w:vAlign w:val="center"/>
          </w:tcPr>
          <w:p>
            <w:pPr>
              <w:spacing w:line="300" w:lineRule="exact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  <w:t>三、提升应急保障能力</w:t>
            </w:r>
          </w:p>
          <w:p>
            <w:pPr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11 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推进抢险救援队伍提质增效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28、联合驻地解放军、武警开展防汛勘察，在重点区域、重点部位预留兵力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县人武部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武警东至中队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4月25日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29、持续推进消防救援队伍防汛抢险救援能力建设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县消防救援大队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30、持续强化抢险救援队伍建设，针对性加强装备配备和技能训练，培育打造处置不同险情灾情的尖刀和拳头力量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color w:val="auto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color w:val="auto"/>
              </w:rPr>
            </w:pPr>
          </w:p>
        </w:tc>
        <w:tc>
          <w:tcPr>
            <w:tcW w:w="3531" w:type="dxa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31、摸排辖区内社会应急力量及施工抢险救援队伍，健全调用机制，组建群众性巡堤查险队伍并登记造册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2月28日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2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color w:val="auto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color w:val="auto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32、结合全省防汛抢险救援队伍统一调度办法，落实县级相关规定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增强防汛抗</w:t>
            </w:r>
          </w:p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旱物资保障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33、分级摸清防汛抗旱物资储备情况，掌握底数。根据地区、行业实际需要，针对性增储、更新物资，重点地区前置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相关成员单位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3月10日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34、落实物资储备库（点）责任人、运输方式、运输工具等调运保障措施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相关成员单位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3月10日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color w:val="auto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color w:val="auto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color w:val="auto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35、掌握辖区内防汛抗旱物资产能，对易耗物资、大型装备等积极开展协议和产能储备、政府购买服务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县应急局</w:t>
            </w:r>
          </w:p>
          <w:p>
            <w:pPr>
              <w:spacing w:line="290" w:lineRule="exact"/>
              <w:ind w:firstLine="210" w:firstLineChars="100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3月10日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477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593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提高队伍和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物资信息化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管理水平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36、按照省防办统一部署，依托防汛抗旱“三大系统”，绘制全市防汛抗旱物资“一张图”和防汛抢险救援队伍“一张图”，实现队伍和物资精准化管理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县应急局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5月25日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018" w:type="dxa"/>
            <w:vMerge w:val="restart"/>
            <w:vAlign w:val="center"/>
          </w:tcPr>
          <w:p>
            <w:pPr>
              <w:spacing w:line="300" w:lineRule="exact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  <w:t>四、提升基层应急能力</w:t>
            </w:r>
          </w:p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593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开展基层防汛抗旱应急能力标准化建设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37、按照文件要求完成标准化试点建设任务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7月10日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6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深入开展防</w:t>
            </w:r>
          </w:p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汛知识宣传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38、通过“报、网、台、站”相结合的融媒体宣传手段，组织开展多层次、多内容、多范围的防汛宣传，增强社会公众风险意识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县应急局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县自规局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县融媒体中心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电信、移动、联通东至分公司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持续开展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1018" w:type="dxa"/>
            <w:vMerge w:val="continue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lef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39、组织发放山洪和地质灾害防御明白卡，建设风险宣传栏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县水利局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县自规局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持续开展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restart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</w:rPr>
              <w:t>五、全力应对水旱灾害</w:t>
            </w:r>
          </w:p>
        </w:tc>
        <w:tc>
          <w:tcPr>
            <w:tcW w:w="477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1593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加强汛前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督导检查</w:t>
            </w:r>
          </w:p>
        </w:tc>
        <w:tc>
          <w:tcPr>
            <w:tcW w:w="3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40、汛前组织开展综合检查，对风险隐患排查整改情况、汛前准备工作开展情况进行督查，立查立改，对工作不力的立即通报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4月25日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科学会商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研判</w:t>
            </w: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41、密切关注天气和雨水情、旱情发展变化，快速发布预警信息。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相关成员单位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30" w:lineRule="exact"/>
              <w:ind w:firstLine="210" w:firstLineChars="100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42、完善指挥部成员单位联合值守和领导坐镇指挥制度，汛期视情集中办公，与有关部门实时会商，及时启动响应；动态安排部署防范应对措施，跟踪督促落实反馈。严格执行关键时段领导坐阵指挥制度，强化各级防指统一指挥、上下协调联动。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县防指成员单位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43、加强网络舆情应对，创造良好防汛抗洪抢险环境。</w:t>
            </w:r>
          </w:p>
        </w:tc>
        <w:tc>
          <w:tcPr>
            <w:tcW w:w="17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县委网信办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0" w:lineRule="exact"/>
              <w:ind w:firstLine="210" w:firstLineChars="100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县融媒体中心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44、做好防旱抗旱工作，确保城乡供水安全。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18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restart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及时处置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突发险情灾情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45、通过实战演练尽快形成快速组建现场指挥部、第一时间组织危险区人员转移的能力。</w:t>
            </w:r>
          </w:p>
        </w:tc>
        <w:tc>
          <w:tcPr>
            <w:tcW w:w="17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相关成员单位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5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continue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3531" w:type="dxa"/>
            <w:vAlign w:val="center"/>
          </w:tcPr>
          <w:p>
            <w:pPr>
              <w:spacing w:line="290" w:lineRule="exact"/>
              <w:ind w:firstLine="210" w:firstLineChars="100"/>
              <w:jc w:val="both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46、确保重大险情及时处置到位，全力保障群众生命财产安全和重要工程设施安全。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县防指成员单位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18" w:type="dxa"/>
            <w:vMerge w:val="continue"/>
            <w:vAlign w:val="center"/>
          </w:tcPr>
          <w:p>
            <w:pPr>
              <w:spacing w:line="300" w:lineRule="exact"/>
              <w:rPr>
                <w:rFonts w:ascii="Times New Roman" w:hAnsi="Times New Roman" w:eastAsia="仿宋_GB2312" w:cs="Times New Roman"/>
                <w:color w:val="auto"/>
                <w:sz w:val="28"/>
                <w:szCs w:val="28"/>
              </w:rPr>
            </w:pPr>
          </w:p>
        </w:tc>
        <w:tc>
          <w:tcPr>
            <w:tcW w:w="477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593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加强灾后</w:t>
            </w:r>
          </w:p>
          <w:p>
            <w:pPr>
              <w:spacing w:line="290" w:lineRule="exact"/>
              <w:jc w:val="center"/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sz w:val="24"/>
                <w:szCs w:val="24"/>
                <w:lang w:val="en-US" w:eastAsia="zh-CN"/>
              </w:rPr>
              <w:t>总结评估</w:t>
            </w:r>
          </w:p>
        </w:tc>
        <w:tc>
          <w:tcPr>
            <w:tcW w:w="35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30" w:lineRule="exact"/>
              <w:ind w:firstLine="210" w:firstLineChars="100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47、及时总结基层经验，并予以推广；对责任落实到位、风险管控有效、险情处置及时的单位个人给予通报表扬；对因责任不落实、措施不到位造成人员伤亡的，及时进行调查，根据调查结果给予通报批评，视情进行追究责任。</w:t>
            </w:r>
          </w:p>
        </w:tc>
        <w:tc>
          <w:tcPr>
            <w:tcW w:w="1790" w:type="dxa"/>
            <w:vAlign w:val="center"/>
          </w:tcPr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县防办</w:t>
            </w:r>
          </w:p>
          <w:p>
            <w:pPr>
              <w:spacing w:line="290" w:lineRule="exact"/>
              <w:ind w:firstLine="210" w:firstLineChars="100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各地防指</w:t>
            </w:r>
          </w:p>
        </w:tc>
        <w:tc>
          <w:tcPr>
            <w:tcW w:w="1172" w:type="dxa"/>
            <w:vAlign w:val="center"/>
          </w:tcPr>
          <w:p>
            <w:pPr>
              <w:spacing w:line="29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持续推进</w:t>
            </w:r>
          </w:p>
        </w:tc>
        <w:tc>
          <w:tcPr>
            <w:tcW w:w="3480" w:type="dxa"/>
            <w:vAlign w:val="center"/>
          </w:tcPr>
          <w:p>
            <w:pPr>
              <w:spacing w:line="290" w:lineRule="exact"/>
              <w:rPr>
                <w:rFonts w:ascii="Times New Roman" w:hAnsi="Times New Roman" w:eastAsia="仿宋_GB2312" w:cs="Times New Roman"/>
                <w:color w:val="auto"/>
                <w:sz w:val="24"/>
                <w:szCs w:val="24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eastAsia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 w:start="1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0YjVmNzFhMzMzMzQzODE5YWJjMThjMjk2MTU2ZWIifQ=="/>
  </w:docVars>
  <w:rsids>
    <w:rsidRoot w:val="21492196"/>
    <w:rsid w:val="18D712A3"/>
    <w:rsid w:val="1B89168C"/>
    <w:rsid w:val="1E6A677A"/>
    <w:rsid w:val="21492196"/>
    <w:rsid w:val="2E6C5C2A"/>
    <w:rsid w:val="34D7287C"/>
    <w:rsid w:val="54FB4092"/>
    <w:rsid w:val="567066CE"/>
    <w:rsid w:val="7943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3128</Words>
  <Characters>3208</Characters>
  <Lines>0</Lines>
  <Paragraphs>0</Paragraphs>
  <TotalTime>2</TotalTime>
  <ScaleCrop>false</ScaleCrop>
  <LinksUpToDate>false</LinksUpToDate>
  <CharactersWithSpaces>3211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2023-02-16T06:42:00Z</dcterms:created>
  <dc:creator>Administrator</dc:creator>
  <cp:lastModifiedBy>丁香</cp:lastModifiedBy>
  <cp:lastPrinted>2023-02-16T09:31:00Z</cp:lastPrinted>
  <dcterms:modified xsi:type="dcterms:W3CDTF">2023-10-08T02:56:41Z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F950576928FF40C68385ECED95F4D795_13</vt:lpwstr>
  </property>
</Properties>
</file>