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verflowPunct w:val="0"/>
        <w:adjustRightInd w:val="0"/>
        <w:snapToGrid w:val="0"/>
        <w:spacing w:line="540"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w:t>
      </w:r>
    </w:p>
    <w:p>
      <w:pPr>
        <w:keepNext w:val="0"/>
        <w:keepLines w:val="0"/>
        <w:pageBreakBefore w:val="0"/>
        <w:widowControl w:val="0"/>
        <w:kinsoku/>
        <w:wordWrap/>
        <w:overflowPunct/>
        <w:topLinePunct w:val="0"/>
        <w:autoSpaceDE/>
        <w:autoSpaceDN/>
        <w:bidi w:val="0"/>
        <w:adjustRightInd/>
        <w:snapToGrid/>
        <w:spacing w:line="600" w:lineRule="exact"/>
        <w:ind w:firstLine="720" w:firstLineChars="200"/>
        <w:jc w:val="center"/>
        <w:textAlignment w:val="auto"/>
        <w:rPr>
          <w:rFonts w:hint="eastAsia" w:ascii="方正小标宋简体" w:hAnsi="方正小标宋简体" w:eastAsia="方正小标宋简体" w:cs="方正小标宋简体"/>
          <w:color w:val="000000"/>
          <w:sz w:val="36"/>
          <w:szCs w:val="36"/>
          <w:lang w:val="en-US" w:eastAsia="zh-CN"/>
        </w:rPr>
      </w:pPr>
      <w:bookmarkStart w:id="0" w:name="_GoBack"/>
      <w:r>
        <w:rPr>
          <w:rFonts w:hint="eastAsia" w:ascii="方正小标宋简体" w:hAnsi="方正小标宋简体" w:eastAsia="方正小标宋简体" w:cs="方正小标宋简体"/>
          <w:color w:val="000000"/>
          <w:sz w:val="36"/>
          <w:szCs w:val="36"/>
          <w:lang w:val="en-US" w:eastAsia="zh-CN"/>
        </w:rPr>
        <w:t>关于《东至县政府投资建设项目审计监督办法（修订）（征求意见稿）》的起草说明</w:t>
      </w:r>
    </w:p>
    <w:bookmarkEnd w:id="0"/>
    <w:p>
      <w:pPr>
        <w:overflowPunct w:val="0"/>
        <w:adjustRightInd w:val="0"/>
        <w:snapToGrid w:val="0"/>
        <w:spacing w:line="540" w:lineRule="exact"/>
        <w:rPr>
          <w:rFonts w:hint="eastAsia" w:ascii="仿宋_GB2312" w:hAnsi="仿宋_GB2312" w:eastAsia="仿宋_GB2312" w:cs="仿宋_GB2312"/>
          <w:sz w:val="32"/>
          <w:szCs w:val="32"/>
          <w:lang w:eastAsia="zh-CN"/>
        </w:rPr>
      </w:pPr>
    </w:p>
    <w:p>
      <w:pPr>
        <w:overflowPunct w:val="0"/>
        <w:adjustRightInd w:val="0"/>
        <w:snapToGrid w:val="0"/>
        <w:spacing w:line="540" w:lineRule="exact"/>
        <w:ind w:firstLine="643" w:firstLineChars="200"/>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一、文件制定背景和依据</w:t>
      </w:r>
    </w:p>
    <w:p>
      <w:pPr>
        <w:overflowPunct w:val="0"/>
        <w:adjustRightInd w:val="0"/>
        <w:snapToGrid w:val="0"/>
        <w:spacing w:line="54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（一）制定的必要性和可行性。</w:t>
      </w:r>
    </w:p>
    <w:p>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Times" w:eastAsia="仿宋_GB2312" w:cs="Times New Roman"/>
          <w:sz w:val="32"/>
          <w:szCs w:val="32"/>
          <w:lang w:val="en" w:eastAsia="zh-CN"/>
        </w:rPr>
        <w:t>根据《</w:t>
      </w:r>
      <w:r>
        <w:rPr>
          <w:rFonts w:hint="default" w:ascii="仿宋_GB2312" w:hAnsi="Times" w:eastAsia="仿宋_GB2312" w:cs="Times New Roman"/>
          <w:sz w:val="32"/>
          <w:szCs w:val="32"/>
          <w:lang w:val="en"/>
        </w:rPr>
        <w:t>安徽省</w:t>
      </w:r>
      <w:r>
        <w:rPr>
          <w:rFonts w:hint="eastAsia" w:ascii="仿宋_GB2312" w:hAnsi="Times" w:eastAsia="仿宋_GB2312" w:cs="Times New Roman"/>
          <w:sz w:val="32"/>
          <w:szCs w:val="32"/>
          <w:lang w:val="en" w:eastAsia="zh-CN"/>
        </w:rPr>
        <w:t>政府投资审计领域突出问题专项治理工作方案》的要求，进一步规范和完善政府投资审计工作的各项要求，有效解决我县政府投资审计领域存在的问题，推进政府投资审计工作依法、依规、有序开展，</w:t>
      </w:r>
      <w:r>
        <w:rPr>
          <w:rFonts w:hint="eastAsia" w:ascii="仿宋_GB2312" w:hAnsi="Times" w:eastAsia="仿宋_GB2312" w:cs="Times New Roman"/>
          <w:sz w:val="32"/>
          <w:szCs w:val="32"/>
          <w:lang w:val="en-US" w:eastAsia="zh-CN"/>
        </w:rPr>
        <w:t>对《东至县政府投资建设项目审计监督办法（修订）》相关条款进行修改完善。</w:t>
      </w:r>
    </w:p>
    <w:p>
      <w:pPr>
        <w:numPr>
          <w:ilvl w:val="0"/>
          <w:numId w:val="1"/>
        </w:num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依据的主要上位法和上位规范性文件。上位规范性文件应当注明发文机关、公文标题、字号及发文时间。</w:t>
      </w:r>
    </w:p>
    <w:p>
      <w:pPr>
        <w:numPr>
          <w:ilvl w:val="0"/>
          <w:numId w:val="0"/>
        </w:num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w:t>
      </w:r>
      <w:r>
        <w:rPr>
          <w:rFonts w:hint="eastAsia" w:ascii="仿宋_GB2312" w:hAnsi="Times" w:eastAsia="仿宋_GB2312" w:cs="Times New Roman"/>
          <w:sz w:val="32"/>
          <w:szCs w:val="32"/>
          <w:lang w:val="en" w:eastAsia="zh-CN"/>
        </w:rPr>
        <w:t>中华人民共和国审计法》（中华人民共和国主席令第一〇〇号）2021年10月23日发文；《中华人民共和国审计法实施条例》（</w:t>
      </w:r>
      <w:r>
        <w:rPr>
          <w:rFonts w:hint="eastAsia" w:ascii="仿宋_GB2312" w:hAnsi="Times" w:eastAsia="仿宋_GB2312" w:cs="Times New Roman"/>
          <w:sz w:val="32"/>
          <w:szCs w:val="32"/>
          <w:lang w:val="en-US" w:eastAsia="zh-CN"/>
        </w:rPr>
        <w:t>中华人民共和国国务院令第571号）2010年2月11日发文。</w:t>
      </w:r>
    </w:p>
    <w:p>
      <w:pPr>
        <w:overflowPunct w:val="0"/>
        <w:adjustRightInd w:val="0"/>
        <w:snapToGrid w:val="0"/>
        <w:spacing w:line="540" w:lineRule="exact"/>
        <w:ind w:firstLine="643" w:firstLineChars="200"/>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二、文件制定过程</w:t>
      </w:r>
    </w:p>
    <w:p>
      <w:pPr>
        <w:overflowPunct w:val="0"/>
        <w:adjustRightInd w:val="0"/>
        <w:snapToGrid w:val="0"/>
        <w:spacing w:line="54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（一）承办部门（若有两个及以上承办部门，则应当写明牵头部门和参与部门）调研、起草等情况。</w:t>
      </w:r>
    </w:p>
    <w:p>
      <w:pPr>
        <w:numPr>
          <w:ilvl w:val="0"/>
          <w:numId w:val="0"/>
        </w:numPr>
        <w:spacing w:line="560" w:lineRule="exact"/>
        <w:ind w:firstLine="640" w:firstLineChars="200"/>
        <w:rPr>
          <w:rFonts w:hint="eastAsia" w:ascii="仿宋_GB2312" w:hAnsi="Times" w:eastAsia="仿宋_GB2312" w:cs="Times New Roman"/>
          <w:sz w:val="32"/>
          <w:szCs w:val="32"/>
          <w:lang w:val="en-US" w:eastAsia="zh-CN"/>
        </w:rPr>
      </w:pPr>
      <w:r>
        <w:rPr>
          <w:rFonts w:hint="eastAsia" w:ascii="仿宋_GB2312" w:hAnsi="Times" w:eastAsia="仿宋_GB2312" w:cs="Times New Roman"/>
          <w:sz w:val="32"/>
          <w:szCs w:val="32"/>
          <w:lang w:val="en" w:eastAsia="zh-CN"/>
        </w:rPr>
        <w:t>根据省审计厅统一部署，按照</w:t>
      </w:r>
      <w:r>
        <w:rPr>
          <w:rFonts w:hint="default" w:ascii="仿宋_GB2312" w:hAnsi="Times" w:eastAsia="仿宋_GB2312" w:cs="Times New Roman"/>
          <w:sz w:val="32"/>
          <w:szCs w:val="32"/>
          <w:lang w:val="en" w:eastAsia="zh-CN"/>
        </w:rPr>
        <w:t>《</w:t>
      </w:r>
      <w:r>
        <w:rPr>
          <w:rFonts w:hint="eastAsia" w:ascii="仿宋_GB2312" w:hAnsi="Times" w:eastAsia="仿宋_GB2312" w:cs="Times New Roman"/>
          <w:sz w:val="32"/>
          <w:szCs w:val="32"/>
          <w:lang w:val="en" w:eastAsia="zh-CN"/>
        </w:rPr>
        <w:t>安徽省审计厅关于印发安徽省政府投资审计领域突出问题专项治理工作方案的通知</w:t>
      </w:r>
      <w:r>
        <w:rPr>
          <w:rFonts w:hint="default" w:ascii="仿宋_GB2312" w:hAnsi="Times" w:eastAsia="仿宋_GB2312" w:cs="Times New Roman"/>
          <w:sz w:val="32"/>
          <w:szCs w:val="32"/>
          <w:lang w:val="en" w:eastAsia="zh-CN"/>
        </w:rPr>
        <w:t>》</w:t>
      </w:r>
      <w:r>
        <w:rPr>
          <w:rFonts w:hint="eastAsia" w:ascii="仿宋_GB2312" w:hAnsi="Times" w:eastAsia="仿宋_GB2312" w:cs="Times New Roman"/>
          <w:sz w:val="32"/>
          <w:szCs w:val="32"/>
          <w:lang w:val="en-US" w:eastAsia="zh-CN"/>
        </w:rPr>
        <w:t>和市</w:t>
      </w:r>
      <w:r>
        <w:rPr>
          <w:rFonts w:hint="eastAsia" w:ascii="仿宋_GB2312" w:hAnsi="Times" w:eastAsia="仿宋_GB2312" w:cs="Times New Roman"/>
          <w:sz w:val="32"/>
          <w:szCs w:val="32"/>
          <w:lang w:val="en" w:eastAsia="zh-CN"/>
        </w:rPr>
        <w:t>审计局</w:t>
      </w:r>
      <w:r>
        <w:rPr>
          <w:rFonts w:hint="default" w:ascii="仿宋_GB2312" w:hAnsi="Times" w:eastAsia="仿宋_GB2312" w:cs="Times New Roman"/>
          <w:sz w:val="32"/>
          <w:szCs w:val="32"/>
          <w:lang w:val="en" w:eastAsia="zh-CN"/>
        </w:rPr>
        <w:t>关于政府投资审计领域突出问题专项治理工作</w:t>
      </w:r>
      <w:r>
        <w:rPr>
          <w:rFonts w:hint="eastAsia" w:ascii="仿宋_GB2312" w:hAnsi="Times" w:eastAsia="仿宋_GB2312" w:cs="Times New Roman"/>
          <w:sz w:val="32"/>
          <w:szCs w:val="32"/>
          <w:lang w:val="en" w:eastAsia="zh-CN"/>
        </w:rPr>
        <w:t>要求</w:t>
      </w:r>
      <w:r>
        <w:rPr>
          <w:rFonts w:hint="default" w:ascii="仿宋_GB2312" w:hAnsi="Times" w:eastAsia="仿宋_GB2312" w:cs="Times New Roman"/>
          <w:sz w:val="32"/>
          <w:szCs w:val="32"/>
          <w:lang w:val="en" w:eastAsia="zh-CN"/>
        </w:rPr>
        <w:t>，</w:t>
      </w:r>
      <w:r>
        <w:rPr>
          <w:rFonts w:hint="eastAsia" w:ascii="仿宋_GB2312" w:hAnsi="Times" w:eastAsia="仿宋_GB2312" w:cs="Times New Roman"/>
          <w:sz w:val="32"/>
          <w:szCs w:val="32"/>
          <w:lang w:val="en" w:eastAsia="zh-CN"/>
        </w:rPr>
        <w:t>结合我县实际，</w:t>
      </w:r>
      <w:r>
        <w:rPr>
          <w:rFonts w:hint="eastAsia" w:ascii="仿宋_GB2312" w:hAnsi="Times" w:eastAsia="仿宋_GB2312" w:cs="Times New Roman"/>
          <w:sz w:val="32"/>
          <w:szCs w:val="32"/>
          <w:lang w:val="en-US" w:eastAsia="zh-CN"/>
        </w:rPr>
        <w:t>10月份开展了政府投</w:t>
      </w:r>
      <w:r>
        <w:rPr>
          <w:rFonts w:hint="eastAsia" w:ascii="仿宋_GB2312" w:hAnsi="Times" w:eastAsia="仿宋_GB2312" w:cs="Times New Roman"/>
          <w:sz w:val="32"/>
          <w:szCs w:val="32"/>
          <w:lang w:val="en" w:eastAsia="zh-CN"/>
        </w:rPr>
        <w:t>资审计领域突出问题专项治理工作。经梳理发现，</w:t>
      </w:r>
      <w:r>
        <w:rPr>
          <w:rFonts w:hint="eastAsia" w:ascii="仿宋_GB2312" w:hAnsi="Times" w:eastAsia="仿宋_GB2312" w:cs="Times New Roman"/>
          <w:sz w:val="32"/>
          <w:szCs w:val="32"/>
          <w:lang w:val="en-US" w:eastAsia="zh-CN"/>
        </w:rPr>
        <w:t>《东至县政府投资建设项目审计监督办法》（东政办〔2020〕25号）与《中华人民共和国审计法》和审计署关于投资审计“三个转变”部署要求的部分条款不符，需要进行修改完善，根据专项治理要求，对部分条款进行了完善。</w:t>
      </w:r>
    </w:p>
    <w:p>
      <w:pPr>
        <w:numPr>
          <w:ilvl w:val="0"/>
          <w:numId w:val="2"/>
        </w:numPr>
        <w:overflowPunct w:val="0"/>
        <w:adjustRightInd w:val="0"/>
        <w:snapToGrid w:val="0"/>
        <w:spacing w:line="540" w:lineRule="exact"/>
        <w:ind w:firstLine="643" w:firstLineChars="200"/>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文件主要内容</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40" w:lineRule="exact"/>
        <w:ind w:firstLine="640" w:firstLineChars="200"/>
        <w:textAlignment w:val="auto"/>
        <w:rPr>
          <w:rFonts w:hint="eastAsia" w:ascii="仿宋_GB2312" w:hAnsi="Times" w:eastAsia="仿宋_GB2312" w:cs="Times New Roman"/>
          <w:sz w:val="32"/>
          <w:szCs w:val="32"/>
          <w:lang w:val="en-US" w:eastAsia="zh-CN"/>
        </w:rPr>
      </w:pPr>
      <w:r>
        <w:rPr>
          <w:rFonts w:hint="eastAsia" w:ascii="仿宋_GB2312" w:hAnsi="Times" w:eastAsia="仿宋_GB2312" w:cs="Times New Roman"/>
          <w:sz w:val="32"/>
          <w:szCs w:val="32"/>
          <w:lang w:val="en-US" w:eastAsia="zh-CN"/>
        </w:rPr>
        <w:t>根据</w:t>
      </w:r>
      <w:r>
        <w:rPr>
          <w:rFonts w:hint="eastAsia" w:ascii="仿宋_GB2312" w:hAnsi="Times" w:eastAsia="仿宋_GB2312" w:cs="Times New Roman"/>
          <w:sz w:val="32"/>
          <w:szCs w:val="32"/>
          <w:lang w:val="en" w:eastAsia="zh-CN"/>
        </w:rPr>
        <w:t>省审计厅</w:t>
      </w:r>
      <w:r>
        <w:rPr>
          <w:rFonts w:hint="default" w:ascii="仿宋_GB2312" w:hAnsi="Times" w:eastAsia="仿宋_GB2312" w:cs="Times New Roman"/>
          <w:sz w:val="32"/>
          <w:szCs w:val="32"/>
          <w:lang w:val="en" w:eastAsia="zh-CN"/>
        </w:rPr>
        <w:t>关于政府投资审计领域突出问题专项治理工作</w:t>
      </w:r>
      <w:r>
        <w:rPr>
          <w:rFonts w:hint="eastAsia" w:ascii="仿宋_GB2312" w:hAnsi="Times" w:eastAsia="仿宋_GB2312" w:cs="Times New Roman"/>
          <w:sz w:val="32"/>
          <w:szCs w:val="32"/>
          <w:lang w:val="en" w:eastAsia="zh-CN"/>
        </w:rPr>
        <w:t>要求</w:t>
      </w:r>
      <w:r>
        <w:rPr>
          <w:rFonts w:hint="eastAsia" w:ascii="仿宋_GB2312" w:hAnsi="Times" w:eastAsia="仿宋_GB2312" w:cs="Times New Roman"/>
          <w:sz w:val="32"/>
          <w:szCs w:val="32"/>
          <w:lang w:val="en-US" w:eastAsia="zh-CN"/>
        </w:rPr>
        <w:t>,主要是对《东至县政府投资建设项目审计监督办法（修订）》相关条款进行了完善，详见《&lt;东至县政府投资项目审计监督办法（修订）&gt;对照表》。</w:t>
      </w:r>
    </w:p>
    <w:p>
      <w:pPr>
        <w:keepNext w:val="0"/>
        <w:keepLines w:val="0"/>
        <w:pageBreakBefore w:val="0"/>
        <w:widowControl w:val="0"/>
        <w:kinsoku/>
        <w:wordWrap/>
        <w:overflowPunct/>
        <w:topLinePunct w:val="0"/>
        <w:autoSpaceDE/>
        <w:autoSpaceDN/>
        <w:bidi w:val="0"/>
        <w:adjustRightInd/>
        <w:snapToGrid/>
        <w:spacing w:line="560" w:lineRule="atLeast"/>
        <w:jc w:val="center"/>
        <w:textAlignment w:val="auto"/>
        <w:rPr>
          <w:rFonts w:hint="eastAsia" w:ascii="方正小标宋简体" w:hAnsi="方正小标宋简体" w:eastAsia="方正小标宋简体" w:cs="方正小标宋简体"/>
          <w:b w:val="0"/>
          <w:bCs/>
          <w:sz w:val="44"/>
          <w:szCs w:val="44"/>
        </w:rPr>
      </w:pPr>
    </w:p>
    <w:p>
      <w:pPr>
        <w:keepNext w:val="0"/>
        <w:keepLines w:val="0"/>
        <w:pageBreakBefore w:val="0"/>
        <w:widowControl w:val="0"/>
        <w:kinsoku/>
        <w:wordWrap/>
        <w:overflowPunct/>
        <w:topLinePunct w:val="0"/>
        <w:autoSpaceDE/>
        <w:autoSpaceDN/>
        <w:bidi w:val="0"/>
        <w:adjustRightInd/>
        <w:snapToGrid/>
        <w:spacing w:line="560" w:lineRule="atLeast"/>
        <w:jc w:val="center"/>
        <w:textAlignment w:val="auto"/>
        <w:rPr>
          <w:rFonts w:hint="eastAsia" w:ascii="方正小标宋简体" w:hAnsi="方正小标宋简体" w:eastAsia="方正小标宋简体" w:cs="方正小标宋简体"/>
          <w:b w:val="0"/>
          <w:bCs/>
          <w:sz w:val="44"/>
          <w:szCs w:val="44"/>
        </w:rPr>
      </w:pPr>
    </w:p>
    <w:p>
      <w:pPr>
        <w:keepNext w:val="0"/>
        <w:keepLines w:val="0"/>
        <w:pageBreakBefore w:val="0"/>
        <w:widowControl w:val="0"/>
        <w:kinsoku/>
        <w:wordWrap/>
        <w:overflowPunct/>
        <w:topLinePunct w:val="0"/>
        <w:autoSpaceDE/>
        <w:autoSpaceDN/>
        <w:bidi w:val="0"/>
        <w:adjustRightInd/>
        <w:snapToGrid/>
        <w:spacing w:line="560" w:lineRule="atLeast"/>
        <w:jc w:val="center"/>
        <w:textAlignment w:val="auto"/>
        <w:rPr>
          <w:rFonts w:hint="eastAsia" w:ascii="方正小标宋简体" w:hAnsi="方正小标宋简体" w:eastAsia="方正小标宋简体" w:cs="方正小标宋简体"/>
          <w:b w:val="0"/>
          <w:bCs/>
          <w:sz w:val="44"/>
          <w:szCs w:val="44"/>
        </w:rPr>
      </w:pPr>
    </w:p>
    <w:p>
      <w:pPr>
        <w:keepNext w:val="0"/>
        <w:keepLines w:val="0"/>
        <w:pageBreakBefore w:val="0"/>
        <w:widowControl w:val="0"/>
        <w:kinsoku/>
        <w:wordWrap/>
        <w:overflowPunct/>
        <w:topLinePunct w:val="0"/>
        <w:autoSpaceDE/>
        <w:autoSpaceDN/>
        <w:bidi w:val="0"/>
        <w:adjustRightInd/>
        <w:snapToGrid/>
        <w:spacing w:line="560" w:lineRule="atLeast"/>
        <w:jc w:val="center"/>
        <w:textAlignment w:val="auto"/>
        <w:rPr>
          <w:rFonts w:hint="eastAsia" w:ascii="方正小标宋简体" w:hAnsi="方正小标宋简体" w:eastAsia="方正小标宋简体" w:cs="方正小标宋简体"/>
          <w:b w:val="0"/>
          <w:bCs/>
          <w:sz w:val="44"/>
          <w:szCs w:val="44"/>
        </w:rPr>
      </w:pPr>
    </w:p>
    <w:p>
      <w:pPr>
        <w:keepNext w:val="0"/>
        <w:keepLines w:val="0"/>
        <w:pageBreakBefore w:val="0"/>
        <w:widowControl w:val="0"/>
        <w:kinsoku/>
        <w:wordWrap/>
        <w:overflowPunct/>
        <w:topLinePunct w:val="0"/>
        <w:autoSpaceDE/>
        <w:autoSpaceDN/>
        <w:bidi w:val="0"/>
        <w:adjustRightInd/>
        <w:snapToGrid/>
        <w:spacing w:line="560" w:lineRule="atLeast"/>
        <w:jc w:val="center"/>
        <w:textAlignment w:val="auto"/>
        <w:rPr>
          <w:rFonts w:hint="eastAsia" w:ascii="方正小标宋简体" w:hAnsi="方正小标宋简体" w:eastAsia="方正小标宋简体" w:cs="方正小标宋简体"/>
          <w:b w:val="0"/>
          <w:bCs/>
          <w:sz w:val="44"/>
          <w:szCs w:val="44"/>
        </w:rPr>
      </w:pPr>
    </w:p>
    <w:p>
      <w:pPr>
        <w:keepNext w:val="0"/>
        <w:keepLines w:val="0"/>
        <w:pageBreakBefore w:val="0"/>
        <w:widowControl w:val="0"/>
        <w:kinsoku/>
        <w:wordWrap/>
        <w:overflowPunct/>
        <w:topLinePunct w:val="0"/>
        <w:autoSpaceDE/>
        <w:autoSpaceDN/>
        <w:bidi w:val="0"/>
        <w:adjustRightInd/>
        <w:snapToGrid/>
        <w:spacing w:line="560" w:lineRule="atLeast"/>
        <w:jc w:val="center"/>
        <w:textAlignment w:val="auto"/>
        <w:rPr>
          <w:rFonts w:hint="eastAsia" w:ascii="方正小标宋简体" w:hAnsi="方正小标宋简体" w:eastAsia="方正小标宋简体" w:cs="方正小标宋简体"/>
          <w:b w:val="0"/>
          <w:bCs/>
          <w:sz w:val="44"/>
          <w:szCs w:val="44"/>
        </w:rPr>
      </w:pPr>
    </w:p>
    <w:p>
      <w:pPr>
        <w:keepNext w:val="0"/>
        <w:keepLines w:val="0"/>
        <w:pageBreakBefore w:val="0"/>
        <w:widowControl w:val="0"/>
        <w:kinsoku/>
        <w:wordWrap/>
        <w:overflowPunct/>
        <w:topLinePunct w:val="0"/>
        <w:autoSpaceDE/>
        <w:autoSpaceDN/>
        <w:bidi w:val="0"/>
        <w:adjustRightInd/>
        <w:snapToGrid/>
        <w:spacing w:line="560" w:lineRule="atLeast"/>
        <w:jc w:val="center"/>
        <w:textAlignment w:val="auto"/>
        <w:rPr>
          <w:rFonts w:hint="eastAsia" w:ascii="方正小标宋简体" w:hAnsi="方正小标宋简体" w:eastAsia="方正小标宋简体" w:cs="方正小标宋简体"/>
          <w:b w:val="0"/>
          <w:bCs/>
          <w:sz w:val="44"/>
          <w:szCs w:val="44"/>
        </w:rPr>
      </w:pPr>
    </w:p>
    <w:p>
      <w:pPr>
        <w:keepNext w:val="0"/>
        <w:keepLines w:val="0"/>
        <w:pageBreakBefore w:val="0"/>
        <w:widowControl w:val="0"/>
        <w:kinsoku/>
        <w:wordWrap/>
        <w:overflowPunct/>
        <w:topLinePunct w:val="0"/>
        <w:autoSpaceDE/>
        <w:autoSpaceDN/>
        <w:bidi w:val="0"/>
        <w:adjustRightInd/>
        <w:snapToGrid/>
        <w:spacing w:line="560" w:lineRule="atLeast"/>
        <w:jc w:val="center"/>
        <w:textAlignment w:val="auto"/>
        <w:rPr>
          <w:rFonts w:hint="eastAsia" w:ascii="方正小标宋简体" w:hAnsi="方正小标宋简体" w:eastAsia="方正小标宋简体" w:cs="方正小标宋简体"/>
          <w:b w:val="0"/>
          <w:bCs/>
          <w:sz w:val="44"/>
          <w:szCs w:val="44"/>
        </w:rPr>
        <w:sectPr>
          <w:footerReference r:id="rId3" w:type="default"/>
          <w:pgSz w:w="11906" w:h="16838"/>
          <w:pgMar w:top="1440" w:right="1800" w:bottom="1440" w:left="1800" w:header="851" w:footer="992" w:gutter="0"/>
          <w:cols w:space="720" w:num="1"/>
          <w:docGrid w:type="lines" w:linePitch="312" w:charSpace="0"/>
        </w:sectPr>
      </w:pPr>
    </w:p>
    <w:p>
      <w:pPr>
        <w:tabs>
          <w:tab w:val="left" w:pos="1161"/>
        </w:tabs>
        <w:bidi w:val="0"/>
        <w:jc w:val="left"/>
        <w:rPr>
          <w:rFonts w:hint="eastAsia"/>
          <w:lang w:val="en-US" w:eastAsia="zh-CN"/>
        </w:rPr>
      </w:pPr>
    </w:p>
    <w:p>
      <w:pPr>
        <w:tabs>
          <w:tab w:val="left" w:pos="1161"/>
        </w:tabs>
        <w:bidi w:val="0"/>
        <w:jc w:val="left"/>
        <w:rPr>
          <w:rFonts w:hint="eastAsia"/>
          <w:lang w:val="en-US" w:eastAsia="zh-CN"/>
        </w:rPr>
      </w:pPr>
    </w:p>
    <w:p>
      <w:pPr>
        <w:tabs>
          <w:tab w:val="left" w:pos="1161"/>
        </w:tabs>
        <w:bidi w:val="0"/>
        <w:jc w:val="left"/>
        <w:rPr>
          <w:rFonts w:hint="eastAsia"/>
          <w:lang w:val="en-US" w:eastAsia="zh-CN"/>
        </w:rPr>
      </w:pPr>
    </w:p>
    <w:tbl>
      <w:tblPr>
        <w:tblStyle w:val="2"/>
        <w:tblW w:w="147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60"/>
        <w:gridCol w:w="4200"/>
        <w:gridCol w:w="3884"/>
        <w:gridCol w:w="4716"/>
        <w:gridCol w:w="13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14777" w:type="dxa"/>
            <w:gridSpan w:val="5"/>
            <w:tcBorders>
              <w:top w:val="nil"/>
              <w:left w:val="nil"/>
              <w:bottom w:val="nil"/>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lang w:val="en-US" w:eastAsia="zh-CN" w:bidi="ar"/>
              </w:rPr>
              <w:t>《东至县政府投资项目审计监督办法（修订）》对照表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42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原条款</w:t>
            </w:r>
          </w:p>
        </w:tc>
        <w:tc>
          <w:tcPr>
            <w:tcW w:w="3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修改后条款</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修改依据</w:t>
            </w:r>
          </w:p>
        </w:tc>
        <w:tc>
          <w:tcPr>
            <w:tcW w:w="13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2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第十三条   审计机关根据需要，可以委托具有法定资质的社会中介机构或者聘请具有与审计事项相关专业知识的人员参加审计工作。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审计机关应加强对委托中介机构和聘请的相关的指导、监督。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审计机关委托社会中介机构参加政府投资建设项目审计工作，应当采取招标等公平竞争方式。                </w:t>
            </w:r>
          </w:p>
        </w:tc>
        <w:tc>
          <w:tcPr>
            <w:tcW w:w="3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第十三条   审计机关根据需要，可以从有关单位内审机构和中介机构聘请外部专业人员参与审计项目。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审计机关应加强对聘请的专业人员的指导、监督。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中介机构专业人员参与审计项目，应按照“工作量+技术等级”并结合当地市场公允价格的方式付费。</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《中华人民共和国审计法》  “第十三条 审计机关根据工作需要，可以聘请具有与审计事项相关专业知识的人员参加审计工作。”</w:t>
            </w:r>
          </w:p>
        </w:tc>
        <w:tc>
          <w:tcPr>
            <w:tcW w:w="131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2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第十四条 审计机关委托的社会中介机构或者聘请的相关人员在政府投资建设项目审计中有违法行为的，审计机关应当及时停止其承担的工作，依法追究法律责任。</w:t>
            </w:r>
          </w:p>
        </w:tc>
        <w:tc>
          <w:tcPr>
            <w:tcW w:w="3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第十四条  审计机关聘请的专业人员在政府投资建设项目审计中有违法行为的，审计机关应当及时停止其承担的工作，依法追究法律责任。</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31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42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第十五条 审计机关履行政府投资建设项目审计监督职责所必需的经费，以及组织社会审计机构或者聘请专业人员参与审计发生的费用，应当列入县财政预算子以保障。</w:t>
            </w:r>
          </w:p>
        </w:tc>
        <w:tc>
          <w:tcPr>
            <w:tcW w:w="3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第十五条 审计机关履行政府投资建设项目审计监督职责所必需的经费，以及聘请专业人员参与审计发生的费用，应当列入县财政预算予以保障。</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31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42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第十六条 项目主管部门和建设单位应当按规定程序履行建设项目管理职责。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建设单位应建立内部审计机制，负责对建设项目竣工结算进行审核并出具报告，应对审核结果的真实性、合法性负责，项目竣(交) 工后应当及时组织编制项目竣工决算。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建设单位选择社会审计机构参与政府投资建设项目的竣工结算审核的，应当在审计机关招标的政府性投资项目审计中介机构备选库中公开选取确定，发生的审核费用列入项目建设成本。</w:t>
            </w:r>
          </w:p>
        </w:tc>
        <w:tc>
          <w:tcPr>
            <w:tcW w:w="3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第十六条 项目主管部门和建设单位应当按规定程序履行建设项目管理职责。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建设单位应建立内部审计机制，负责对建设项目竣工结算进行审核并出具报告，应对审核结果的真实性、合法性负责，项目竣（交）工后应当及时组织编制项目竣工结算。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单位应依法自主选择项目竣工结算审核中介机构，结算审核过程中，建设单位应加强对中介机构、施工等单位的管理，建设单位对项目竣工结算审核的结果负责。结算审核费用由建设单位依据规定在协议中约定支付。</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审计署关于进一步完善和规范投资审计工作的意见》“一、坚持依法审计，认真履行审计监督职责。各级审计机关要牢固树立依法审计意识，坚持在法定职责权限范围内开展审计工作，依法确定审计对象和范围，严格规范审计取证、资料获取、账户查询、延伸审计、审计处理等行为。审计机关和审计人员要依法独立行使审计监督权，不得参与工程项目建设决策和审批、征地拆迁、工程招标、物资采购、质量评价、工程结算等管理活动。”</w:t>
            </w:r>
          </w:p>
        </w:tc>
        <w:tc>
          <w:tcPr>
            <w:tcW w:w="131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42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第十八条 建设单位的政府投资建设项目竣工结算审核费用，可在合同约定按照下列方式处理: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(一) 对工程价款核减率 10%以下 (含 10%) 的，审计费用由建设单位承担;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 对工程价款核减率超过 10%、15%以下 (含 15%) 的，超出 10%部分的审计费用由施工单位承担;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(三) 对工程价款核减率超过 15%的，所有审计费用由施工单位承担，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(四) 由施工单位承担的审计费用从应付工程款中扣除。</w:t>
            </w:r>
          </w:p>
        </w:tc>
        <w:tc>
          <w:tcPr>
            <w:tcW w:w="3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建议删除</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省物价局关于放开部分行政审批前置服务收费的通知》“一、自2014年4月1日起，省级定价的涉税鉴证、验资、审计报告、法定资产评估、房地产价格评估、土地价格评估、工程造价咨询服务收费一律放开，由相关中介机构自主定价。”</w:t>
            </w:r>
          </w:p>
        </w:tc>
        <w:tc>
          <w:tcPr>
            <w:tcW w:w="131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3"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42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第二十一条 建设单位违反有关规定，在政府投资建设项目工程结算中多计工程价款的，由审计机关责令据实调整。</w:t>
            </w:r>
          </w:p>
        </w:tc>
        <w:tc>
          <w:tcPr>
            <w:tcW w:w="3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建议删除</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审计署关于进一步完善和规范投资审计工作的意见》“一、坚持依法审计，认真履行审计监督职责。各级审计机关要牢固树立依法审计意识，坚持在法定职责权限范围内开展审计工作，依法确定审计对象和范围，严格规范审计取证、资料获取、账户查询、延伸审计、审计处理等行为。审计机关和审计人员要依法独立行使审计监督权，不得参与工程项目建设决策和审批、征地拆迁、工程招标、物资采购、质量评价、工程结算等管理活动。”</w:t>
            </w:r>
          </w:p>
        </w:tc>
        <w:tc>
          <w:tcPr>
            <w:tcW w:w="131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42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第二十五条 集体资金投资的建设项目审计监督管理，可以参照本办法执行</w:t>
            </w:r>
          </w:p>
        </w:tc>
        <w:tc>
          <w:tcPr>
            <w:tcW w:w="38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建议删除</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第二十条</w:t>
            </w:r>
            <w:r>
              <w:rPr>
                <w:rStyle w:val="4"/>
                <w:rFonts w:eastAsia="宋体"/>
                <w:lang w:val="en-US" w:eastAsia="zh-CN" w:bidi="ar"/>
              </w:rPr>
              <w:t>  </w:t>
            </w:r>
            <w:r>
              <w:rPr>
                <w:rStyle w:val="5"/>
                <w:lang w:val="en-US" w:eastAsia="zh-CN" w:bidi="ar"/>
              </w:rPr>
              <w:t>审计法第二十二条所称政府投资和以政府投资为主的建设项目，包括：</w:t>
            </w:r>
            <w:r>
              <w:rPr>
                <w:rStyle w:val="5"/>
                <w:lang w:val="en-US" w:eastAsia="zh-CN" w:bidi="ar"/>
              </w:rPr>
              <w:br w:type="textWrapping"/>
            </w:r>
            <w:r>
              <w:rPr>
                <w:rStyle w:val="5"/>
                <w:lang w:val="en-US" w:eastAsia="zh-CN" w:bidi="ar"/>
              </w:rPr>
              <w:t>（一）全部使用预算内投资资金、专项建设基金、政府举借债务筹措的资金等财政资金的；</w:t>
            </w:r>
            <w:r>
              <w:rPr>
                <w:rStyle w:val="5"/>
                <w:lang w:val="en-US" w:eastAsia="zh-CN" w:bidi="ar"/>
              </w:rPr>
              <w:br w:type="textWrapping"/>
            </w:r>
            <w:r>
              <w:rPr>
                <w:rStyle w:val="5"/>
                <w:lang w:val="en-US" w:eastAsia="zh-CN" w:bidi="ar"/>
              </w:rPr>
              <w:t>（二）未全部使用财政资金，财政资金占项目总投资的比例超过50%，或者占项目总投资的比例在50%以下，但政府拥有项目建设、运营实际控制权的。</w:t>
            </w:r>
            <w:r>
              <w:rPr>
                <w:rStyle w:val="5"/>
                <w:lang w:val="en-US" w:eastAsia="zh-CN" w:bidi="ar"/>
              </w:rPr>
              <w:br w:type="textWrapping"/>
            </w:r>
            <w:r>
              <w:rPr>
                <w:rStyle w:val="5"/>
                <w:lang w:val="en-US" w:eastAsia="zh-CN" w:bidi="ar"/>
              </w:rPr>
              <w:t>审计机关对前款规定的建设项目的总预算或者概算的执行情况、年度预算的执行情况和年度决算、单项工程结算、项目竣工决算，依法进行审计监督；对前款规定的建设项目进行审计时，可以对直接有关的设计、施工、供货等单位取得建设项目资金的真实性、合法性进行调查。</w:t>
            </w:r>
          </w:p>
        </w:tc>
        <w:tc>
          <w:tcPr>
            <w:tcW w:w="1317" w:type="dxa"/>
            <w:tcBorders>
              <w:top w:val="nil"/>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0"/>
                <w:szCs w:val="20"/>
                <w:u w:val="none"/>
              </w:rPr>
            </w:pPr>
          </w:p>
        </w:tc>
      </w:tr>
    </w:tbl>
    <w:p>
      <w:pPr>
        <w:tabs>
          <w:tab w:val="left" w:pos="861"/>
        </w:tabs>
        <w:bidi w:val="0"/>
        <w:jc w:val="left"/>
        <w:rPr>
          <w:lang w:val="en-US" w:eastAsia="zh-CN"/>
        </w:rPr>
      </w:pPr>
    </w:p>
    <w:sectPr>
      <w:footerReference r:id="rId4"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snapToGrid w:val="0"/>
      <w:jc w:val="left"/>
      <w:rPr>
        <w:rFonts w:ascii="Times" w:hAnsi="Times" w:eastAsia="仿宋_GB2312" w:cs="Times New Roman"/>
        <w:kern w:val="2"/>
        <w:sz w:val="18"/>
        <w:szCs w:val="32"/>
        <w:lang w:val="en-US" w:eastAsia="zh-CN" w:bidi="ar-SA"/>
      </w:rPr>
    </w:pPr>
    <w:r>
      <w:rPr>
        <w:rFonts w:ascii="Times" w:hAnsi="Times" w:eastAsia="仿宋_GB2312" w:cs="Times New Roman"/>
        <w:kern w:val="2"/>
        <w:sz w:val="18"/>
        <w:szCs w:val="32"/>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widowControl w:val="0"/>
                            <w:tabs>
                              <w:tab w:val="center" w:pos="4153"/>
                              <w:tab w:val="right" w:pos="8306"/>
                            </w:tabs>
                            <w:snapToGrid w:val="0"/>
                            <w:jc w:val="left"/>
                            <w:rPr>
                              <w:rFonts w:ascii="Times" w:hAnsi="Times" w:eastAsia="仿宋_GB2312" w:cs="Times New Roman"/>
                              <w:kern w:val="2"/>
                              <w:sz w:val="18"/>
                              <w:szCs w:val="32"/>
                              <w:lang w:val="en-US" w:eastAsia="zh-CN" w:bidi="ar-SA"/>
                            </w:rPr>
                          </w:pPr>
                          <w:r>
                            <w:rPr>
                              <w:rFonts w:ascii="Times" w:hAnsi="Times" w:eastAsia="仿宋_GB2312" w:cs="Times New Roman"/>
                              <w:kern w:val="2"/>
                              <w:sz w:val="18"/>
                              <w:szCs w:val="32"/>
                              <w:lang w:val="en-US" w:eastAsia="zh-CN" w:bidi="ar-SA"/>
                            </w:rPr>
                            <w:fldChar w:fldCharType="begin"/>
                          </w:r>
                          <w:r>
                            <w:rPr>
                              <w:rFonts w:ascii="Times" w:hAnsi="Times" w:eastAsia="仿宋_GB2312" w:cs="Times New Roman"/>
                              <w:kern w:val="2"/>
                              <w:sz w:val="18"/>
                              <w:szCs w:val="32"/>
                              <w:lang w:val="en-US" w:eastAsia="zh-CN" w:bidi="ar-SA"/>
                            </w:rPr>
                            <w:instrText xml:space="preserve"> PAGE  \* MERGEFORMAT </w:instrText>
                          </w:r>
                          <w:r>
                            <w:rPr>
                              <w:rFonts w:ascii="Times" w:hAnsi="Times" w:eastAsia="仿宋_GB2312" w:cs="Times New Roman"/>
                              <w:kern w:val="2"/>
                              <w:sz w:val="18"/>
                              <w:szCs w:val="32"/>
                              <w:lang w:val="en-US" w:eastAsia="zh-CN" w:bidi="ar-SA"/>
                            </w:rPr>
                            <w:fldChar w:fldCharType="separate"/>
                          </w:r>
                          <w:r>
                            <w:rPr>
                              <w:rFonts w:ascii="Times" w:hAnsi="Times" w:eastAsia="仿宋_GB2312" w:cs="Times New Roman"/>
                              <w:kern w:val="2"/>
                              <w:sz w:val="18"/>
                              <w:szCs w:val="32"/>
                              <w:lang w:val="en-US" w:eastAsia="zh-CN" w:bidi="ar-SA"/>
                            </w:rPr>
                            <w:t>1</w:t>
                          </w:r>
                          <w:r>
                            <w:rPr>
                              <w:rFonts w:ascii="Times" w:hAnsi="Times" w:eastAsia="仿宋_GB2312" w:cs="Times New Roman"/>
                              <w:kern w:val="2"/>
                              <w:sz w:val="18"/>
                              <w:szCs w:val="32"/>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widowControl w:val="0"/>
                      <w:tabs>
                        <w:tab w:val="center" w:pos="4153"/>
                        <w:tab w:val="right" w:pos="8306"/>
                      </w:tabs>
                      <w:snapToGrid w:val="0"/>
                      <w:jc w:val="left"/>
                      <w:rPr>
                        <w:rFonts w:ascii="Times" w:hAnsi="Times" w:eastAsia="仿宋_GB2312" w:cs="Times New Roman"/>
                        <w:kern w:val="2"/>
                        <w:sz w:val="18"/>
                        <w:szCs w:val="32"/>
                        <w:lang w:val="en-US" w:eastAsia="zh-CN" w:bidi="ar-SA"/>
                      </w:rPr>
                    </w:pPr>
                    <w:r>
                      <w:rPr>
                        <w:rFonts w:ascii="Times" w:hAnsi="Times" w:eastAsia="仿宋_GB2312" w:cs="Times New Roman"/>
                        <w:kern w:val="2"/>
                        <w:sz w:val="18"/>
                        <w:szCs w:val="32"/>
                        <w:lang w:val="en-US" w:eastAsia="zh-CN" w:bidi="ar-SA"/>
                      </w:rPr>
                      <w:fldChar w:fldCharType="begin"/>
                    </w:r>
                    <w:r>
                      <w:rPr>
                        <w:rFonts w:ascii="Times" w:hAnsi="Times" w:eastAsia="仿宋_GB2312" w:cs="Times New Roman"/>
                        <w:kern w:val="2"/>
                        <w:sz w:val="18"/>
                        <w:szCs w:val="32"/>
                        <w:lang w:val="en-US" w:eastAsia="zh-CN" w:bidi="ar-SA"/>
                      </w:rPr>
                      <w:instrText xml:space="preserve"> PAGE  \* MERGEFORMAT </w:instrText>
                    </w:r>
                    <w:r>
                      <w:rPr>
                        <w:rFonts w:ascii="Times" w:hAnsi="Times" w:eastAsia="仿宋_GB2312" w:cs="Times New Roman"/>
                        <w:kern w:val="2"/>
                        <w:sz w:val="18"/>
                        <w:szCs w:val="32"/>
                        <w:lang w:val="en-US" w:eastAsia="zh-CN" w:bidi="ar-SA"/>
                      </w:rPr>
                      <w:fldChar w:fldCharType="separate"/>
                    </w:r>
                    <w:r>
                      <w:rPr>
                        <w:rFonts w:ascii="Times" w:hAnsi="Times" w:eastAsia="仿宋_GB2312" w:cs="Times New Roman"/>
                        <w:kern w:val="2"/>
                        <w:sz w:val="18"/>
                        <w:szCs w:val="32"/>
                        <w:lang w:val="en-US" w:eastAsia="zh-CN" w:bidi="ar-SA"/>
                      </w:rPr>
                      <w:t>1</w:t>
                    </w:r>
                    <w:r>
                      <w:rPr>
                        <w:rFonts w:ascii="Times" w:hAnsi="Times" w:eastAsia="仿宋_GB2312" w:cs="Times New Roman"/>
                        <w:kern w:val="2"/>
                        <w:sz w:val="18"/>
                        <w:szCs w:val="32"/>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snapToGrid w:val="0"/>
      <w:jc w:val="left"/>
      <w:rPr>
        <w:rFonts w:ascii="Times" w:hAnsi="Times" w:eastAsia="仿宋_GB2312" w:cs="Times New Roman"/>
        <w:kern w:val="2"/>
        <w:sz w:val="18"/>
        <w:szCs w:val="32"/>
        <w:lang w:val="en-US" w:eastAsia="zh-CN" w:bidi="ar-SA"/>
      </w:rPr>
    </w:pPr>
    <w:r>
      <w:rPr>
        <w:rFonts w:ascii="Times" w:hAnsi="Times" w:eastAsia="仿宋_GB2312" w:cs="Times New Roman"/>
        <w:kern w:val="2"/>
        <w:sz w:val="18"/>
        <w:szCs w:val="32"/>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widowControl w:val="0"/>
                            <w:tabs>
                              <w:tab w:val="center" w:pos="4153"/>
                              <w:tab w:val="right" w:pos="8306"/>
                            </w:tabs>
                            <w:snapToGrid w:val="0"/>
                            <w:jc w:val="left"/>
                            <w:rPr>
                              <w:rFonts w:ascii="Times" w:hAnsi="Times" w:eastAsia="仿宋_GB2312" w:cs="Times New Roman"/>
                              <w:kern w:val="2"/>
                              <w:sz w:val="18"/>
                              <w:szCs w:val="32"/>
                              <w:lang w:val="en-US" w:eastAsia="zh-CN" w:bidi="ar-SA"/>
                            </w:rPr>
                          </w:pPr>
                          <w:r>
                            <w:rPr>
                              <w:rFonts w:ascii="Times" w:hAnsi="Times" w:eastAsia="仿宋_GB2312" w:cs="Times New Roman"/>
                              <w:kern w:val="2"/>
                              <w:sz w:val="18"/>
                              <w:szCs w:val="32"/>
                              <w:lang w:val="en-US" w:eastAsia="zh-CN" w:bidi="ar-SA"/>
                            </w:rPr>
                            <w:fldChar w:fldCharType="begin"/>
                          </w:r>
                          <w:r>
                            <w:rPr>
                              <w:rFonts w:ascii="Times" w:hAnsi="Times" w:eastAsia="仿宋_GB2312" w:cs="Times New Roman"/>
                              <w:kern w:val="2"/>
                              <w:sz w:val="18"/>
                              <w:szCs w:val="32"/>
                              <w:lang w:val="en-US" w:eastAsia="zh-CN" w:bidi="ar-SA"/>
                            </w:rPr>
                            <w:instrText xml:space="preserve"> PAGE  \* MERGEFORMAT </w:instrText>
                          </w:r>
                          <w:r>
                            <w:rPr>
                              <w:rFonts w:ascii="Times" w:hAnsi="Times" w:eastAsia="仿宋_GB2312" w:cs="Times New Roman"/>
                              <w:kern w:val="2"/>
                              <w:sz w:val="18"/>
                              <w:szCs w:val="32"/>
                              <w:lang w:val="en-US" w:eastAsia="zh-CN" w:bidi="ar-SA"/>
                            </w:rPr>
                            <w:fldChar w:fldCharType="separate"/>
                          </w:r>
                          <w:r>
                            <w:rPr>
                              <w:rFonts w:ascii="Times" w:hAnsi="Times" w:eastAsia="仿宋_GB2312" w:cs="Times New Roman"/>
                              <w:kern w:val="2"/>
                              <w:sz w:val="18"/>
                              <w:szCs w:val="32"/>
                              <w:lang w:val="en-US" w:eastAsia="zh-CN" w:bidi="ar-SA"/>
                            </w:rPr>
                            <w:t>1</w:t>
                          </w:r>
                          <w:r>
                            <w:rPr>
                              <w:rFonts w:ascii="Times" w:hAnsi="Times" w:eastAsia="仿宋_GB2312" w:cs="Times New Roman"/>
                              <w:kern w:val="2"/>
                              <w:sz w:val="18"/>
                              <w:szCs w:val="32"/>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widowControl w:val="0"/>
                      <w:tabs>
                        <w:tab w:val="center" w:pos="4153"/>
                        <w:tab w:val="right" w:pos="8306"/>
                      </w:tabs>
                      <w:snapToGrid w:val="0"/>
                      <w:jc w:val="left"/>
                      <w:rPr>
                        <w:rFonts w:ascii="Times" w:hAnsi="Times" w:eastAsia="仿宋_GB2312" w:cs="Times New Roman"/>
                        <w:kern w:val="2"/>
                        <w:sz w:val="18"/>
                        <w:szCs w:val="32"/>
                        <w:lang w:val="en-US" w:eastAsia="zh-CN" w:bidi="ar-SA"/>
                      </w:rPr>
                    </w:pPr>
                    <w:r>
                      <w:rPr>
                        <w:rFonts w:ascii="Times" w:hAnsi="Times" w:eastAsia="仿宋_GB2312" w:cs="Times New Roman"/>
                        <w:kern w:val="2"/>
                        <w:sz w:val="18"/>
                        <w:szCs w:val="32"/>
                        <w:lang w:val="en-US" w:eastAsia="zh-CN" w:bidi="ar-SA"/>
                      </w:rPr>
                      <w:fldChar w:fldCharType="begin"/>
                    </w:r>
                    <w:r>
                      <w:rPr>
                        <w:rFonts w:ascii="Times" w:hAnsi="Times" w:eastAsia="仿宋_GB2312" w:cs="Times New Roman"/>
                        <w:kern w:val="2"/>
                        <w:sz w:val="18"/>
                        <w:szCs w:val="32"/>
                        <w:lang w:val="en-US" w:eastAsia="zh-CN" w:bidi="ar-SA"/>
                      </w:rPr>
                      <w:instrText xml:space="preserve"> PAGE  \* MERGEFORMAT </w:instrText>
                    </w:r>
                    <w:r>
                      <w:rPr>
                        <w:rFonts w:ascii="Times" w:hAnsi="Times" w:eastAsia="仿宋_GB2312" w:cs="Times New Roman"/>
                        <w:kern w:val="2"/>
                        <w:sz w:val="18"/>
                        <w:szCs w:val="32"/>
                        <w:lang w:val="en-US" w:eastAsia="zh-CN" w:bidi="ar-SA"/>
                      </w:rPr>
                      <w:fldChar w:fldCharType="separate"/>
                    </w:r>
                    <w:r>
                      <w:rPr>
                        <w:rFonts w:ascii="Times" w:hAnsi="Times" w:eastAsia="仿宋_GB2312" w:cs="Times New Roman"/>
                        <w:kern w:val="2"/>
                        <w:sz w:val="18"/>
                        <w:szCs w:val="32"/>
                        <w:lang w:val="en-US" w:eastAsia="zh-CN" w:bidi="ar-SA"/>
                      </w:rPr>
                      <w:t>1</w:t>
                    </w:r>
                    <w:r>
                      <w:rPr>
                        <w:rFonts w:ascii="Times" w:hAnsi="Times" w:eastAsia="仿宋_GB2312" w:cs="Times New Roman"/>
                        <w:kern w:val="2"/>
                        <w:sz w:val="18"/>
                        <w:szCs w:val="32"/>
                        <w:lang w:val="en-US" w:eastAsia="zh-CN" w:bidi="ar-S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F97922"/>
    <w:multiLevelType w:val="singleLevel"/>
    <w:tmpl w:val="B1F97922"/>
    <w:lvl w:ilvl="0" w:tentative="0">
      <w:start w:val="3"/>
      <w:numFmt w:val="chineseCounting"/>
      <w:suff w:val="nothing"/>
      <w:lvlText w:val="%1、"/>
      <w:lvlJc w:val="left"/>
      <w:rPr>
        <w:rFonts w:hint="eastAsia"/>
      </w:rPr>
    </w:lvl>
  </w:abstractNum>
  <w:abstractNum w:abstractNumId="1">
    <w:nsid w:val="0E522A5A"/>
    <w:multiLevelType w:val="singleLevel"/>
    <w:tmpl w:val="0E522A5A"/>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5ZGM3MmFjOTQzMzdhMTNiODdmODZiYTMxNWVjYzUifQ=="/>
  </w:docVars>
  <w:rsids>
    <w:rsidRoot w:val="00000000"/>
    <w:rsid w:val="56C17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font41"/>
    <w:basedOn w:val="3"/>
    <w:qFormat/>
    <w:uiPriority w:val="0"/>
    <w:rPr>
      <w:rFonts w:hint="default" w:ascii="Times New Roman" w:hAnsi="Times New Roman" w:cs="Times New Roman"/>
      <w:color w:val="000000"/>
      <w:sz w:val="20"/>
      <w:szCs w:val="20"/>
      <w:u w:val="none"/>
    </w:rPr>
  </w:style>
  <w:style w:type="character" w:customStyle="1" w:styleId="5">
    <w:name w:val="font11"/>
    <w:basedOn w:val="3"/>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2023-12-12T01:50:34Z</dcterms:created>
  <dc:creator>Administrator</dc:creator>
  <cp:lastModifiedBy>李嘉敏</cp:lastModifiedBy>
  <dcterms:modified xsi:type="dcterms:W3CDTF">2023-12-12T01:55:02Z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676585BD29BF458EBFA68ECB15CE57D7_12</vt:lpwstr>
  </property>
</Properties>
</file>