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9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pStyle w:val="BodyText"/>
        <w:tabs>
          <w:tab w:pos="4639" w:val="left" w:leader="none"/>
          <w:tab w:pos="7199" w:val="left" w:leader="none"/>
        </w:tabs>
        <w:spacing w:line="240" w:lineRule="auto" w:before="0"/>
        <w:ind w:left="0" w:right="476"/>
        <w:jc w:val="right"/>
        <w:rPr>
          <w:rFonts w:ascii="楷体_GB2312" w:hAnsi="楷体_GB2312" w:cs="楷体_GB2312" w:eastAsia="楷体_GB2312"/>
        </w:rPr>
      </w:pPr>
      <w:r>
        <w:rPr>
          <w:rFonts w:ascii="楷体_GB2312" w:hAnsi="楷体_GB2312" w:cs="楷体_GB2312" w:eastAsia="楷体_GB2312"/>
        </w:rPr>
        <w:t>东医保〔2021〕 7</w:t>
      </w:r>
      <w:r>
        <w:rPr>
          <w:rFonts w:ascii="楷体_GB2312" w:hAnsi="楷体_GB2312" w:cs="楷体_GB2312" w:eastAsia="楷体_GB2312"/>
          <w:spacing w:val="-6"/>
        </w:rPr>
        <w:t> </w:t>
      </w:r>
      <w:r>
        <w:rPr>
          <w:rFonts w:ascii="楷体_GB2312" w:hAnsi="楷体_GB2312" w:cs="楷体_GB2312" w:eastAsia="楷体_GB2312"/>
        </w:rPr>
        <w:t>号</w:t>
        <w:tab/>
      </w:r>
      <w:r>
        <w:rPr>
          <w:rFonts w:ascii="楷体_GB2312" w:hAnsi="楷体_GB2312" w:cs="楷体_GB2312" w:eastAsia="楷体_GB2312"/>
          <w:w w:val="95"/>
        </w:rPr>
        <w:t>签发人：朱开明</w:t>
        <w:tab/>
        <w:t>冯腊旺</w:t>
      </w:r>
      <w:r>
        <w:rPr>
          <w:rFonts w:ascii="楷体_GB2312" w:hAnsi="楷体_GB2312" w:cs="楷体_GB2312" w:eastAsia="楷体_GB2312"/>
        </w:rPr>
      </w:r>
    </w:p>
    <w:p>
      <w:pPr>
        <w:pStyle w:val="BodyText"/>
        <w:tabs>
          <w:tab w:pos="1279" w:val="left" w:leader="none"/>
        </w:tabs>
        <w:spacing w:line="240" w:lineRule="auto" w:before="219"/>
        <w:ind w:left="0" w:right="447"/>
        <w:jc w:val="right"/>
        <w:rPr>
          <w:rFonts w:ascii="楷体_GB2312" w:hAnsi="楷体_GB2312" w:cs="楷体_GB2312" w:eastAsia="楷体_GB2312"/>
        </w:rPr>
      </w:pPr>
      <w:r>
        <w:rPr>
          <w:rFonts w:ascii="楷体_GB2312" w:hAnsi="楷体_GB2312" w:cs="楷体_GB2312" w:eastAsia="楷体_GB2312"/>
          <w:w w:val="95"/>
        </w:rPr>
        <w:t>钱争取</w:t>
        <w:tab/>
        <w:t>钱张红</w:t>
      </w:r>
      <w:r>
        <w:rPr>
          <w:rFonts w:ascii="楷体_GB2312" w:hAnsi="楷体_GB2312" w:cs="楷体_GB2312" w:eastAsia="楷体_GB2312"/>
        </w:rPr>
      </w:r>
    </w:p>
    <w:p>
      <w:pPr>
        <w:spacing w:line="240" w:lineRule="auto" w:before="0"/>
        <w:rPr>
          <w:rFonts w:ascii="楷体_GB2312" w:hAnsi="楷体_GB2312" w:cs="楷体_GB2312" w:eastAsia="楷体_GB2312"/>
          <w:sz w:val="32"/>
          <w:szCs w:val="32"/>
        </w:rPr>
      </w:pPr>
    </w:p>
    <w:p>
      <w:pPr>
        <w:spacing w:line="240" w:lineRule="auto" w:before="0"/>
        <w:rPr>
          <w:rFonts w:ascii="楷体_GB2312" w:hAnsi="楷体_GB2312" w:cs="楷体_GB2312" w:eastAsia="楷体_GB2312"/>
          <w:sz w:val="32"/>
          <w:szCs w:val="32"/>
        </w:rPr>
      </w:pPr>
    </w:p>
    <w:p>
      <w:pPr>
        <w:pStyle w:val="Heading1"/>
        <w:spacing w:line="240" w:lineRule="auto" w:before="212"/>
        <w:ind w:right="0"/>
        <w:jc w:val="left"/>
      </w:pPr>
      <w:r>
        <w:rPr/>
        <w:t>关于印发东至县城乡医疗救助实施方案的通知</w:t>
      </w:r>
    </w:p>
    <w:p>
      <w:pPr>
        <w:spacing w:line="240" w:lineRule="auto" w:before="7"/>
        <w:rPr>
          <w:rFonts w:ascii="方正小标宋简体" w:hAnsi="方正小标宋简体" w:cs="方正小标宋简体" w:eastAsia="方正小标宋简体"/>
          <w:sz w:val="35"/>
          <w:szCs w:val="35"/>
        </w:rPr>
      </w:pPr>
    </w:p>
    <w:p>
      <w:pPr>
        <w:spacing w:line="331" w:lineRule="auto" w:before="0"/>
        <w:ind w:left="730" w:right="0" w:hanging="624"/>
        <w:jc w:val="left"/>
        <w:rPr>
          <w:rFonts w:ascii="仿宋_GB2312" w:hAnsi="仿宋_GB2312" w:cs="仿宋_GB2312" w:eastAsia="仿宋_GB2312"/>
          <w:sz w:val="31"/>
          <w:szCs w:val="31"/>
        </w:rPr>
      </w:pPr>
      <w:r>
        <w:rPr>
          <w:rFonts w:ascii="仿宋_GB2312" w:hAnsi="仿宋_GB2312" w:cs="仿宋_GB2312" w:eastAsia="仿宋_GB2312"/>
          <w:sz w:val="31"/>
          <w:szCs w:val="31"/>
        </w:rPr>
        <w:t>各乡镇、县直有关部门： </w:t>
      </w:r>
      <w:r>
        <w:rPr>
          <w:rFonts w:ascii="仿宋_GB2312" w:hAnsi="仿宋_GB2312" w:cs="仿宋_GB2312" w:eastAsia="仿宋_GB2312"/>
          <w:spacing w:val="-7"/>
          <w:sz w:val="31"/>
          <w:szCs w:val="31"/>
        </w:rPr>
        <w:t>为保障困难群众基本医疗权益，现将《东至县城乡医疗救助实</w:t>
      </w:r>
    </w:p>
    <w:p>
      <w:pPr>
        <w:spacing w:before="35"/>
        <w:ind w:left="106" w:right="0" w:firstLine="0"/>
        <w:jc w:val="left"/>
        <w:rPr>
          <w:rFonts w:ascii="仿宋_GB2312" w:hAnsi="仿宋_GB2312" w:cs="仿宋_GB2312" w:eastAsia="仿宋_GB2312"/>
          <w:sz w:val="31"/>
          <w:szCs w:val="31"/>
        </w:rPr>
      </w:pPr>
      <w:r>
        <w:rPr>
          <w:rFonts w:ascii="仿宋_GB2312" w:hAnsi="仿宋_GB2312" w:cs="仿宋_GB2312" w:eastAsia="仿宋_GB2312"/>
          <w:sz w:val="31"/>
          <w:szCs w:val="31"/>
        </w:rPr>
        <w:t>施方案》印发给你们，请认真组织实施。</w:t>
      </w:r>
    </w:p>
    <w:p>
      <w:pPr>
        <w:spacing w:line="240" w:lineRule="auto" w:before="0"/>
        <w:rPr>
          <w:rFonts w:ascii="仿宋_GB2312" w:hAnsi="仿宋_GB2312" w:cs="仿宋_GB2312" w:eastAsia="仿宋_GB2312"/>
          <w:sz w:val="30"/>
          <w:szCs w:val="30"/>
        </w:rPr>
      </w:pPr>
    </w:p>
    <w:p>
      <w:pPr>
        <w:spacing w:line="240" w:lineRule="auto" w:before="0"/>
        <w:rPr>
          <w:rFonts w:ascii="仿宋_GB2312" w:hAnsi="仿宋_GB2312" w:cs="仿宋_GB2312" w:eastAsia="仿宋_GB2312"/>
          <w:sz w:val="30"/>
          <w:szCs w:val="30"/>
        </w:rPr>
      </w:pPr>
    </w:p>
    <w:p>
      <w:pPr>
        <w:spacing w:line="240" w:lineRule="auto" w:before="0"/>
        <w:rPr>
          <w:rFonts w:ascii="仿宋_GB2312" w:hAnsi="仿宋_GB2312" w:cs="仿宋_GB2312" w:eastAsia="仿宋_GB2312"/>
          <w:sz w:val="30"/>
          <w:szCs w:val="30"/>
        </w:rPr>
      </w:pPr>
    </w:p>
    <w:p>
      <w:pPr>
        <w:spacing w:line="240" w:lineRule="auto" w:before="2"/>
        <w:rPr>
          <w:rFonts w:ascii="仿宋_GB2312" w:hAnsi="仿宋_GB2312" w:cs="仿宋_GB2312" w:eastAsia="仿宋_GB2312"/>
          <w:sz w:val="37"/>
          <w:szCs w:val="37"/>
        </w:rPr>
      </w:pPr>
    </w:p>
    <w:p>
      <w:pPr>
        <w:pStyle w:val="BodyText"/>
        <w:tabs>
          <w:tab w:pos="6346" w:val="left" w:leader="none"/>
        </w:tabs>
        <w:spacing w:line="240" w:lineRule="auto" w:before="0"/>
        <w:ind w:right="0"/>
        <w:jc w:val="left"/>
      </w:pPr>
      <w:r>
        <w:rPr>
          <w:w w:val="95"/>
        </w:rPr>
        <w:t>东至县医疗保障局</w:t>
        <w:tab/>
      </w:r>
      <w:r>
        <w:rPr/>
        <w:t>东至县财政局</w:t>
      </w:r>
    </w:p>
    <w:p>
      <w:pPr>
        <w:spacing w:after="0" w:line="240" w:lineRule="auto"/>
        <w:jc w:val="left"/>
        <w:sectPr>
          <w:footerReference w:type="default" r:id="rId5"/>
          <w:footerReference w:type="even" r:id="rId6"/>
          <w:type w:val="continuous"/>
          <w:pgSz w:w="11910" w:h="16840"/>
          <w:pgMar w:footer="1294" w:top="1580" w:bottom="1480" w:left="1480" w:right="1360"/>
        </w:sectPr>
      </w:pPr>
    </w:p>
    <w:p>
      <w:pPr>
        <w:spacing w:line="240" w:lineRule="auto" w:before="7"/>
        <w:rPr>
          <w:rFonts w:ascii="仿宋_GB2312" w:hAnsi="仿宋_GB2312" w:cs="仿宋_GB2312" w:eastAsia="仿宋_GB2312"/>
          <w:sz w:val="13"/>
          <w:szCs w:val="13"/>
        </w:rPr>
      </w:pPr>
    </w:p>
    <w:p>
      <w:pPr>
        <w:pStyle w:val="BodyText"/>
        <w:spacing w:line="240" w:lineRule="auto" w:before="0"/>
        <w:ind w:left="747" w:right="0"/>
        <w:jc w:val="left"/>
      </w:pPr>
      <w:r>
        <w:rPr/>
        <w:t>（此页无正文）</w:t>
      </w:r>
    </w:p>
    <w:p>
      <w:pPr>
        <w:spacing w:line="240" w:lineRule="auto" w:before="0"/>
        <w:rPr>
          <w:rFonts w:ascii="仿宋_GB2312" w:hAnsi="仿宋_GB2312" w:cs="仿宋_GB2312" w:eastAsia="仿宋_GB2312"/>
          <w:sz w:val="32"/>
          <w:szCs w:val="32"/>
        </w:rPr>
      </w:pPr>
    </w:p>
    <w:p>
      <w:pPr>
        <w:spacing w:line="240" w:lineRule="auto" w:before="0"/>
        <w:rPr>
          <w:rFonts w:ascii="仿宋_GB2312" w:hAnsi="仿宋_GB2312" w:cs="仿宋_GB2312" w:eastAsia="仿宋_GB2312"/>
          <w:sz w:val="32"/>
          <w:szCs w:val="32"/>
        </w:rPr>
      </w:pPr>
    </w:p>
    <w:p>
      <w:pPr>
        <w:spacing w:line="240" w:lineRule="auto" w:before="0"/>
        <w:rPr>
          <w:rFonts w:ascii="仿宋_GB2312" w:hAnsi="仿宋_GB2312" w:cs="仿宋_GB2312" w:eastAsia="仿宋_GB2312"/>
          <w:sz w:val="32"/>
          <w:szCs w:val="32"/>
        </w:rPr>
      </w:pPr>
    </w:p>
    <w:p>
      <w:pPr>
        <w:spacing w:line="240" w:lineRule="auto" w:before="0"/>
        <w:rPr>
          <w:rFonts w:ascii="仿宋_GB2312" w:hAnsi="仿宋_GB2312" w:cs="仿宋_GB2312" w:eastAsia="仿宋_GB2312"/>
          <w:sz w:val="32"/>
          <w:szCs w:val="32"/>
        </w:rPr>
      </w:pPr>
    </w:p>
    <w:p>
      <w:pPr>
        <w:spacing w:line="240" w:lineRule="auto" w:before="0"/>
        <w:rPr>
          <w:rFonts w:ascii="仿宋_GB2312" w:hAnsi="仿宋_GB2312" w:cs="仿宋_GB2312" w:eastAsia="仿宋_GB2312"/>
          <w:sz w:val="32"/>
          <w:szCs w:val="32"/>
        </w:rPr>
      </w:pPr>
    </w:p>
    <w:p>
      <w:pPr>
        <w:spacing w:line="240" w:lineRule="auto" w:before="5"/>
        <w:rPr>
          <w:rFonts w:ascii="仿宋_GB2312" w:hAnsi="仿宋_GB2312" w:cs="仿宋_GB2312" w:eastAsia="仿宋_GB2312"/>
          <w:sz w:val="40"/>
          <w:szCs w:val="40"/>
        </w:rPr>
      </w:pPr>
    </w:p>
    <w:p>
      <w:pPr>
        <w:pStyle w:val="BodyText"/>
        <w:tabs>
          <w:tab w:pos="5866" w:val="left" w:leader="none"/>
        </w:tabs>
        <w:spacing w:line="436" w:lineRule="auto" w:before="0"/>
        <w:ind w:left="6027" w:right="237" w:hanging="5280"/>
        <w:jc w:val="right"/>
      </w:pPr>
      <w:r>
        <w:rPr>
          <w:w w:val="95"/>
        </w:rPr>
        <w:t>东至县民政局</w:t>
        <w:tab/>
        <w:t>东至县扶贫开民局</w:t>
      </w:r>
      <w:r>
        <w:rPr>
          <w:spacing w:val="-120"/>
          <w:w w:val="95"/>
        </w:rPr>
        <w:t> </w:t>
      </w:r>
      <w:r>
        <w:rPr>
          <w:spacing w:val="-120"/>
          <w:w w:val="95"/>
        </w:rPr>
      </w:r>
      <w:r>
        <w:rPr/>
        <w:t>2021</w:t>
      </w:r>
      <w:r>
        <w:rPr>
          <w:spacing w:val="-82"/>
        </w:rPr>
        <w:t> </w:t>
      </w:r>
      <w:r>
        <w:rPr/>
        <w:t>年</w:t>
      </w:r>
      <w:r>
        <w:rPr>
          <w:spacing w:val="-81"/>
        </w:rPr>
        <w:t> </w:t>
      </w:r>
      <w:r>
        <w:rPr/>
        <w:t>5</w:t>
      </w:r>
      <w:r>
        <w:rPr>
          <w:spacing w:val="-82"/>
        </w:rPr>
        <w:t> </w:t>
      </w:r>
      <w:r>
        <w:rPr/>
        <w:t>月</w:t>
      </w:r>
      <w:r>
        <w:rPr>
          <w:spacing w:val="-83"/>
        </w:rPr>
        <w:t> </w:t>
      </w:r>
      <w:r>
        <w:rPr/>
        <w:t>11</w:t>
      </w:r>
      <w:r>
        <w:rPr>
          <w:spacing w:val="-82"/>
        </w:rPr>
        <w:t> </w:t>
      </w:r>
      <w:r>
        <w:rPr/>
        <w:t>日</w:t>
      </w:r>
    </w:p>
    <w:p>
      <w:pPr>
        <w:spacing w:after="0" w:line="436" w:lineRule="auto"/>
        <w:jc w:val="right"/>
        <w:sectPr>
          <w:pgSz w:w="11910" w:h="16840"/>
          <w:pgMar w:header="0" w:footer="1294" w:top="1580" w:bottom="1480" w:left="1480" w:right="1680"/>
        </w:sectPr>
      </w:pPr>
    </w:p>
    <w:p>
      <w:pPr>
        <w:spacing w:line="240" w:lineRule="auto" w:before="1"/>
        <w:rPr>
          <w:rFonts w:ascii="仿宋_GB2312" w:hAnsi="仿宋_GB2312" w:cs="仿宋_GB2312" w:eastAsia="仿宋_GB2312"/>
          <w:sz w:val="9"/>
          <w:szCs w:val="9"/>
        </w:rPr>
      </w:pPr>
    </w:p>
    <w:p>
      <w:pPr>
        <w:pStyle w:val="Heading1"/>
        <w:spacing w:line="560" w:lineRule="exact"/>
        <w:ind w:left="1668" w:right="0"/>
        <w:jc w:val="left"/>
      </w:pPr>
      <w:r>
        <w:rPr/>
        <w:t>东至县城乡医疗救助实施方案</w:t>
      </w:r>
    </w:p>
    <w:p>
      <w:pPr>
        <w:spacing w:line="240" w:lineRule="auto" w:before="12"/>
        <w:rPr>
          <w:rFonts w:ascii="方正小标宋简体" w:hAnsi="方正小标宋简体" w:cs="方正小标宋简体" w:eastAsia="方正小标宋简体"/>
          <w:sz w:val="39"/>
          <w:szCs w:val="39"/>
        </w:rPr>
      </w:pPr>
    </w:p>
    <w:p>
      <w:pPr>
        <w:pStyle w:val="BodyText"/>
        <w:spacing w:line="321" w:lineRule="auto" w:before="0"/>
        <w:ind w:right="278" w:firstLine="640"/>
        <w:jc w:val="both"/>
      </w:pPr>
      <w:r>
        <w:rPr>
          <w:spacing w:val="2"/>
        </w:rPr>
        <w:t>为贯彻落实《中共安徽省委</w:t>
      </w:r>
      <w:r>
        <w:rPr>
          <w:spacing w:val="-10"/>
        </w:rPr>
        <w:t> </w:t>
      </w:r>
      <w:r>
        <w:rPr>
          <w:spacing w:val="2"/>
        </w:rPr>
        <w:t>安徽省人民政府关于深化医疗</w:t>
      </w:r>
      <w:r>
        <w:rPr>
          <w:w w:val="99"/>
        </w:rPr>
        <w:t> </w:t>
      </w:r>
      <w:r>
        <w:rPr>
          <w:spacing w:val="4"/>
        </w:rPr>
        <w:t>保障制度改革的实施意见》（皖发〔2020〕27</w:t>
      </w:r>
      <w:r>
        <w:rPr>
          <w:spacing w:val="-78"/>
        </w:rPr>
        <w:t> </w:t>
      </w:r>
      <w:r>
        <w:rPr>
          <w:spacing w:val="4"/>
        </w:rPr>
        <w:t>号）有关精神，</w:t>
      </w:r>
      <w:r>
        <w:rPr>
          <w:w w:val="99"/>
        </w:rPr>
        <w:t> </w:t>
      </w:r>
      <w:r>
        <w:rPr/>
        <w:t>根据《安徽省人民政府关于</w:t>
      </w:r>
      <w:r>
        <w:rPr>
          <w:spacing w:val="-83"/>
        </w:rPr>
        <w:t> </w:t>
      </w:r>
      <w:r>
        <w:rPr/>
        <w:t>2021</w:t>
      </w:r>
      <w:r>
        <w:rPr>
          <w:spacing w:val="-84"/>
        </w:rPr>
        <w:t> </w:t>
      </w:r>
      <w:r>
        <w:rPr/>
        <w:t>年实施</w:t>
      </w:r>
      <w:r>
        <w:rPr>
          <w:spacing w:val="-84"/>
        </w:rPr>
        <w:t> </w:t>
      </w:r>
      <w:r>
        <w:rPr/>
        <w:t>33</w:t>
      </w:r>
      <w:r>
        <w:rPr>
          <w:spacing w:val="-84"/>
        </w:rPr>
        <w:t> </w:t>
      </w:r>
      <w:r>
        <w:rPr/>
        <w:t>项民生工程的通知》</w:t>
      </w:r>
    </w:p>
    <w:p>
      <w:pPr>
        <w:pStyle w:val="BodyText"/>
        <w:spacing w:line="321" w:lineRule="auto"/>
        <w:ind w:right="391"/>
        <w:jc w:val="both"/>
      </w:pPr>
      <w:r>
        <w:rPr>
          <w:spacing w:val="3"/>
        </w:rPr>
        <w:t>（皖政〔2021〕24</w:t>
      </w:r>
      <w:r>
        <w:rPr>
          <w:spacing w:val="-88"/>
        </w:rPr>
        <w:t> </w:t>
      </w:r>
      <w:r>
        <w:rPr>
          <w:spacing w:val="5"/>
        </w:rPr>
        <w:t>号）和《安徽省医疗救助与城乡居民大病保</w:t>
      </w:r>
      <w:r>
        <w:rPr>
          <w:w w:val="99"/>
        </w:rPr>
        <w:t> </w:t>
      </w:r>
      <w:r>
        <w:rPr/>
        <w:t>险有效衔接实施方案》（皖民社救字〔2017〕112</w:t>
      </w:r>
      <w:r>
        <w:rPr>
          <w:spacing w:val="-117"/>
        </w:rPr>
        <w:t> </w:t>
      </w:r>
      <w:r>
        <w:rPr/>
        <w:t>号）《关于印</w:t>
      </w:r>
      <w:r>
        <w:rPr>
          <w:w w:val="99"/>
        </w:rPr>
        <w:t> </w:t>
      </w:r>
      <w:r>
        <w:rPr/>
        <w:t>发池州市城乡医疗救助实施方案的通知》（池医保发〔2021〕7</w:t>
      </w:r>
      <w:r>
        <w:rPr>
          <w:w w:val="99"/>
        </w:rPr>
        <w:t> </w:t>
      </w:r>
      <w:r>
        <w:rPr>
          <w:spacing w:val="-4"/>
          <w:w w:val="95"/>
        </w:rPr>
        <w:t>号）等文件精神，推动实施城乡医疗救助民生工程项目，制定本</w:t>
      </w:r>
      <w:r>
        <w:rPr>
          <w:spacing w:val="134"/>
          <w:w w:val="95"/>
        </w:rPr>
        <w:t> </w:t>
      </w:r>
      <w:r>
        <w:rPr>
          <w:spacing w:val="134"/>
          <w:w w:val="95"/>
        </w:rPr>
      </w:r>
      <w:r>
        <w:rPr/>
        <w:t>实施方案。</w:t>
      </w:r>
    </w:p>
    <w:p>
      <w:pPr>
        <w:pStyle w:val="BodyText"/>
        <w:spacing w:line="240" w:lineRule="auto" w:before="34"/>
        <w:ind w:left="747" w:right="0"/>
        <w:jc w:val="left"/>
        <w:rPr>
          <w:rFonts w:ascii="黑体" w:hAnsi="黑体" w:cs="黑体" w:eastAsia="黑体"/>
        </w:rPr>
      </w:pPr>
      <w:r>
        <w:rPr>
          <w:rFonts w:ascii="黑体" w:hAnsi="黑体" w:cs="黑体" w:eastAsia="黑体"/>
        </w:rPr>
        <w:t>一、指导思想</w:t>
      </w:r>
    </w:p>
    <w:p>
      <w:pPr>
        <w:pStyle w:val="BodyText"/>
        <w:spacing w:line="321" w:lineRule="auto" w:before="140"/>
        <w:ind w:right="0" w:firstLine="640"/>
        <w:jc w:val="left"/>
      </w:pPr>
      <w:r>
        <w:rPr>
          <w:spacing w:val="-4"/>
        </w:rPr>
        <w:t>坚持以习近平新时代中国特色社会主义思想为指导，深入贯</w:t>
      </w:r>
      <w:r>
        <w:rPr>
          <w:w w:val="99"/>
        </w:rPr>
        <w:t> </w:t>
      </w:r>
      <w:r>
        <w:rPr/>
        <w:t>彻落实党的十九大和十九届二中、三中、四中、五中全会精神，</w:t>
      </w:r>
      <w:r>
        <w:rPr>
          <w:w w:val="99"/>
        </w:rPr>
        <w:t> </w:t>
      </w:r>
      <w:r>
        <w:rPr/>
        <w:t>按照兜底线、织密网、建机制的要求，统筹城乡医疗救助体系，</w:t>
      </w:r>
      <w:r>
        <w:rPr>
          <w:w w:val="99"/>
        </w:rPr>
        <w:t> </w:t>
      </w:r>
      <w:r>
        <w:rPr>
          <w:spacing w:val="-4"/>
        </w:rPr>
        <w:t>完善城乡医疗救助制度，实现困难群众享有基本医疗保障，最大</w:t>
      </w:r>
      <w:r>
        <w:rPr>
          <w:w w:val="99"/>
        </w:rPr>
        <w:t> </w:t>
      </w:r>
      <w:r>
        <w:rPr/>
        <w:t>限度减轻困难群众医疗支出负担。</w:t>
      </w:r>
    </w:p>
    <w:p>
      <w:pPr>
        <w:pStyle w:val="BodyText"/>
        <w:spacing w:line="240" w:lineRule="auto" w:before="34"/>
        <w:ind w:left="747" w:right="0"/>
        <w:jc w:val="left"/>
        <w:rPr>
          <w:rFonts w:ascii="黑体" w:hAnsi="黑体" w:cs="黑体" w:eastAsia="黑体"/>
        </w:rPr>
      </w:pPr>
      <w:r>
        <w:rPr>
          <w:rFonts w:ascii="黑体" w:hAnsi="黑体" w:cs="黑体" w:eastAsia="黑体"/>
        </w:rPr>
        <w:t>二、目标任务</w:t>
      </w:r>
    </w:p>
    <w:p>
      <w:pPr>
        <w:pStyle w:val="BodyText"/>
        <w:spacing w:line="321" w:lineRule="auto" w:before="140"/>
        <w:ind w:right="0" w:firstLine="640"/>
        <w:jc w:val="left"/>
      </w:pPr>
      <w:r>
        <w:rPr/>
        <w:t>资助困难群众参保全覆盖，稳定实现特困人员、低保对象、</w:t>
      </w:r>
      <w:r>
        <w:rPr>
          <w:w w:val="99"/>
        </w:rPr>
        <w:t> </w:t>
      </w:r>
      <w:r>
        <w:rPr>
          <w:spacing w:val="-4"/>
        </w:rPr>
        <w:t>脱贫人口等全部纳入基本医疗保险、大病保险和医疗救助制度覆</w:t>
      </w:r>
      <w:r>
        <w:rPr>
          <w:w w:val="99"/>
        </w:rPr>
        <w:t> </w:t>
      </w:r>
      <w:r>
        <w:rPr>
          <w:spacing w:val="-4"/>
        </w:rPr>
        <w:t>盖范围。住院救助和门诊救助应救尽救，以保障困难群众基本医</w:t>
      </w:r>
      <w:r>
        <w:rPr>
          <w:w w:val="99"/>
        </w:rPr>
        <w:t> </w:t>
      </w:r>
      <w:r>
        <w:rPr/>
        <w:t>疗权益为目标，最大限度减轻困难群众医疗支出负担。</w:t>
      </w:r>
    </w:p>
    <w:p>
      <w:pPr>
        <w:pStyle w:val="BodyText"/>
        <w:spacing w:line="240" w:lineRule="auto"/>
        <w:ind w:left="747" w:right="0"/>
        <w:jc w:val="left"/>
        <w:rPr>
          <w:rFonts w:ascii="黑体" w:hAnsi="黑体" w:cs="黑体" w:eastAsia="黑体"/>
        </w:rPr>
      </w:pPr>
      <w:r>
        <w:rPr>
          <w:rFonts w:ascii="黑体" w:hAnsi="黑体" w:cs="黑体" w:eastAsia="黑体"/>
        </w:rPr>
        <w:t>三、救助对象</w:t>
      </w:r>
    </w:p>
    <w:p>
      <w:pPr>
        <w:pStyle w:val="BodyText"/>
        <w:spacing w:line="240" w:lineRule="auto" w:before="143"/>
        <w:ind w:left="747" w:right="0"/>
        <w:jc w:val="left"/>
      </w:pPr>
      <w:r>
        <w:rPr>
          <w:spacing w:val="-6"/>
        </w:rPr>
        <w:t>救助对象包括最低生活保障对象（以下简称“低保对象”）；</w:t>
      </w:r>
    </w:p>
    <w:p>
      <w:pPr>
        <w:spacing w:after="0" w:line="240" w:lineRule="auto"/>
        <w:jc w:val="left"/>
        <w:sectPr>
          <w:footerReference w:type="default" r:id="rId7"/>
          <w:footerReference w:type="even" r:id="rId8"/>
          <w:pgSz w:w="11910" w:h="16840"/>
          <w:pgMar w:footer="1294" w:header="0" w:top="1580" w:bottom="1480" w:left="1480" w:right="1080"/>
          <w:pgNumType w:start="3"/>
        </w:sectPr>
      </w:pPr>
    </w:p>
    <w:p>
      <w:pPr>
        <w:spacing w:line="240" w:lineRule="auto" w:before="7"/>
        <w:rPr>
          <w:rFonts w:ascii="仿宋_GB2312" w:hAnsi="仿宋_GB2312" w:cs="仿宋_GB2312" w:eastAsia="仿宋_GB2312"/>
          <w:sz w:val="13"/>
          <w:szCs w:val="13"/>
        </w:rPr>
      </w:pPr>
    </w:p>
    <w:p>
      <w:pPr>
        <w:pStyle w:val="BodyText"/>
        <w:spacing w:line="321" w:lineRule="auto" w:before="0"/>
        <w:ind w:right="109"/>
        <w:jc w:val="both"/>
      </w:pPr>
      <w:r>
        <w:rPr>
          <w:spacing w:val="-4"/>
        </w:rPr>
        <w:t>特困人员；脱贫人口；低收入家庭的老年人、未成年人、重病患</w:t>
      </w:r>
      <w:r>
        <w:rPr>
          <w:w w:val="99"/>
        </w:rPr>
        <w:t> </w:t>
      </w:r>
      <w:r>
        <w:rPr>
          <w:spacing w:val="-4"/>
        </w:rPr>
        <w:t>者、重度残疾人（以下简称“低收入医疗救助对象”）；因病致</w:t>
      </w:r>
      <w:r>
        <w:rPr>
          <w:w w:val="99"/>
        </w:rPr>
        <w:t> </w:t>
      </w:r>
      <w:r>
        <w:rPr>
          <w:spacing w:val="-4"/>
        </w:rPr>
        <w:t>困家庭重病患者（指因医疗费用支出超过家庭负担能力，导致基</w:t>
      </w:r>
      <w:r>
        <w:rPr>
          <w:w w:val="99"/>
        </w:rPr>
        <w:t> </w:t>
      </w:r>
      <w:r>
        <w:rPr>
          <w:spacing w:val="-4"/>
        </w:rPr>
        <w:t>本生活出现严重困难家庭中的重病患者）；县民政部门规定的其</w:t>
      </w:r>
      <w:r>
        <w:rPr>
          <w:w w:val="99"/>
        </w:rPr>
        <w:t> </w:t>
      </w:r>
      <w:r>
        <w:rPr/>
        <w:t>他特殊困难人员。</w:t>
      </w:r>
    </w:p>
    <w:p>
      <w:pPr>
        <w:pStyle w:val="BodyText"/>
        <w:spacing w:line="321" w:lineRule="auto"/>
        <w:ind w:right="111" w:firstLine="640"/>
        <w:jc w:val="both"/>
      </w:pPr>
      <w:r>
        <w:rPr>
          <w:spacing w:val="-4"/>
          <w:w w:val="95"/>
        </w:rPr>
        <w:t>低收入医疗救助对象、因病致困家庭重病患者的认定由县民</w:t>
      </w:r>
      <w:r>
        <w:rPr>
          <w:w w:val="99"/>
        </w:rPr>
        <w:t> </w:t>
      </w:r>
      <w:r>
        <w:rPr>
          <w:spacing w:val="-4"/>
          <w:w w:val="95"/>
        </w:rPr>
        <w:t>政部门根据有关规定确认，其他特殊困难人员的认定由当地乡镇</w:t>
      </w:r>
      <w:r>
        <w:rPr>
          <w:spacing w:val="134"/>
          <w:w w:val="95"/>
        </w:rPr>
        <w:t> </w:t>
      </w:r>
      <w:r>
        <w:rPr>
          <w:spacing w:val="134"/>
          <w:w w:val="95"/>
        </w:rPr>
      </w:r>
      <w:r>
        <w:rPr>
          <w:spacing w:val="-4"/>
          <w:w w:val="95"/>
        </w:rPr>
        <w:t>人民政府根据有关规定确认。推进医疗救助管理层次与城乡居民</w:t>
      </w:r>
      <w:r>
        <w:rPr>
          <w:spacing w:val="136"/>
          <w:w w:val="95"/>
        </w:rPr>
        <w:t> </w:t>
      </w:r>
      <w:r>
        <w:rPr>
          <w:spacing w:val="136"/>
          <w:w w:val="95"/>
        </w:rPr>
      </w:r>
      <w:r>
        <w:rPr/>
        <w:t>医保管理层次统筹衔接，增强困难人员医疗救助公平性。</w:t>
      </w:r>
    </w:p>
    <w:p>
      <w:pPr>
        <w:pStyle w:val="BodyText"/>
        <w:spacing w:line="240" w:lineRule="auto"/>
        <w:ind w:left="747" w:right="0"/>
        <w:jc w:val="left"/>
        <w:rPr>
          <w:rFonts w:ascii="黑体" w:hAnsi="黑体" w:cs="黑体" w:eastAsia="黑体"/>
        </w:rPr>
      </w:pPr>
      <w:r>
        <w:rPr>
          <w:rFonts w:ascii="黑体" w:hAnsi="黑体" w:cs="黑体" w:eastAsia="黑体"/>
        </w:rPr>
        <w:t>四、救助范围</w:t>
      </w:r>
    </w:p>
    <w:p>
      <w:pPr>
        <w:pStyle w:val="BodyText"/>
        <w:spacing w:line="321" w:lineRule="auto" w:before="143"/>
        <w:ind w:right="111" w:firstLine="640"/>
        <w:jc w:val="both"/>
      </w:pPr>
      <w:r>
        <w:rPr>
          <w:spacing w:val="-4"/>
          <w:w w:val="95"/>
        </w:rPr>
        <w:t>（一）对低保对象、特困人员、脱贫人口城乡居民低收入家</w:t>
      </w:r>
      <w:r>
        <w:rPr>
          <w:w w:val="99"/>
        </w:rPr>
        <w:t> </w:t>
      </w:r>
      <w:r>
        <w:rPr>
          <w:spacing w:val="-4"/>
          <w:w w:val="95"/>
        </w:rPr>
        <w:t>庭重病患者、重特大疾病且医疗费用巨大的患者、其他特殊困难</w:t>
      </w:r>
      <w:r>
        <w:rPr>
          <w:spacing w:val="136"/>
          <w:w w:val="95"/>
        </w:rPr>
        <w:t> </w:t>
      </w:r>
      <w:r>
        <w:rPr>
          <w:spacing w:val="136"/>
          <w:w w:val="95"/>
        </w:rPr>
      </w:r>
      <w:r>
        <w:rPr/>
        <w:t>人员不设病种限制。</w:t>
      </w:r>
    </w:p>
    <w:p>
      <w:pPr>
        <w:pStyle w:val="BodyText"/>
        <w:spacing w:line="321" w:lineRule="auto" w:before="34"/>
        <w:ind w:right="113" w:firstLine="640"/>
        <w:jc w:val="both"/>
      </w:pPr>
      <w:r>
        <w:rPr>
          <w:spacing w:val="-4"/>
          <w:w w:val="95"/>
        </w:rPr>
        <w:t>（二）对救助对象经基本医疗保险、大病保险和各类补充医</w:t>
      </w:r>
      <w:r>
        <w:rPr>
          <w:w w:val="99"/>
        </w:rPr>
        <w:t> </w:t>
      </w:r>
      <w:r>
        <w:rPr>
          <w:spacing w:val="-4"/>
          <w:w w:val="95"/>
        </w:rPr>
        <w:t>疗保险等报销及优抚医疗补助后，仍难以负担的合规医疗费用给</w:t>
      </w:r>
      <w:r>
        <w:rPr>
          <w:spacing w:val="134"/>
          <w:w w:val="95"/>
        </w:rPr>
        <w:t> </w:t>
      </w:r>
      <w:r>
        <w:rPr>
          <w:spacing w:val="134"/>
          <w:w w:val="95"/>
        </w:rPr>
      </w:r>
      <w:r>
        <w:rPr>
          <w:spacing w:val="-4"/>
          <w:w w:val="95"/>
        </w:rPr>
        <w:t>予医疗救助。重特大疾病医疗救助的合规医疗费用范围按城乡居</w:t>
      </w:r>
      <w:r>
        <w:rPr>
          <w:spacing w:val="134"/>
          <w:w w:val="95"/>
        </w:rPr>
        <w:t> </w:t>
      </w:r>
      <w:r>
        <w:rPr>
          <w:spacing w:val="134"/>
          <w:w w:val="95"/>
        </w:rPr>
      </w:r>
      <w:r>
        <w:rPr/>
        <w:t>民大病保险相关规定确定。</w:t>
      </w:r>
    </w:p>
    <w:p>
      <w:pPr>
        <w:pStyle w:val="BodyText"/>
        <w:spacing w:line="240" w:lineRule="auto"/>
        <w:ind w:left="747" w:right="0"/>
        <w:jc w:val="left"/>
        <w:rPr>
          <w:rFonts w:ascii="黑体" w:hAnsi="黑体" w:cs="黑体" w:eastAsia="黑体"/>
        </w:rPr>
      </w:pPr>
      <w:r>
        <w:rPr>
          <w:rFonts w:ascii="黑体" w:hAnsi="黑体" w:cs="黑体" w:eastAsia="黑体"/>
        </w:rPr>
        <w:t>五、救助标准</w:t>
      </w:r>
    </w:p>
    <w:p>
      <w:pPr>
        <w:pStyle w:val="BodyText"/>
        <w:spacing w:line="321" w:lineRule="auto" w:before="140"/>
        <w:ind w:right="111" w:firstLine="640"/>
        <w:jc w:val="both"/>
      </w:pPr>
      <w:r>
        <w:rPr>
          <w:spacing w:val="-4"/>
          <w:w w:val="95"/>
        </w:rPr>
        <w:t>应综合考虑患病家庭负担能力、个人自负医疗费用、当地筹</w:t>
      </w:r>
      <w:r>
        <w:rPr>
          <w:w w:val="99"/>
        </w:rPr>
        <w:t> </w:t>
      </w:r>
      <w:r>
        <w:rPr>
          <w:spacing w:val="-4"/>
          <w:w w:val="95"/>
        </w:rPr>
        <w:t>资情况等因素，分类分档确定救助比例和年度最高救助限额（封</w:t>
      </w:r>
      <w:r>
        <w:rPr>
          <w:spacing w:val="136"/>
          <w:w w:val="95"/>
        </w:rPr>
        <w:t> </w:t>
      </w:r>
      <w:r>
        <w:rPr>
          <w:spacing w:val="136"/>
          <w:w w:val="95"/>
        </w:rPr>
      </w:r>
      <w:r>
        <w:rPr>
          <w:spacing w:val="-4"/>
          <w:w w:val="95"/>
        </w:rPr>
        <w:t>顶线）。原则上，特困人员、低保对象、脱贫人口的救助比例高</w:t>
      </w:r>
      <w:r>
        <w:rPr>
          <w:spacing w:val="134"/>
          <w:w w:val="95"/>
        </w:rPr>
        <w:t> </w:t>
      </w:r>
      <w:r>
        <w:rPr>
          <w:spacing w:val="134"/>
          <w:w w:val="95"/>
        </w:rPr>
      </w:r>
      <w:r>
        <w:rPr>
          <w:spacing w:val="-4"/>
          <w:w w:val="95"/>
        </w:rPr>
        <w:t>于低收入救助对象，低收入救助对象高于其他救助对象。同一类</w:t>
      </w:r>
      <w:r>
        <w:rPr>
          <w:spacing w:val="136"/>
          <w:w w:val="95"/>
        </w:rPr>
        <w:t> </w:t>
      </w:r>
      <w:r>
        <w:rPr>
          <w:spacing w:val="136"/>
          <w:w w:val="95"/>
        </w:rPr>
      </w:r>
      <w:r>
        <w:rPr/>
        <w:t>救助对象，个人自负合规费用数额越大，救助比例越高。</w:t>
      </w:r>
    </w:p>
    <w:p>
      <w:pPr>
        <w:spacing w:after="0" w:line="321" w:lineRule="auto"/>
        <w:jc w:val="both"/>
        <w:sectPr>
          <w:pgSz w:w="11910" w:h="16840"/>
          <w:pgMar w:header="0" w:footer="1294" w:top="1580" w:bottom="1480" w:left="1480" w:right="1360"/>
        </w:sectPr>
      </w:pPr>
    </w:p>
    <w:p>
      <w:pPr>
        <w:spacing w:line="240" w:lineRule="auto" w:before="7"/>
        <w:rPr>
          <w:rFonts w:ascii="仿宋_GB2312" w:hAnsi="仿宋_GB2312" w:cs="仿宋_GB2312" w:eastAsia="仿宋_GB2312"/>
          <w:sz w:val="13"/>
          <w:szCs w:val="13"/>
        </w:rPr>
      </w:pPr>
    </w:p>
    <w:p>
      <w:pPr>
        <w:pStyle w:val="BodyText"/>
        <w:spacing w:line="321" w:lineRule="auto" w:before="0"/>
        <w:ind w:left="747" w:right="0"/>
        <w:jc w:val="left"/>
      </w:pPr>
      <w:r>
        <w:rPr/>
        <w:t>对特困人员、低保对象、脱贫人口不设医疗救助起付线。</w:t>
      </w:r>
      <w:r>
        <w:rPr>
          <w:w w:val="99"/>
        </w:rPr>
        <w:t> </w:t>
      </w:r>
      <w:r>
        <w:rPr/>
        <w:t>特困供养人员住院年度合规医疗费用个人承担部分，按</w:t>
      </w:r>
      <w:r>
        <w:rPr>
          <w:spacing w:val="-126"/>
        </w:rPr>
        <w:t> </w:t>
      </w:r>
      <w:r>
        <w:rPr/>
        <w:t>90%</w:t>
      </w:r>
    </w:p>
    <w:p>
      <w:pPr>
        <w:pStyle w:val="BodyText"/>
        <w:spacing w:line="240" w:lineRule="auto"/>
        <w:ind w:right="0"/>
        <w:jc w:val="left"/>
      </w:pPr>
      <w:r>
        <w:rPr>
          <w:spacing w:val="2"/>
        </w:rPr>
        <w:t>进行救助，年度救助金额不超过</w:t>
      </w:r>
      <w:r>
        <w:rPr>
          <w:spacing w:val="-78"/>
        </w:rPr>
        <w:t> </w:t>
      </w:r>
      <w:r>
        <w:rPr/>
        <w:t>16000</w:t>
      </w:r>
      <w:r>
        <w:rPr>
          <w:spacing w:val="-82"/>
        </w:rPr>
        <w:t> </w:t>
      </w:r>
      <w:r>
        <w:rPr/>
        <w:t>元;门诊年度医疗费用个</w:t>
      </w:r>
    </w:p>
    <w:p>
      <w:pPr>
        <w:pStyle w:val="BodyText"/>
        <w:spacing w:line="240" w:lineRule="auto" w:before="140"/>
        <w:ind w:right="0"/>
        <w:jc w:val="left"/>
      </w:pPr>
      <w:r>
        <w:rPr/>
        <w:t>人承担</w:t>
      </w:r>
      <w:r>
        <w:rPr>
          <w:spacing w:val="-89"/>
        </w:rPr>
        <w:t> </w:t>
      </w:r>
      <w:r>
        <w:rPr/>
        <w:t>1000</w:t>
      </w:r>
      <w:r>
        <w:rPr>
          <w:spacing w:val="-90"/>
        </w:rPr>
        <w:t> </w:t>
      </w:r>
      <w:r>
        <w:rPr/>
        <w:t>元以上的按</w:t>
      </w:r>
      <w:r>
        <w:rPr>
          <w:spacing w:val="-89"/>
        </w:rPr>
        <w:t> </w:t>
      </w:r>
      <w:r>
        <w:rPr>
          <w:spacing w:val="-11"/>
        </w:rPr>
        <w:t>50%给予救助，年度最高救助额</w:t>
      </w:r>
      <w:r>
        <w:rPr>
          <w:spacing w:val="-89"/>
        </w:rPr>
        <w:t> </w:t>
      </w:r>
      <w:r>
        <w:rPr/>
        <w:t>6000</w:t>
      </w:r>
      <w:r>
        <w:rPr>
          <w:spacing w:val="-90"/>
        </w:rPr>
        <w:t> </w:t>
      </w:r>
      <w:r>
        <w:rPr/>
        <w:t>元。</w:t>
      </w:r>
    </w:p>
    <w:p>
      <w:pPr>
        <w:pStyle w:val="BodyText"/>
        <w:spacing w:line="240" w:lineRule="auto" w:before="143"/>
        <w:ind w:left="747" w:right="0"/>
        <w:jc w:val="left"/>
      </w:pPr>
      <w:r>
        <w:rPr/>
        <w:t>城乡低保对象住院年度合规医疗费用个人承担部分，按</w:t>
      </w:r>
      <w:r>
        <w:rPr>
          <w:spacing w:val="-126"/>
        </w:rPr>
        <w:t> </w:t>
      </w:r>
      <w:r>
        <w:rPr/>
        <w:t>70%</w:t>
      </w:r>
    </w:p>
    <w:p>
      <w:pPr>
        <w:pStyle w:val="BodyText"/>
        <w:spacing w:line="240" w:lineRule="auto" w:before="140"/>
        <w:ind w:right="0"/>
        <w:jc w:val="left"/>
      </w:pPr>
      <w:r>
        <w:rPr>
          <w:spacing w:val="2"/>
        </w:rPr>
        <w:t>进行救助，年度救助金额不超过</w:t>
      </w:r>
      <w:r>
        <w:rPr>
          <w:spacing w:val="-78"/>
        </w:rPr>
        <w:t> </w:t>
      </w:r>
      <w:r>
        <w:rPr/>
        <w:t>12000</w:t>
      </w:r>
      <w:r>
        <w:rPr>
          <w:spacing w:val="-82"/>
        </w:rPr>
        <w:t> </w:t>
      </w:r>
      <w:r>
        <w:rPr/>
        <w:t>元;门诊年度医疗费用个</w:t>
      </w:r>
    </w:p>
    <w:p>
      <w:pPr>
        <w:pStyle w:val="BodyText"/>
        <w:spacing w:line="321" w:lineRule="auto" w:before="140"/>
        <w:ind w:right="237"/>
        <w:jc w:val="right"/>
      </w:pPr>
      <w:r>
        <w:rPr/>
        <w:t>人承担</w:t>
      </w:r>
      <w:r>
        <w:rPr>
          <w:spacing w:val="-82"/>
        </w:rPr>
        <w:t> </w:t>
      </w:r>
      <w:r>
        <w:rPr/>
        <w:t>1000</w:t>
      </w:r>
      <w:r>
        <w:rPr>
          <w:spacing w:val="-83"/>
        </w:rPr>
        <w:t> </w:t>
      </w:r>
      <w:r>
        <w:rPr/>
        <w:t>元以上的</w:t>
      </w:r>
      <w:r>
        <w:rPr>
          <w:spacing w:val="-84"/>
        </w:rPr>
        <w:t> </w:t>
      </w:r>
      <w:r>
        <w:rPr/>
        <w:t>50%给予救助，年度最高救助额</w:t>
      </w:r>
      <w:r>
        <w:rPr>
          <w:spacing w:val="-82"/>
        </w:rPr>
        <w:t> </w:t>
      </w:r>
      <w:r>
        <w:rPr/>
        <w:t>6000</w:t>
      </w:r>
      <w:r>
        <w:rPr>
          <w:spacing w:val="-83"/>
        </w:rPr>
        <w:t> </w:t>
      </w:r>
      <w:r>
        <w:rPr/>
        <w:t>元。</w:t>
      </w:r>
      <w:r>
        <w:rPr>
          <w:w w:val="99"/>
        </w:rPr>
        <w:t> </w:t>
      </w:r>
      <w:r>
        <w:rPr>
          <w:spacing w:val="22"/>
          <w:w w:val="95"/>
        </w:rPr>
        <w:t>城乡低收入家庭重病患者年住院医疗费用个人承担超过</w:t>
      </w:r>
      <w:r>
        <w:rPr>
          <w:w w:val="99"/>
        </w:rPr>
        <w:t> </w:t>
      </w:r>
      <w:r>
        <w:rPr/>
        <w:t>15000</w:t>
      </w:r>
      <w:r>
        <w:rPr>
          <w:spacing w:val="-86"/>
        </w:rPr>
        <w:t> </w:t>
      </w:r>
      <w:r>
        <w:rPr/>
        <w:t>元部分，按剩余费用</w:t>
      </w:r>
      <w:r>
        <w:rPr>
          <w:spacing w:val="-87"/>
        </w:rPr>
        <w:t> </w:t>
      </w:r>
      <w:r>
        <w:rPr/>
        <w:t>30%的比例救助，年救助金额不超过</w:t>
      </w:r>
    </w:p>
    <w:p>
      <w:pPr>
        <w:pStyle w:val="BodyText"/>
        <w:spacing w:line="240" w:lineRule="auto"/>
        <w:ind w:right="0"/>
        <w:jc w:val="left"/>
      </w:pPr>
      <w:r>
        <w:rPr/>
        <w:t>5000</w:t>
      </w:r>
      <w:r>
        <w:rPr>
          <w:spacing w:val="-84"/>
        </w:rPr>
        <w:t> </w:t>
      </w:r>
      <w:r>
        <w:rPr/>
        <w:t>元。</w:t>
      </w:r>
    </w:p>
    <w:p>
      <w:pPr>
        <w:pStyle w:val="BodyText"/>
        <w:spacing w:line="321" w:lineRule="auto" w:before="143"/>
        <w:ind w:right="273" w:firstLine="640"/>
        <w:jc w:val="both"/>
      </w:pPr>
      <w:r>
        <w:rPr>
          <w:spacing w:val="-4"/>
          <w:w w:val="95"/>
        </w:rPr>
        <w:t>重特大疾病且医疗费用巨大的患者实施重点救助，年度医疗</w:t>
      </w:r>
      <w:r>
        <w:rPr>
          <w:w w:val="99"/>
        </w:rPr>
        <w:t> </w:t>
      </w:r>
      <w:r>
        <w:rPr/>
        <w:t>费用个人承担合规费用</w:t>
      </w:r>
      <w:r>
        <w:rPr>
          <w:spacing w:val="-82"/>
        </w:rPr>
        <w:t> </w:t>
      </w:r>
      <w:r>
        <w:rPr/>
        <w:t>5</w:t>
      </w:r>
      <w:r>
        <w:rPr>
          <w:spacing w:val="-83"/>
        </w:rPr>
        <w:t> </w:t>
      </w:r>
      <w:r>
        <w:rPr/>
        <w:t>万元至</w:t>
      </w:r>
      <w:r>
        <w:rPr>
          <w:spacing w:val="-84"/>
        </w:rPr>
        <w:t> </w:t>
      </w:r>
      <w:r>
        <w:rPr/>
        <w:t>8</w:t>
      </w:r>
      <w:r>
        <w:rPr>
          <w:spacing w:val="-83"/>
        </w:rPr>
        <w:t> </w:t>
      </w:r>
      <w:r>
        <w:rPr>
          <w:spacing w:val="-14"/>
        </w:rPr>
        <w:t>万元（含</w:t>
      </w:r>
      <w:r>
        <w:rPr>
          <w:spacing w:val="-82"/>
        </w:rPr>
        <w:t> </w:t>
      </w:r>
      <w:r>
        <w:rPr/>
        <w:t>8</w:t>
      </w:r>
      <w:r>
        <w:rPr>
          <w:spacing w:val="-83"/>
        </w:rPr>
        <w:t> </w:t>
      </w:r>
      <w:r>
        <w:rPr>
          <w:spacing w:val="-7"/>
        </w:rPr>
        <w:t>万元）的一次性救</w:t>
      </w:r>
    </w:p>
    <w:p>
      <w:pPr>
        <w:pStyle w:val="BodyText"/>
        <w:spacing w:line="240" w:lineRule="auto"/>
        <w:ind w:right="0"/>
        <w:jc w:val="left"/>
      </w:pPr>
      <w:r>
        <w:rPr/>
        <w:t>助</w:t>
      </w:r>
      <w:r>
        <w:rPr>
          <w:spacing w:val="-81"/>
        </w:rPr>
        <w:t> </w:t>
      </w:r>
      <w:r>
        <w:rPr/>
        <w:t>2</w:t>
      </w:r>
      <w:r>
        <w:rPr>
          <w:spacing w:val="-82"/>
        </w:rPr>
        <w:t> </w:t>
      </w:r>
      <w:r>
        <w:rPr/>
        <w:t>万元；8</w:t>
      </w:r>
      <w:r>
        <w:rPr>
          <w:spacing w:val="-82"/>
        </w:rPr>
        <w:t> </w:t>
      </w:r>
      <w:r>
        <w:rPr/>
        <w:t>万元以上的一次性救助</w:t>
      </w:r>
      <w:r>
        <w:rPr>
          <w:spacing w:val="-81"/>
        </w:rPr>
        <w:t> </w:t>
      </w:r>
      <w:r>
        <w:rPr/>
        <w:t>3</w:t>
      </w:r>
      <w:r>
        <w:rPr>
          <w:spacing w:val="-82"/>
        </w:rPr>
        <w:t> </w:t>
      </w:r>
      <w:r>
        <w:rPr/>
        <w:t>万元。</w:t>
      </w:r>
    </w:p>
    <w:p>
      <w:pPr>
        <w:pStyle w:val="BodyText"/>
        <w:spacing w:line="321" w:lineRule="auto" w:before="143"/>
        <w:ind w:right="271" w:firstLine="640"/>
        <w:jc w:val="both"/>
      </w:pPr>
      <w:r>
        <w:rPr>
          <w:spacing w:val="2"/>
        </w:rPr>
        <w:t>对符合救助条件的</w:t>
      </w:r>
      <w:r>
        <w:rPr>
          <w:spacing w:val="-82"/>
        </w:rPr>
        <w:t> </w:t>
      </w:r>
      <w:r>
        <w:rPr/>
        <w:t>0—14</w:t>
      </w:r>
      <w:r>
        <w:rPr>
          <w:spacing w:val="-81"/>
        </w:rPr>
        <w:t> </w:t>
      </w:r>
      <w:r>
        <w:rPr/>
        <w:t>周岁（含</w:t>
      </w:r>
      <w:r>
        <w:rPr>
          <w:spacing w:val="-79"/>
        </w:rPr>
        <w:t> </w:t>
      </w:r>
      <w:r>
        <w:rPr/>
        <w:t>14</w:t>
      </w:r>
      <w:r>
        <w:rPr>
          <w:spacing w:val="-83"/>
        </w:rPr>
        <w:t> </w:t>
      </w:r>
      <w:r>
        <w:rPr>
          <w:spacing w:val="2"/>
        </w:rPr>
        <w:t>周岁）儿童急性白血</w:t>
      </w:r>
      <w:r>
        <w:rPr>
          <w:w w:val="99"/>
        </w:rPr>
        <w:t> </w:t>
      </w:r>
      <w:r>
        <w:rPr>
          <w:spacing w:val="-4"/>
          <w:w w:val="95"/>
        </w:rPr>
        <w:t>病、先天性心脏病等患儿的医疗救助，按照《安徽省医保局关于</w:t>
      </w:r>
      <w:r>
        <w:rPr>
          <w:spacing w:val="135"/>
          <w:w w:val="95"/>
        </w:rPr>
        <w:t> </w:t>
      </w:r>
      <w:r>
        <w:rPr>
          <w:spacing w:val="135"/>
          <w:w w:val="95"/>
        </w:rPr>
      </w:r>
      <w:r>
        <w:rPr>
          <w:spacing w:val="7"/>
        </w:rPr>
        <w:t>印发安徽省基本医疗保险按病种分组付费病种及医保支付标准</w:t>
      </w:r>
    </w:p>
    <w:p>
      <w:pPr>
        <w:pStyle w:val="BodyText"/>
        <w:spacing w:line="321" w:lineRule="auto" w:before="34"/>
        <w:ind w:right="0"/>
        <w:jc w:val="left"/>
      </w:pPr>
      <w:r>
        <w:rPr>
          <w:spacing w:val="4"/>
        </w:rPr>
        <w:t>（第一批）的通知》（皖医保发〔2019〕41</w:t>
      </w:r>
      <w:r>
        <w:rPr>
          <w:spacing w:val="-90"/>
        </w:rPr>
        <w:t> </w:t>
      </w:r>
      <w:r>
        <w:rPr>
          <w:spacing w:val="5"/>
        </w:rPr>
        <w:t>号）确定的医疗救</w:t>
      </w:r>
      <w:r>
        <w:rPr>
          <w:w w:val="99"/>
        </w:rPr>
        <w:t> </w:t>
      </w:r>
      <w:r>
        <w:rPr/>
        <w:t>助标准执行。</w:t>
      </w:r>
    </w:p>
    <w:p>
      <w:pPr>
        <w:pStyle w:val="BodyText"/>
        <w:spacing w:line="321" w:lineRule="auto"/>
        <w:ind w:right="271" w:firstLine="640"/>
        <w:jc w:val="both"/>
      </w:pPr>
      <w:r>
        <w:rPr>
          <w:spacing w:val="8"/>
        </w:rPr>
        <w:t>脱贫人口的医疗救助等托底保障政策继续按现行有关规定</w:t>
      </w:r>
      <w:r>
        <w:rPr>
          <w:w w:val="99"/>
        </w:rPr>
        <w:t> </w:t>
      </w:r>
      <w:r>
        <w:rPr>
          <w:spacing w:val="-4"/>
          <w:w w:val="95"/>
        </w:rPr>
        <w:t>执行，待国家及省新的政策出台后，平稳过渡到按新的政策体系</w:t>
      </w:r>
      <w:r>
        <w:rPr>
          <w:spacing w:val="136"/>
          <w:w w:val="95"/>
        </w:rPr>
        <w:t> </w:t>
      </w:r>
      <w:r>
        <w:rPr>
          <w:spacing w:val="136"/>
          <w:w w:val="95"/>
        </w:rPr>
      </w:r>
      <w:r>
        <w:rPr/>
        <w:t>进行保障。</w:t>
      </w:r>
    </w:p>
    <w:p>
      <w:pPr>
        <w:pStyle w:val="BodyText"/>
        <w:spacing w:line="240" w:lineRule="auto"/>
        <w:ind w:left="747" w:right="0"/>
        <w:jc w:val="left"/>
        <w:rPr>
          <w:rFonts w:ascii="黑体" w:hAnsi="黑体" w:cs="黑体" w:eastAsia="黑体"/>
        </w:rPr>
      </w:pPr>
      <w:r>
        <w:rPr>
          <w:rFonts w:ascii="黑体" w:hAnsi="黑体" w:cs="黑体" w:eastAsia="黑体"/>
        </w:rPr>
        <w:t>六、救助方式</w:t>
      </w:r>
    </w:p>
    <w:p>
      <w:pPr>
        <w:pStyle w:val="BodyText"/>
        <w:spacing w:line="240" w:lineRule="auto" w:before="143"/>
        <w:ind w:left="747" w:right="0"/>
        <w:jc w:val="left"/>
      </w:pPr>
      <w:r>
        <w:rPr>
          <w:rFonts w:ascii="楷体_GB2312" w:hAnsi="楷体_GB2312" w:cs="楷体_GB2312" w:eastAsia="楷体_GB2312"/>
          <w:spacing w:val="-4"/>
        </w:rPr>
        <w:t>（一）参保补贴。</w:t>
      </w:r>
      <w:r>
        <w:rPr>
          <w:spacing w:val="-4"/>
        </w:rPr>
        <w:t>对特困人员、低保对象、脱贫人口等参加</w:t>
      </w:r>
    </w:p>
    <w:p>
      <w:pPr>
        <w:spacing w:after="0" w:line="240" w:lineRule="auto"/>
        <w:jc w:val="left"/>
        <w:sectPr>
          <w:pgSz w:w="11910" w:h="16840"/>
          <w:pgMar w:header="0" w:footer="1294" w:top="1580" w:bottom="1480" w:left="1480" w:right="1200"/>
        </w:sectPr>
      </w:pPr>
    </w:p>
    <w:p>
      <w:pPr>
        <w:spacing w:line="240" w:lineRule="auto" w:before="7"/>
        <w:rPr>
          <w:rFonts w:ascii="仿宋_GB2312" w:hAnsi="仿宋_GB2312" w:cs="仿宋_GB2312" w:eastAsia="仿宋_GB2312"/>
          <w:sz w:val="13"/>
          <w:szCs w:val="13"/>
        </w:rPr>
      </w:pPr>
    </w:p>
    <w:p>
      <w:pPr>
        <w:pStyle w:val="BodyText"/>
        <w:spacing w:line="321" w:lineRule="auto" w:before="0"/>
        <w:ind w:right="211"/>
        <w:jc w:val="both"/>
      </w:pPr>
      <w:r>
        <w:rPr>
          <w:spacing w:val="-4"/>
          <w:w w:val="95"/>
        </w:rPr>
        <w:t>城乡居民基本医疗保险的个人缴费部分给予补贴，其中，对特困</w:t>
      </w:r>
      <w:r>
        <w:rPr>
          <w:spacing w:val="137"/>
          <w:w w:val="95"/>
        </w:rPr>
        <w:t> </w:t>
      </w:r>
      <w:r>
        <w:rPr>
          <w:spacing w:val="137"/>
          <w:w w:val="95"/>
        </w:rPr>
      </w:r>
      <w:r>
        <w:rPr/>
        <w:t>人员给予全额补贴，对低保对象、脱贫人口按不低于</w:t>
      </w:r>
      <w:r>
        <w:rPr>
          <w:spacing w:val="-117"/>
        </w:rPr>
        <w:t> </w:t>
      </w:r>
      <w:r>
        <w:rPr/>
        <w:t>90%给予定</w:t>
      </w:r>
      <w:r>
        <w:rPr>
          <w:w w:val="99"/>
        </w:rPr>
        <w:t> </w:t>
      </w:r>
      <w:r>
        <w:rPr/>
        <w:t>额补贴。当年应完成下年度参保资助工作。</w:t>
      </w:r>
    </w:p>
    <w:p>
      <w:pPr>
        <w:pStyle w:val="BodyText"/>
        <w:spacing w:line="321" w:lineRule="auto"/>
        <w:ind w:right="0" w:firstLine="640"/>
        <w:jc w:val="left"/>
      </w:pPr>
      <w:r>
        <w:rPr>
          <w:rFonts w:ascii="楷体_GB2312" w:hAnsi="楷体_GB2312" w:cs="楷体_GB2312" w:eastAsia="楷体_GB2312"/>
        </w:rPr>
        <w:t>（二）住院救助。</w:t>
      </w:r>
      <w:r>
        <w:rPr/>
        <w:t>对救助对象中的大病及重症慢性病患者，</w:t>
      </w:r>
      <w:r>
        <w:rPr>
          <w:w w:val="99"/>
        </w:rPr>
        <w:t> </w:t>
      </w:r>
      <w:r>
        <w:rPr>
          <w:spacing w:val="-4"/>
        </w:rPr>
        <w:t>视情实施医前、医中或医后救助。对已明确临床诊疗路径的重特</w:t>
      </w:r>
      <w:r>
        <w:rPr>
          <w:w w:val="99"/>
        </w:rPr>
        <w:t> </w:t>
      </w:r>
      <w:r>
        <w:rPr/>
        <w:t>大疾病病种，可采取按病种付费等方式给予救助。</w:t>
      </w:r>
    </w:p>
    <w:p>
      <w:pPr>
        <w:pStyle w:val="BodyText"/>
        <w:spacing w:line="321" w:lineRule="auto"/>
        <w:ind w:right="0" w:firstLine="640"/>
        <w:jc w:val="left"/>
      </w:pPr>
      <w:r>
        <w:rPr>
          <w:rFonts w:ascii="楷体_GB2312" w:hAnsi="楷体_GB2312" w:cs="楷体_GB2312" w:eastAsia="楷体_GB2312"/>
          <w:spacing w:val="-4"/>
        </w:rPr>
        <w:t>（三）门诊救助。</w:t>
      </w:r>
      <w:r>
        <w:rPr>
          <w:spacing w:val="-4"/>
        </w:rPr>
        <w:t>重点针对患慢性病需要长期服药和患重特</w:t>
      </w:r>
      <w:r>
        <w:rPr>
          <w:w w:val="99"/>
        </w:rPr>
        <w:t> </w:t>
      </w:r>
      <w:r>
        <w:rPr>
          <w:spacing w:val="-4"/>
        </w:rPr>
        <w:t>大疾病需要长期门诊治疗，且个人自负医疗费用较高的医疗救助</w:t>
      </w:r>
      <w:r>
        <w:rPr>
          <w:w w:val="99"/>
        </w:rPr>
        <w:t> </w:t>
      </w:r>
      <w:r>
        <w:rPr/>
        <w:t>对象。卫健部门已经明确诊疗路径、能够通过门诊治疗的病种，</w:t>
      </w:r>
      <w:r>
        <w:rPr>
          <w:w w:val="99"/>
        </w:rPr>
        <w:t> </w:t>
      </w:r>
      <w:r>
        <w:rPr/>
        <w:t>可采取单病种付费等方式开展门诊救助。</w:t>
      </w:r>
    </w:p>
    <w:p>
      <w:pPr>
        <w:pStyle w:val="BodyText"/>
        <w:spacing w:line="240" w:lineRule="auto" w:before="34"/>
        <w:ind w:left="747" w:right="0"/>
        <w:jc w:val="left"/>
        <w:rPr>
          <w:rFonts w:ascii="黑体" w:hAnsi="黑体" w:cs="黑体" w:eastAsia="黑体"/>
        </w:rPr>
      </w:pPr>
      <w:r>
        <w:rPr>
          <w:rFonts w:ascii="黑体" w:hAnsi="黑体" w:cs="黑体" w:eastAsia="黑体"/>
        </w:rPr>
        <w:t>七、救助程序</w:t>
      </w:r>
    </w:p>
    <w:p>
      <w:pPr>
        <w:pStyle w:val="BodyText"/>
        <w:spacing w:line="321" w:lineRule="auto" w:before="140"/>
        <w:ind w:right="211" w:firstLine="640"/>
        <w:jc w:val="both"/>
      </w:pPr>
      <w:r>
        <w:rPr>
          <w:rFonts w:ascii="楷体_GB2312" w:hAnsi="楷体_GB2312" w:cs="楷体_GB2312" w:eastAsia="楷体_GB2312"/>
          <w:spacing w:val="-4"/>
          <w:w w:val="95"/>
        </w:rPr>
        <w:t>（一）实行定点管理。</w:t>
      </w:r>
      <w:r>
        <w:rPr>
          <w:rFonts w:ascii="仿宋" w:hAnsi="仿宋" w:cs="仿宋" w:eastAsia="仿宋"/>
          <w:spacing w:val="-4"/>
          <w:w w:val="95"/>
        </w:rPr>
        <w:t>基本医疗保险定点医疗机构均为医疗</w:t>
      </w:r>
      <w:r>
        <w:rPr>
          <w:rFonts w:ascii="仿宋" w:hAnsi="仿宋" w:cs="仿宋" w:eastAsia="仿宋"/>
          <w:w w:val="99"/>
        </w:rPr>
        <w:t> </w:t>
      </w:r>
      <w:r>
        <w:rPr>
          <w:rFonts w:ascii="仿宋" w:hAnsi="仿宋" w:cs="仿宋" w:eastAsia="仿宋"/>
          <w:spacing w:val="-4"/>
          <w:w w:val="95"/>
        </w:rPr>
        <w:t>救助医疗机构</w:t>
      </w:r>
      <w:r>
        <w:rPr>
          <w:spacing w:val="-4"/>
          <w:w w:val="95"/>
        </w:rPr>
        <w:t>。对确需到上级医疗机构或异地就医的医疗救助对</w:t>
      </w:r>
      <w:r>
        <w:rPr>
          <w:spacing w:val="136"/>
          <w:w w:val="95"/>
        </w:rPr>
        <w:t> </w:t>
      </w:r>
      <w:r>
        <w:rPr>
          <w:spacing w:val="136"/>
          <w:w w:val="95"/>
        </w:rPr>
      </w:r>
      <w:r>
        <w:rPr>
          <w:spacing w:val="-4"/>
          <w:w w:val="95"/>
        </w:rPr>
        <w:t>象，应按规定履行转诊或备案手续。定点医疗机构要取消救助对</w:t>
      </w:r>
      <w:r>
        <w:rPr>
          <w:spacing w:val="136"/>
          <w:w w:val="95"/>
        </w:rPr>
        <w:t> </w:t>
      </w:r>
      <w:r>
        <w:rPr>
          <w:spacing w:val="136"/>
          <w:w w:val="95"/>
        </w:rPr>
      </w:r>
      <w:r>
        <w:rPr>
          <w:spacing w:val="-4"/>
          <w:w w:val="95"/>
        </w:rPr>
        <w:t>象住院押金，推行诊疗费用（挂号费、诊查费、检查费、药费和</w:t>
      </w:r>
      <w:r>
        <w:rPr>
          <w:spacing w:val="135"/>
          <w:w w:val="95"/>
        </w:rPr>
        <w:t> </w:t>
      </w:r>
      <w:r>
        <w:rPr>
          <w:spacing w:val="135"/>
          <w:w w:val="95"/>
        </w:rPr>
      </w:r>
      <w:r>
        <w:rPr/>
        <w:t>住院床位费等）优惠减免。</w:t>
      </w:r>
    </w:p>
    <w:p>
      <w:pPr>
        <w:pStyle w:val="BodyText"/>
        <w:spacing w:line="321" w:lineRule="auto" w:before="34"/>
        <w:ind w:right="211" w:firstLine="640"/>
        <w:jc w:val="both"/>
      </w:pPr>
      <w:r>
        <w:rPr>
          <w:rFonts w:ascii="楷体_GB2312" w:hAnsi="楷体_GB2312" w:cs="楷体_GB2312" w:eastAsia="楷体_GB2312"/>
          <w:spacing w:val="-4"/>
          <w:w w:val="95"/>
        </w:rPr>
        <w:t>（二）开通即时结算。</w:t>
      </w:r>
      <w:r>
        <w:rPr>
          <w:spacing w:val="-4"/>
          <w:w w:val="95"/>
        </w:rPr>
        <w:t>医疗救助与基本医保、城乡居民大病</w:t>
      </w:r>
      <w:r>
        <w:rPr>
          <w:w w:val="99"/>
        </w:rPr>
        <w:t> </w:t>
      </w:r>
      <w:r>
        <w:rPr>
          <w:spacing w:val="-15"/>
        </w:rPr>
        <w:t>保险等信息平台互联互通，相关部门及时准确提供数据，实现“一</w:t>
      </w:r>
      <w:r>
        <w:rPr>
          <w:w w:val="99"/>
        </w:rPr>
        <w:t> </w:t>
      </w:r>
      <w:r>
        <w:rPr>
          <w:spacing w:val="-4"/>
          <w:w w:val="95"/>
        </w:rPr>
        <w:t>站式”即时结算。低保对象、特困人员和脱贫人口到联网结算的</w:t>
      </w:r>
      <w:r>
        <w:rPr>
          <w:spacing w:val="134"/>
          <w:w w:val="95"/>
        </w:rPr>
        <w:t> </w:t>
      </w:r>
      <w:r>
        <w:rPr>
          <w:spacing w:val="134"/>
          <w:w w:val="95"/>
        </w:rPr>
      </w:r>
      <w:r>
        <w:rPr>
          <w:spacing w:val="-4"/>
          <w:w w:val="95"/>
        </w:rPr>
        <w:t>定点医疗机构就医发生的医疗费用，救助对象只需支付个人自负</w:t>
      </w:r>
      <w:r>
        <w:rPr>
          <w:spacing w:val="136"/>
          <w:w w:val="95"/>
        </w:rPr>
        <w:t> </w:t>
      </w:r>
      <w:r>
        <w:rPr>
          <w:spacing w:val="136"/>
          <w:w w:val="95"/>
        </w:rPr>
      </w:r>
      <w:r>
        <w:rPr>
          <w:spacing w:val="-4"/>
          <w:w w:val="95"/>
        </w:rPr>
        <w:t>的部分，应由医疗救助基金支付的，先由定点医疗机构或保险经</w:t>
      </w:r>
      <w:r>
        <w:rPr>
          <w:spacing w:val="136"/>
          <w:w w:val="95"/>
        </w:rPr>
        <w:t> </w:t>
      </w:r>
      <w:r>
        <w:rPr>
          <w:spacing w:val="136"/>
          <w:w w:val="95"/>
        </w:rPr>
      </w:r>
      <w:r>
        <w:rPr>
          <w:spacing w:val="-4"/>
          <w:w w:val="95"/>
        </w:rPr>
        <w:t>办机构按协议垫付，再由医保部门定期据实结算。对不按规定用</w:t>
      </w:r>
      <w:r>
        <w:rPr>
          <w:spacing w:val="136"/>
          <w:w w:val="95"/>
        </w:rPr>
        <w:t> </w:t>
      </w:r>
      <w:r>
        <w:rPr>
          <w:spacing w:val="136"/>
          <w:w w:val="95"/>
        </w:rPr>
      </w:r>
      <w:r>
        <w:rPr>
          <w:spacing w:val="-4"/>
          <w:w w:val="95"/>
        </w:rPr>
        <w:t>药、诊疗和提供医疗服务所发生的医疗费用，城乡医疗救助基金</w:t>
      </w:r>
      <w:r>
        <w:rPr>
          <w:spacing w:val="-4"/>
        </w:rPr>
      </w:r>
    </w:p>
    <w:p>
      <w:pPr>
        <w:spacing w:after="0" w:line="321" w:lineRule="auto"/>
        <w:jc w:val="both"/>
        <w:sectPr>
          <w:pgSz w:w="11910" w:h="16840"/>
          <w:pgMar w:header="0" w:footer="1294" w:top="1580" w:bottom="1480" w:left="1480" w:right="1260"/>
        </w:sectPr>
      </w:pPr>
    </w:p>
    <w:p>
      <w:pPr>
        <w:spacing w:line="240" w:lineRule="auto" w:before="7"/>
        <w:rPr>
          <w:rFonts w:ascii="仿宋_GB2312" w:hAnsi="仿宋_GB2312" w:cs="仿宋_GB2312" w:eastAsia="仿宋_GB2312"/>
          <w:sz w:val="13"/>
          <w:szCs w:val="13"/>
        </w:rPr>
      </w:pPr>
    </w:p>
    <w:p>
      <w:pPr>
        <w:pStyle w:val="BodyText"/>
        <w:spacing w:line="240" w:lineRule="auto" w:before="0"/>
        <w:ind w:right="0"/>
        <w:jc w:val="left"/>
      </w:pPr>
      <w:r>
        <w:rPr/>
        <w:t>不予支付。</w:t>
      </w:r>
    </w:p>
    <w:p>
      <w:pPr>
        <w:pStyle w:val="BodyText"/>
        <w:spacing w:line="321" w:lineRule="auto" w:before="143"/>
        <w:ind w:right="271" w:firstLine="640"/>
        <w:jc w:val="both"/>
      </w:pPr>
      <w:r>
        <w:rPr>
          <w:rFonts w:ascii="楷体_GB2312" w:hAnsi="楷体_GB2312" w:cs="楷体_GB2312" w:eastAsia="楷体_GB2312"/>
          <w:spacing w:val="-4"/>
          <w:w w:val="95"/>
        </w:rPr>
        <w:t>（三）规范申办程序。</w:t>
      </w:r>
      <w:r>
        <w:rPr>
          <w:spacing w:val="-4"/>
          <w:w w:val="95"/>
        </w:rPr>
        <w:t>因病致困家庭重病患者以及其他困难</w:t>
      </w:r>
      <w:r>
        <w:rPr>
          <w:w w:val="99"/>
        </w:rPr>
        <w:t> </w:t>
      </w:r>
      <w:r>
        <w:rPr>
          <w:spacing w:val="-4"/>
          <w:w w:val="95"/>
        </w:rPr>
        <w:t>人员申请医疗救助，须持相关证件和证明材料，到户籍所在地乡</w:t>
      </w:r>
      <w:r>
        <w:rPr>
          <w:spacing w:val="133"/>
          <w:w w:val="95"/>
        </w:rPr>
        <w:t> </w:t>
      </w:r>
      <w:r>
        <w:rPr>
          <w:spacing w:val="133"/>
          <w:w w:val="95"/>
        </w:rPr>
      </w:r>
      <w:r>
        <w:rPr>
          <w:spacing w:val="-4"/>
          <w:w w:val="95"/>
        </w:rPr>
        <w:t>镇民政所提出书面申请，并出具本年度的诊断病历等必要的证明</w:t>
      </w:r>
      <w:r>
        <w:rPr>
          <w:spacing w:val="134"/>
          <w:w w:val="95"/>
        </w:rPr>
        <w:t> </w:t>
      </w:r>
      <w:r>
        <w:rPr>
          <w:spacing w:val="134"/>
          <w:w w:val="95"/>
        </w:rPr>
      </w:r>
      <w:r>
        <w:rPr>
          <w:spacing w:val="-4"/>
          <w:w w:val="95"/>
        </w:rPr>
        <w:t>材料。乡镇在接到申请后，派人入户调查、审核，县医保部门完</w:t>
      </w:r>
      <w:r>
        <w:rPr>
          <w:spacing w:val="136"/>
          <w:w w:val="95"/>
        </w:rPr>
        <w:t> </w:t>
      </w:r>
      <w:r>
        <w:rPr>
          <w:spacing w:val="136"/>
          <w:w w:val="95"/>
        </w:rPr>
      </w:r>
      <w:r>
        <w:rPr>
          <w:spacing w:val="-4"/>
          <w:w w:val="95"/>
        </w:rPr>
        <w:t>成审批（附表），县财政部门接到县医保部门的审批表后，将救</w:t>
      </w:r>
      <w:r>
        <w:rPr>
          <w:spacing w:val="133"/>
          <w:w w:val="95"/>
        </w:rPr>
        <w:t> </w:t>
      </w:r>
      <w:r>
        <w:rPr>
          <w:spacing w:val="133"/>
          <w:w w:val="95"/>
        </w:rPr>
      </w:r>
      <w:r>
        <w:rPr>
          <w:spacing w:val="-4"/>
          <w:w w:val="95"/>
        </w:rPr>
        <w:t>助资金打入其指定的金融机构账户，实行社会化发放。全年集中</w:t>
      </w:r>
      <w:r>
        <w:rPr>
          <w:spacing w:val="134"/>
          <w:w w:val="95"/>
        </w:rPr>
        <w:t> </w:t>
      </w:r>
      <w:r>
        <w:rPr>
          <w:spacing w:val="134"/>
          <w:w w:val="95"/>
        </w:rPr>
      </w:r>
      <w:r>
        <w:rPr>
          <w:spacing w:val="-4"/>
          <w:w w:val="95"/>
        </w:rPr>
        <w:t>办理两次（上半年及下半年各办理一次），突发性重特大疾病患</w:t>
      </w:r>
      <w:r>
        <w:rPr>
          <w:spacing w:val="136"/>
          <w:w w:val="95"/>
        </w:rPr>
        <w:t> </w:t>
      </w:r>
      <w:r>
        <w:rPr>
          <w:spacing w:val="136"/>
          <w:w w:val="95"/>
        </w:rPr>
      </w:r>
      <w:r>
        <w:rPr>
          <w:spacing w:val="-4"/>
          <w:w w:val="95"/>
        </w:rPr>
        <w:t>者，坚持特事特办，及时审核、审批。对不符合救助条件的，要</w:t>
      </w:r>
      <w:r>
        <w:rPr>
          <w:spacing w:val="134"/>
          <w:w w:val="95"/>
        </w:rPr>
        <w:t> </w:t>
      </w:r>
      <w:r>
        <w:rPr>
          <w:spacing w:val="134"/>
          <w:w w:val="95"/>
        </w:rPr>
      </w:r>
      <w:r>
        <w:rPr/>
        <w:t>向申请人说明理由、书面告知。</w:t>
      </w:r>
    </w:p>
    <w:p>
      <w:pPr>
        <w:pStyle w:val="BodyText"/>
        <w:spacing w:line="321" w:lineRule="auto" w:before="34"/>
        <w:ind w:right="0" w:firstLine="640"/>
        <w:jc w:val="left"/>
      </w:pPr>
      <w:r>
        <w:rPr>
          <w:rFonts w:ascii="楷体_GB2312" w:hAnsi="楷体_GB2312" w:cs="楷体_GB2312" w:eastAsia="楷体_GB2312"/>
          <w:spacing w:val="-4"/>
        </w:rPr>
        <w:t>（四）完善管理台账。</w:t>
      </w:r>
      <w:r>
        <w:rPr>
          <w:spacing w:val="-4"/>
        </w:rPr>
        <w:t>建立信息准确、数据完善的救助花名</w:t>
      </w:r>
      <w:r>
        <w:rPr>
          <w:w w:val="99"/>
        </w:rPr>
        <w:t> </w:t>
      </w:r>
      <w:r>
        <w:rPr/>
        <w:t>册，实时掌握医疗救助基金收支情况。加强医疗救助档案管理，</w:t>
      </w:r>
      <w:r>
        <w:rPr>
          <w:w w:val="99"/>
        </w:rPr>
        <w:t> </w:t>
      </w:r>
      <w:r>
        <w:rPr>
          <w:spacing w:val="-4"/>
        </w:rPr>
        <w:t>要在电子档案基础上，建立完善纸质档案，确保个人救助档案中</w:t>
      </w:r>
      <w:r>
        <w:rPr>
          <w:w w:val="99"/>
        </w:rPr>
        <w:t> </w:t>
      </w:r>
      <w:r>
        <w:rPr>
          <w:spacing w:val="-4"/>
        </w:rPr>
        <w:t>定点医疗机构提供的费用结算清单、医疗费用凭证、出院小结等</w:t>
      </w:r>
      <w:r>
        <w:rPr>
          <w:w w:val="99"/>
        </w:rPr>
        <w:t> </w:t>
      </w:r>
      <w:r>
        <w:rPr/>
        <w:t>相关凭证齐全。</w:t>
      </w:r>
    </w:p>
    <w:p>
      <w:pPr>
        <w:pStyle w:val="BodyText"/>
        <w:spacing w:line="240" w:lineRule="auto"/>
        <w:ind w:left="747" w:right="0"/>
        <w:jc w:val="left"/>
        <w:rPr>
          <w:rFonts w:ascii="黑体" w:hAnsi="黑体" w:cs="黑体" w:eastAsia="黑体"/>
        </w:rPr>
      </w:pPr>
      <w:r>
        <w:rPr>
          <w:rFonts w:ascii="黑体" w:hAnsi="黑体" w:cs="黑体" w:eastAsia="黑体"/>
        </w:rPr>
        <w:t>八、基金管理</w:t>
      </w:r>
    </w:p>
    <w:p>
      <w:pPr>
        <w:pStyle w:val="BodyText"/>
        <w:spacing w:line="321" w:lineRule="auto" w:before="143"/>
        <w:ind w:right="0" w:firstLine="640"/>
        <w:jc w:val="left"/>
      </w:pPr>
      <w:r>
        <w:rPr>
          <w:rFonts w:ascii="楷体_GB2312" w:hAnsi="楷体_GB2312" w:cs="楷体_GB2312" w:eastAsia="楷体_GB2312"/>
          <w:spacing w:val="-10"/>
          <w:w w:val="95"/>
        </w:rPr>
        <w:t>（一）基金筹集。</w:t>
      </w:r>
      <w:r>
        <w:rPr>
          <w:spacing w:val="-10"/>
          <w:w w:val="95"/>
        </w:rPr>
        <w:t>医疗救助基金通过财政安排、福彩公益金、</w:t>
      </w:r>
      <w:r>
        <w:rPr>
          <w:w w:val="99"/>
        </w:rPr>
        <w:t> </w:t>
      </w:r>
      <w:r>
        <w:rPr>
          <w:spacing w:val="-4"/>
        </w:rPr>
        <w:t>社会捐赠等渠道筹集。县财政部门要根据救助对象数量、救助标</w:t>
      </w:r>
      <w:r>
        <w:rPr>
          <w:w w:val="99"/>
        </w:rPr>
        <w:t> </w:t>
      </w:r>
      <w:r>
        <w:rPr/>
        <w:t>准、医药费用增长和上级财政补助资金情况科学测算资金需求，</w:t>
      </w:r>
      <w:r>
        <w:rPr>
          <w:w w:val="99"/>
        </w:rPr>
        <w:t> </w:t>
      </w:r>
      <w:r>
        <w:rPr>
          <w:spacing w:val="-4"/>
        </w:rPr>
        <w:t>足额安排财政医疗救助基金。实施过程中的缺口部分，由财政及</w:t>
      </w:r>
      <w:r>
        <w:rPr>
          <w:w w:val="99"/>
        </w:rPr>
        <w:t> </w:t>
      </w:r>
      <w:r>
        <w:rPr/>
        <w:t>时予以弥补。</w:t>
      </w:r>
    </w:p>
    <w:p>
      <w:pPr>
        <w:pStyle w:val="BodyText"/>
        <w:spacing w:line="321" w:lineRule="auto"/>
        <w:ind w:right="0" w:firstLine="640"/>
        <w:jc w:val="left"/>
      </w:pPr>
      <w:r>
        <w:rPr>
          <w:rFonts w:ascii="楷体_GB2312" w:hAnsi="楷体_GB2312" w:cs="楷体_GB2312" w:eastAsia="楷体_GB2312"/>
        </w:rPr>
        <w:t>（二）基金使用。</w:t>
      </w:r>
      <w:r>
        <w:rPr/>
        <w:t>要坚持“量入为出、年度平衡”的原则，</w:t>
      </w:r>
      <w:r>
        <w:rPr>
          <w:w w:val="99"/>
        </w:rPr>
        <w:t> </w:t>
      </w:r>
      <w:r>
        <w:rPr>
          <w:spacing w:val="-4"/>
        </w:rPr>
        <w:t>对救助对象及时实施救助。资助救助对象参加基本医疗保险的资</w:t>
      </w:r>
    </w:p>
    <w:p>
      <w:pPr>
        <w:spacing w:after="0" w:line="321" w:lineRule="auto"/>
        <w:jc w:val="left"/>
        <w:sectPr>
          <w:pgSz w:w="11910" w:h="16840"/>
          <w:pgMar w:header="0" w:footer="1294" w:top="1580" w:bottom="1480" w:left="1480" w:right="1200"/>
        </w:sectPr>
      </w:pPr>
    </w:p>
    <w:p>
      <w:pPr>
        <w:spacing w:line="240" w:lineRule="auto" w:before="7"/>
        <w:rPr>
          <w:rFonts w:ascii="仿宋_GB2312" w:hAnsi="仿宋_GB2312" w:cs="仿宋_GB2312" w:eastAsia="仿宋_GB2312"/>
          <w:sz w:val="13"/>
          <w:szCs w:val="13"/>
        </w:rPr>
      </w:pPr>
    </w:p>
    <w:p>
      <w:pPr>
        <w:pStyle w:val="BodyText"/>
        <w:spacing w:line="321" w:lineRule="auto" w:before="0"/>
        <w:ind w:right="271"/>
        <w:jc w:val="both"/>
      </w:pPr>
      <w:r>
        <w:rPr>
          <w:spacing w:val="-4"/>
          <w:w w:val="95"/>
        </w:rPr>
        <w:t>金和定点医疗机构为救助对象先行垫付的医疗救助基金，由县财</w:t>
      </w:r>
      <w:r>
        <w:rPr>
          <w:spacing w:val="136"/>
          <w:w w:val="95"/>
        </w:rPr>
        <w:t> </w:t>
      </w:r>
      <w:r>
        <w:rPr>
          <w:spacing w:val="136"/>
          <w:w w:val="95"/>
        </w:rPr>
      </w:r>
      <w:r>
        <w:rPr>
          <w:spacing w:val="-4"/>
          <w:w w:val="95"/>
        </w:rPr>
        <w:t>政部门定期核拨至基本医疗保险和定点医疗机构资金专户，并通</w:t>
      </w:r>
      <w:r>
        <w:rPr>
          <w:spacing w:val="134"/>
          <w:w w:val="95"/>
        </w:rPr>
        <w:t> </w:t>
      </w:r>
      <w:r>
        <w:rPr>
          <w:spacing w:val="134"/>
          <w:w w:val="95"/>
        </w:rPr>
      </w:r>
      <w:r>
        <w:rPr>
          <w:spacing w:val="-4"/>
          <w:w w:val="95"/>
        </w:rPr>
        <w:t>知经办机构为其办理有关手续。其余医疗救助基金按规定程序审</w:t>
      </w:r>
      <w:r>
        <w:rPr>
          <w:spacing w:val="134"/>
          <w:w w:val="95"/>
        </w:rPr>
        <w:t> </w:t>
      </w:r>
      <w:r>
        <w:rPr>
          <w:spacing w:val="134"/>
          <w:w w:val="95"/>
        </w:rPr>
      </w:r>
      <w:r>
        <w:rPr>
          <w:spacing w:val="-4"/>
          <w:w w:val="95"/>
        </w:rPr>
        <w:t>批，并及时以书面形式通知申请人持有关证件到有关金融机构领</w:t>
      </w:r>
      <w:r>
        <w:rPr>
          <w:spacing w:val="134"/>
          <w:w w:val="95"/>
        </w:rPr>
        <w:t> </w:t>
      </w:r>
      <w:r>
        <w:rPr>
          <w:spacing w:val="134"/>
          <w:w w:val="95"/>
        </w:rPr>
      </w:r>
      <w:r>
        <w:rPr/>
        <w:t>取。</w:t>
      </w:r>
    </w:p>
    <w:p>
      <w:pPr>
        <w:pStyle w:val="BodyText"/>
        <w:spacing w:line="321" w:lineRule="auto"/>
        <w:ind w:right="0" w:firstLine="640"/>
        <w:jc w:val="left"/>
      </w:pPr>
      <w:r>
        <w:rPr>
          <w:rFonts w:ascii="楷体_GB2312" w:hAnsi="楷体_GB2312" w:cs="楷体_GB2312" w:eastAsia="楷体_GB2312"/>
          <w:spacing w:val="-4"/>
        </w:rPr>
        <w:t>（三）基金监管。</w:t>
      </w:r>
      <w:r>
        <w:rPr>
          <w:rFonts w:ascii="仿宋" w:hAnsi="仿宋" w:cs="仿宋" w:eastAsia="仿宋"/>
          <w:spacing w:val="-4"/>
        </w:rPr>
        <w:t>县</w:t>
      </w:r>
      <w:r>
        <w:rPr>
          <w:spacing w:val="-4"/>
        </w:rPr>
        <w:t>财政部门要结合实际情况，盘活财政存</w:t>
      </w:r>
      <w:r>
        <w:rPr>
          <w:w w:val="99"/>
        </w:rPr>
        <w:t> </w:t>
      </w:r>
      <w:r>
        <w:rPr>
          <w:spacing w:val="-4"/>
        </w:rPr>
        <w:t>量资金，优化财政支出结构，提升资金使用效益。财政、医保部</w:t>
      </w:r>
      <w:r>
        <w:rPr>
          <w:w w:val="99"/>
        </w:rPr>
        <w:t> </w:t>
      </w:r>
      <w:r>
        <w:rPr>
          <w:spacing w:val="-9"/>
          <w:w w:val="95"/>
        </w:rPr>
        <w:t>门要加强资金使用管理情况检查，确保资金使用安全、管理规范。</w:t>
      </w:r>
      <w:r>
        <w:rPr>
          <w:spacing w:val="1"/>
          <w:w w:val="95"/>
        </w:rPr>
        <w:t> </w:t>
      </w:r>
      <w:r>
        <w:rPr>
          <w:spacing w:val="1"/>
          <w:w w:val="95"/>
        </w:rPr>
      </w:r>
      <w:r>
        <w:rPr>
          <w:spacing w:val="-4"/>
        </w:rPr>
        <w:t>对存在虚报冒领、挤占挪用、贪污浪费等违纪违法行为的，按照</w:t>
      </w:r>
      <w:r>
        <w:rPr>
          <w:w w:val="99"/>
        </w:rPr>
        <w:t> </w:t>
      </w:r>
      <w:r>
        <w:rPr>
          <w:spacing w:val="-9"/>
          <w:w w:val="95"/>
        </w:rPr>
        <w:t>有关法律法规严肃处理。对故意编造虚假信息，骗取上级补助的，</w:t>
      </w:r>
      <w:r>
        <w:rPr>
          <w:spacing w:val="1"/>
          <w:w w:val="95"/>
        </w:rPr>
        <w:t> </w:t>
      </w:r>
      <w:r>
        <w:rPr>
          <w:spacing w:val="1"/>
          <w:w w:val="95"/>
        </w:rPr>
      </w:r>
      <w:r>
        <w:rPr>
          <w:spacing w:val="-4"/>
        </w:rPr>
        <w:t>除责令立即纠正、扣回、停发上级补助资金外，还应按规定追究</w:t>
      </w:r>
      <w:r>
        <w:rPr>
          <w:w w:val="99"/>
        </w:rPr>
        <w:t> </w:t>
      </w:r>
      <w:r>
        <w:rPr/>
        <w:t>有关单位和人员的责任。</w:t>
      </w:r>
    </w:p>
    <w:p>
      <w:pPr>
        <w:pStyle w:val="BodyText"/>
        <w:spacing w:line="240" w:lineRule="auto"/>
        <w:ind w:left="747" w:right="0"/>
        <w:jc w:val="left"/>
        <w:rPr>
          <w:rFonts w:ascii="黑体" w:hAnsi="黑体" w:cs="黑体" w:eastAsia="黑体"/>
        </w:rPr>
      </w:pPr>
      <w:r>
        <w:rPr>
          <w:rFonts w:ascii="黑体" w:hAnsi="黑体" w:cs="黑体" w:eastAsia="黑体"/>
        </w:rPr>
        <w:t>九、保障措施</w:t>
      </w:r>
    </w:p>
    <w:p>
      <w:pPr>
        <w:pStyle w:val="BodyText"/>
        <w:spacing w:line="321" w:lineRule="auto" w:before="143"/>
        <w:ind w:right="271" w:firstLine="640"/>
        <w:jc w:val="both"/>
      </w:pPr>
      <w:r>
        <w:rPr>
          <w:rFonts w:ascii="楷体_GB2312" w:hAnsi="楷体_GB2312" w:cs="楷体_GB2312" w:eastAsia="楷体_GB2312"/>
          <w:spacing w:val="-4"/>
          <w:w w:val="95"/>
        </w:rPr>
        <w:t>（一）明确职责分工。</w:t>
      </w:r>
      <w:r>
        <w:rPr>
          <w:spacing w:val="-4"/>
          <w:w w:val="95"/>
        </w:rPr>
        <w:t>医疗救助工作由医保部门牵头组织实</w:t>
      </w:r>
      <w:r>
        <w:rPr>
          <w:w w:val="99"/>
        </w:rPr>
        <w:t> </w:t>
      </w:r>
      <w:r>
        <w:rPr>
          <w:spacing w:val="-4"/>
          <w:w w:val="95"/>
        </w:rPr>
        <w:t>施，各相关部门要制定相应措施，推动目标任务落实；县民政部</w:t>
      </w:r>
      <w:r>
        <w:rPr>
          <w:spacing w:val="135"/>
          <w:w w:val="95"/>
        </w:rPr>
        <w:t> </w:t>
      </w:r>
      <w:r>
        <w:rPr>
          <w:spacing w:val="135"/>
          <w:w w:val="95"/>
        </w:rPr>
      </w:r>
      <w:r>
        <w:rPr>
          <w:spacing w:val="-4"/>
          <w:w w:val="95"/>
        </w:rPr>
        <w:t>门负责低保对象、特困供养人员、低收入家庭重症患者、其他特</w:t>
      </w:r>
      <w:r>
        <w:rPr>
          <w:spacing w:val="135"/>
          <w:w w:val="95"/>
        </w:rPr>
        <w:t> </w:t>
      </w:r>
      <w:r>
        <w:rPr>
          <w:spacing w:val="135"/>
          <w:w w:val="95"/>
        </w:rPr>
      </w:r>
      <w:r>
        <w:rPr>
          <w:spacing w:val="-4"/>
          <w:w w:val="95"/>
        </w:rPr>
        <w:t>殊困难人员认定；扶贫部门负责脱贫人口的确定；财政部门负责</w:t>
      </w:r>
      <w:r>
        <w:rPr>
          <w:spacing w:val="136"/>
          <w:w w:val="95"/>
        </w:rPr>
        <w:t> </w:t>
      </w:r>
      <w:r>
        <w:rPr>
          <w:spacing w:val="136"/>
          <w:w w:val="95"/>
        </w:rPr>
      </w:r>
      <w:r>
        <w:rPr/>
        <w:t>医疗救助基金的筹集管理和监督。</w:t>
      </w:r>
    </w:p>
    <w:p>
      <w:pPr>
        <w:pStyle w:val="BodyText"/>
        <w:spacing w:line="321" w:lineRule="auto"/>
        <w:ind w:right="271" w:firstLine="640"/>
        <w:jc w:val="both"/>
      </w:pPr>
      <w:r>
        <w:rPr>
          <w:rFonts w:ascii="楷体_GB2312" w:hAnsi="楷体_GB2312" w:cs="楷体_GB2312" w:eastAsia="楷体_GB2312"/>
          <w:spacing w:val="-4"/>
          <w:w w:val="95"/>
        </w:rPr>
        <w:t>（二）提升服务水平。</w:t>
      </w:r>
      <w:r>
        <w:rPr>
          <w:spacing w:val="-4"/>
          <w:w w:val="95"/>
        </w:rPr>
        <w:t>各部门间应加强各种救助制度与保险</w:t>
      </w:r>
      <w:r>
        <w:rPr>
          <w:w w:val="99"/>
        </w:rPr>
        <w:t> </w:t>
      </w:r>
      <w:r>
        <w:rPr>
          <w:spacing w:val="-4"/>
          <w:w w:val="95"/>
        </w:rPr>
        <w:t>制度的衔接，完善“一站式”管理服务和做好大病保险与医疗救</w:t>
      </w:r>
      <w:r>
        <w:rPr>
          <w:spacing w:val="135"/>
          <w:w w:val="95"/>
        </w:rPr>
        <w:t> </w:t>
      </w:r>
      <w:r>
        <w:rPr>
          <w:spacing w:val="135"/>
          <w:w w:val="95"/>
        </w:rPr>
      </w:r>
      <w:r>
        <w:rPr>
          <w:spacing w:val="-4"/>
          <w:w w:val="95"/>
        </w:rPr>
        <w:t>助制度的衔接。实现不同医疗保障制度之间人员信息、就医信息</w:t>
      </w:r>
      <w:r>
        <w:rPr>
          <w:spacing w:val="133"/>
          <w:w w:val="95"/>
        </w:rPr>
        <w:t> </w:t>
      </w:r>
      <w:r>
        <w:rPr>
          <w:spacing w:val="133"/>
          <w:w w:val="95"/>
        </w:rPr>
      </w:r>
      <w:r>
        <w:rPr/>
        <w:t>和医疗费用信息的共享，提高管理服务水平，方便困难群众。</w:t>
      </w:r>
    </w:p>
    <w:p>
      <w:pPr>
        <w:pStyle w:val="BodyText"/>
        <w:spacing w:line="240" w:lineRule="auto" w:before="34"/>
        <w:ind w:left="747" w:right="0"/>
        <w:jc w:val="left"/>
      </w:pPr>
      <w:r>
        <w:rPr>
          <w:rFonts w:ascii="楷体_GB2312" w:hAnsi="楷体_GB2312" w:cs="楷体_GB2312" w:eastAsia="楷体_GB2312"/>
          <w:spacing w:val="-4"/>
        </w:rPr>
        <w:t>（三）严格监督管理。</w:t>
      </w:r>
      <w:r>
        <w:rPr>
          <w:spacing w:val="-4"/>
        </w:rPr>
        <w:t>建立健全城乡医疗救助绩效评价考核</w:t>
      </w:r>
    </w:p>
    <w:p>
      <w:pPr>
        <w:spacing w:after="0" w:line="240" w:lineRule="auto"/>
        <w:jc w:val="left"/>
        <w:sectPr>
          <w:pgSz w:w="11910" w:h="16840"/>
          <w:pgMar w:header="0" w:footer="1294" w:top="1580" w:bottom="1480" w:left="1480" w:right="1200"/>
        </w:sectPr>
      </w:pPr>
    </w:p>
    <w:p>
      <w:pPr>
        <w:spacing w:line="240" w:lineRule="auto" w:before="7"/>
        <w:rPr>
          <w:rFonts w:ascii="仿宋_GB2312" w:hAnsi="仿宋_GB2312" w:cs="仿宋_GB2312" w:eastAsia="仿宋_GB2312"/>
          <w:sz w:val="13"/>
          <w:szCs w:val="13"/>
        </w:rPr>
      </w:pPr>
    </w:p>
    <w:p>
      <w:pPr>
        <w:pStyle w:val="BodyText"/>
        <w:spacing w:line="321" w:lineRule="auto" w:before="0"/>
        <w:ind w:right="111"/>
        <w:jc w:val="both"/>
      </w:pPr>
      <w:r>
        <w:rPr>
          <w:spacing w:val="-4"/>
          <w:w w:val="95"/>
        </w:rPr>
        <w:t>体系，严格对城乡医疗救助工作的督促检查，加强社会监督，增</w:t>
      </w:r>
      <w:r>
        <w:rPr>
          <w:spacing w:val="134"/>
          <w:w w:val="95"/>
        </w:rPr>
        <w:t> </w:t>
      </w:r>
      <w:r>
        <w:rPr>
          <w:spacing w:val="134"/>
          <w:w w:val="95"/>
        </w:rPr>
      </w:r>
      <w:r>
        <w:rPr>
          <w:spacing w:val="-4"/>
          <w:w w:val="95"/>
        </w:rPr>
        <w:t>强约束力和工作透明度。健全责任追究机制，严肃查处挤占、挪</w:t>
      </w:r>
      <w:r>
        <w:rPr>
          <w:spacing w:val="134"/>
          <w:w w:val="95"/>
        </w:rPr>
        <w:t> </w:t>
      </w:r>
      <w:r>
        <w:rPr>
          <w:spacing w:val="134"/>
          <w:w w:val="95"/>
        </w:rPr>
      </w:r>
      <w:r>
        <w:rPr/>
        <w:t>用、虚报、冒领城乡医疗救助资金等违规违纪违法行为。</w:t>
      </w:r>
    </w:p>
    <w:sectPr>
      <w:pgSz w:w="11910" w:h="16840"/>
      <w:pgMar w:header="0" w:footer="1294" w:top="1580" w:bottom="1480" w:left="1480" w:right="1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仿宋_GB2312">
    <w:altName w:val="仿宋_GB2312"/>
    <w:charset w:val="86"/>
    <w:family w:val="modern"/>
    <w:pitch w:val="fixed"/>
  </w:font>
  <w:font w:name="楷体_GB2312">
    <w:altName w:val="楷体_GB2312"/>
    <w:charset w:val="86"/>
    <w:family w:val="modern"/>
    <w:pitch w:val="fixed"/>
  </w:font>
  <w:font w:name="方正小标宋简体">
    <w:altName w:val="方正小标宋简体"/>
    <w:charset w:val="86"/>
    <w:family w:val="script"/>
    <w:pitch w:val="fixed"/>
  </w:font>
  <w:font w:name="黑体">
    <w:altName w:val="黑体"/>
    <w:charset w:val="86"/>
    <w:family w:val="modern"/>
    <w:pitch w:val="fixed"/>
  </w:font>
  <w:font w:name="仿宋">
    <w:altName w:val="仿宋"/>
    <w:charset w:val="86"/>
    <w:family w:val="modern"/>
    <w:pitch w:val="fixed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485.600006pt;margin-top:786.655823pt;width:37pt;height:16.05pt;mso-position-horizontal-relative:page;mso-position-vertical-relative:page;z-index:-5056" type="#_x0000_t202" filled="false" stroked="false">
          <v:textbox inset="0,0,0,0">
            <w:txbxContent>
              <w:p>
                <w:pPr>
                  <w:spacing w:line="301" w:lineRule="exact" w:before="0"/>
                  <w:ind w:left="20" w:right="0" w:firstLine="0"/>
                  <w:jc w:val="left"/>
                  <w:rPr>
                    <w:rFonts w:ascii="仿宋_GB2312" w:hAnsi="仿宋_GB2312" w:cs="仿宋_GB2312" w:eastAsia="仿宋_GB2312"/>
                    <w:sz w:val="28"/>
                    <w:szCs w:val="28"/>
                  </w:rPr>
                </w:pPr>
                <w:r>
                  <w:rPr>
                    <w:rFonts w:ascii="仿宋_GB2312"/>
                    <w:w w:val="100"/>
                    <w:sz w:val="28"/>
                  </w:rPr>
                  <w:t>-</w:t>
                </w:r>
                <w:r>
                  <w:rPr>
                    <w:rFonts w:ascii="仿宋_GB2312"/>
                    <w:sz w:val="28"/>
                  </w:rPr>
                  <w:t> </w:t>
                </w:r>
                <w:r>
                  <w:rPr>
                    <w:rFonts w:ascii="仿宋_GB2312"/>
                    <w:w w:val="100"/>
                    <w:sz w:val="28"/>
                  </w:rPr>
                  <w:t>1</w:t>
                </w:r>
                <w:r>
                  <w:rPr>
                    <w:rFonts w:ascii="仿宋_GB2312"/>
                    <w:spacing w:val="-3"/>
                    <w:sz w:val="28"/>
                  </w:rPr>
                  <w:t> </w:t>
                </w:r>
                <w:r>
                  <w:rPr>
                    <w:rFonts w:ascii="仿宋_GB2312"/>
                    <w:w w:val="100"/>
                    <w:sz w:val="28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78.320pt;margin-top:766.182983pt;width:42.05pt;height:17.95pt;mso-position-horizontal-relative:page;mso-position-vertical-relative:page;z-index:-5032" type="#_x0000_t202" filled="false" stroked="false">
          <v:textbox inset="0,0,0,0">
            <w:txbxContent>
              <w:p>
                <w:pPr>
                  <w:pStyle w:val="BodyText"/>
                  <w:spacing w:line="339" w:lineRule="exact" w:before="0"/>
                  <w:ind w:left="20" w:right="0"/>
                  <w:jc w:val="left"/>
                </w:pPr>
                <w:r>
                  <w:rPr>
                    <w:w w:val="99"/>
                  </w:rPr>
                  <w:t>-</w:t>
                </w:r>
                <w:r>
                  <w:rPr>
                    <w:spacing w:val="2"/>
                  </w:rPr>
                  <w:t> </w:t>
                </w:r>
                <w:r>
                  <w:rPr>
                    <w:w w:val="99"/>
                  </w:rPr>
                </w:r>
                <w:r>
                  <w:rPr/>
                  <w:fldChar w:fldCharType="begin"/>
                </w:r>
                <w:r>
                  <w:rPr>
                    <w:w w:val="99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</w:t>
                </w:r>
                <w:r>
                  <w:rPr/>
                  <w:fldChar w:fldCharType="end"/>
                </w:r>
                <w:r>
                  <w:rPr>
                    <w:spacing w:val="-1"/>
                  </w:rPr>
                  <w:t> </w:t>
                </w:r>
                <w:r>
                  <w:rPr>
                    <w:w w:val="99"/>
                  </w:rPr>
                  <w:t>-</w:t>
                </w:r>
                <w:r>
                  <w:rPr/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480.55899pt;margin-top:766.182983pt;width:42.05pt;height:17.95pt;mso-position-horizontal-relative:page;mso-position-vertical-relative:page;z-index:-5008" type="#_x0000_t202" filled="false" stroked="false">
          <v:textbox inset="0,0,0,0">
            <w:txbxContent>
              <w:p>
                <w:pPr>
                  <w:pStyle w:val="BodyText"/>
                  <w:spacing w:line="339" w:lineRule="exact" w:before="0"/>
                  <w:ind w:left="20" w:right="0"/>
                  <w:jc w:val="left"/>
                </w:pPr>
                <w:r>
                  <w:rPr>
                    <w:w w:val="99"/>
                  </w:rPr>
                  <w:t>-</w:t>
                </w:r>
                <w:r>
                  <w:rPr>
                    <w:spacing w:val="2"/>
                  </w:rPr>
                  <w:t> </w:t>
                </w:r>
                <w:r>
                  <w:rPr>
                    <w:w w:val="99"/>
                  </w:rPr>
                </w:r>
                <w:r>
                  <w:rPr/>
                  <w:fldChar w:fldCharType="begin"/>
                </w:r>
                <w:r>
                  <w:rPr>
                    <w:w w:val="99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3</w:t>
                </w:r>
                <w:r>
                  <w:rPr/>
                  <w:fldChar w:fldCharType="end"/>
                </w:r>
                <w:r>
                  <w:rPr>
                    <w:spacing w:val="-1"/>
                  </w:rPr>
                  <w:t> </w:t>
                </w:r>
                <w:r>
                  <w:rPr>
                    <w:w w:val="99"/>
                  </w:rPr>
                  <w:t>-</w:t>
                </w:r>
                <w:r>
                  <w:rPr/>
                </w:r>
              </w:p>
            </w:txbxContent>
          </v:textbox>
          <w10:wrap type="non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78.320pt;margin-top:766.182983pt;width:42.05pt;height:17.95pt;mso-position-horizontal-relative:page;mso-position-vertical-relative:page;z-index:-4984" type="#_x0000_t202" filled="false" stroked="false">
          <v:textbox inset="0,0,0,0">
            <w:txbxContent>
              <w:p>
                <w:pPr>
                  <w:pStyle w:val="BodyText"/>
                  <w:spacing w:line="339" w:lineRule="exact" w:before="0"/>
                  <w:ind w:left="20" w:right="0"/>
                  <w:jc w:val="left"/>
                </w:pPr>
                <w:r>
                  <w:rPr>
                    <w:w w:val="99"/>
                  </w:rPr>
                  <w:t>-</w:t>
                </w:r>
                <w:r>
                  <w:rPr>
                    <w:spacing w:val="2"/>
                  </w:rPr>
                  <w:t> </w:t>
                </w:r>
                <w:r>
                  <w:rPr>
                    <w:w w:val="99"/>
                  </w:rPr>
                </w:r>
                <w:r>
                  <w:rPr/>
                  <w:fldChar w:fldCharType="begin"/>
                </w:r>
                <w:r>
                  <w:rPr>
                    <w:w w:val="99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4</w:t>
                </w:r>
                <w:r>
                  <w:rPr/>
                  <w:fldChar w:fldCharType="end"/>
                </w:r>
                <w:r>
                  <w:rPr>
                    <w:spacing w:val="-1"/>
                  </w:rPr>
                  <w:t> </w:t>
                </w:r>
                <w:r>
                  <w:rPr>
                    <w:w w:val="99"/>
                  </w:rPr>
                  <w:t>-</w:t>
                </w:r>
                <w:r>
                  <w:rPr/>
                </w:r>
              </w:p>
            </w:txbxContent>
          </v:textbox>
          <w10:wrap type="none"/>
        </v:shape>
      </w:pic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evenAndOddHeaders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spacing w:before="31"/>
      <w:ind w:left="106"/>
    </w:pPr>
    <w:rPr>
      <w:rFonts w:ascii="仿宋_GB2312" w:hAnsi="仿宋_GB2312" w:eastAsia="仿宋_GB2312"/>
      <w:sz w:val="32"/>
      <w:szCs w:val="32"/>
    </w:rPr>
  </w:style>
  <w:style w:styleId="Heading1" w:type="paragraph">
    <w:name w:val="Heading 1"/>
    <w:basedOn w:val="Normal"/>
    <w:uiPriority w:val="1"/>
    <w:qFormat/>
    <w:pPr>
      <w:ind w:left="127"/>
      <w:outlineLvl w:val="1"/>
    </w:pPr>
    <w:rPr>
      <w:rFonts w:ascii="方正小标宋简体" w:hAnsi="方正小标宋简体" w:eastAsia="方正小标宋简体"/>
      <w:sz w:val="44"/>
      <w:szCs w:val="4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oter" Target="footer4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gyb1</dc:creator>
  <dcterms:created xsi:type="dcterms:W3CDTF">2023-10-10T15:47:17Z</dcterms:created>
  <dcterms:modified xsi:type="dcterms:W3CDTF">2023-10-10T15:47:17Z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2021-09-27T00:00:00Z</vt:filetime>
  </property>
  <property fmtid="{D5CDD505-2E9C-101B-9397-08002B2CF9AE}" pid="3" name="Creator">
    <vt:lpwstr>WPS 文字</vt:lpwstr>
  </property>
  <property fmtid="{D5CDD505-2E9C-101B-9397-08002B2CF9AE}" pid="4" name="LastSaved">
    <vt:filetime>2023-10-10T00:00:00Z</vt:filetime>
  </property>
</Properties>
</file>