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b/>
          <w:spacing w:val="20"/>
          <w:w w:val="85"/>
          <w:sz w:val="56"/>
          <w:szCs w:val="52"/>
        </w:rPr>
      </w:pPr>
    </w:p>
    <w:p>
      <w:pPr>
        <w:spacing w:line="360" w:lineRule="auto"/>
        <w:jc w:val="center"/>
        <w:rPr>
          <w:rFonts w:ascii="方正小标宋简体" w:hAnsi="宋体" w:eastAsia="方正小标宋简体"/>
          <w:b/>
          <w:spacing w:val="20"/>
          <w:w w:val="85"/>
          <w:sz w:val="56"/>
          <w:szCs w:val="52"/>
        </w:rPr>
      </w:pPr>
    </w:p>
    <w:p>
      <w:pPr>
        <w:spacing w:line="360" w:lineRule="auto"/>
        <w:jc w:val="center"/>
        <w:rPr>
          <w:rFonts w:ascii="方正小标宋简体" w:hAnsi="宋体" w:eastAsia="方正小标宋简体"/>
          <w:b/>
          <w:w w:val="85"/>
          <w:sz w:val="56"/>
          <w:szCs w:val="52"/>
        </w:rPr>
      </w:pPr>
      <w:r>
        <w:rPr>
          <w:rFonts w:hint="eastAsia" w:ascii="方正小标宋简体" w:hAnsi="宋体" w:eastAsia="方正小标宋简体"/>
          <w:b/>
          <w:spacing w:val="20"/>
          <w:w w:val="85"/>
          <w:sz w:val="56"/>
          <w:szCs w:val="52"/>
        </w:rPr>
        <w:t>东至县国民经济和社会发展第十四</w:t>
      </w:r>
      <w:r>
        <w:rPr>
          <w:rFonts w:hint="eastAsia" w:ascii="方正小标宋简体" w:hAnsi="宋体" w:eastAsia="方正小标宋简体"/>
          <w:b/>
          <w:w w:val="85"/>
          <w:sz w:val="56"/>
          <w:szCs w:val="52"/>
        </w:rPr>
        <w:t>个</w:t>
      </w:r>
    </w:p>
    <w:p>
      <w:pPr>
        <w:spacing w:line="360" w:lineRule="auto"/>
        <w:jc w:val="center"/>
        <w:rPr>
          <w:rFonts w:ascii="方正小标宋简体" w:hAnsi="宋体" w:eastAsia="方正小标宋简体"/>
          <w:b/>
          <w:w w:val="85"/>
          <w:sz w:val="56"/>
          <w:szCs w:val="52"/>
        </w:rPr>
      </w:pPr>
      <w:r>
        <w:rPr>
          <w:rFonts w:hint="eastAsia" w:ascii="方正小标宋简体" w:hAnsi="宋体" w:eastAsia="方正小标宋简体"/>
          <w:b/>
          <w:w w:val="85"/>
          <w:sz w:val="56"/>
          <w:szCs w:val="52"/>
        </w:rPr>
        <w:t>五年规划和二〇三五年远景目标纲要</w:t>
      </w:r>
    </w:p>
    <w:p/>
    <w:p/>
    <w:p/>
    <w:p/>
    <w:p/>
    <w:p/>
    <w:p/>
    <w:p/>
    <w:p/>
    <w:p/>
    <w:p>
      <w:pPr>
        <w:spacing w:line="360" w:lineRule="auto"/>
        <w:jc w:val="center"/>
        <w:rPr>
          <w:rFonts w:ascii="楷体_GB2312" w:hAnsi="宋体" w:eastAsia="楷体_GB2312"/>
          <w:b/>
          <w:sz w:val="44"/>
          <w:szCs w:val="44"/>
        </w:rPr>
      </w:pPr>
    </w:p>
    <w:p>
      <w:pPr>
        <w:pStyle w:val="2"/>
        <w:rPr>
          <w:rFonts w:ascii="楷体_GB2312" w:hAnsi="宋体" w:eastAsia="楷体_GB2312"/>
          <w:b/>
          <w:sz w:val="44"/>
          <w:szCs w:val="44"/>
        </w:rPr>
      </w:pPr>
    </w:p>
    <w:p/>
    <w:p>
      <w:pPr>
        <w:pStyle w:val="2"/>
      </w:pPr>
    </w:p>
    <w:p/>
    <w:p/>
    <w:p/>
    <w:p>
      <w:pPr>
        <w:pStyle w:val="2"/>
      </w:pPr>
    </w:p>
    <w:p/>
    <w:p>
      <w:pPr>
        <w:pStyle w:val="2"/>
      </w:pPr>
    </w:p>
    <w:p/>
    <w:p>
      <w:pPr>
        <w:pStyle w:val="2"/>
      </w:pPr>
    </w:p>
    <w:p/>
    <w:p>
      <w:pPr>
        <w:spacing w:line="600" w:lineRule="exact"/>
        <w:jc w:val="center"/>
        <w:rPr>
          <w:rFonts w:ascii="楷体_GB2312" w:hAnsi="宋体" w:eastAsia="楷体_GB2312"/>
          <w:b/>
          <w:bCs/>
          <w:sz w:val="44"/>
          <w:szCs w:val="44"/>
        </w:rPr>
      </w:pPr>
      <w:r>
        <w:rPr>
          <w:rFonts w:hint="eastAsia" w:ascii="楷体_GB2312" w:hAnsi="宋体" w:eastAsia="楷体_GB2312"/>
          <w:b/>
          <w:bCs/>
          <w:sz w:val="44"/>
          <w:szCs w:val="44"/>
        </w:rPr>
        <w:t>2021年4月</w:t>
      </w:r>
    </w:p>
    <w:p>
      <w:pPr>
        <w:spacing w:line="360" w:lineRule="auto"/>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sectPr>
          <w:pgSz w:w="11906" w:h="16838"/>
          <w:pgMar w:top="1701" w:right="1588" w:bottom="1701" w:left="1588" w:header="851" w:footer="1418" w:gutter="0"/>
          <w:cols w:space="425" w:num="1"/>
          <w:docGrid w:type="lines" w:linePitch="312" w:charSpace="0"/>
        </w:sect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pPr>
    </w:p>
    <w:p>
      <w:pPr>
        <w:spacing w:line="360" w:lineRule="auto"/>
        <w:jc w:val="center"/>
        <w:rPr>
          <w:rFonts w:ascii="方正小标宋简体" w:hAnsi="黑体" w:eastAsia="方正小标宋简体" w:cs="黑体"/>
          <w:b/>
          <w:sz w:val="40"/>
          <w:szCs w:val="40"/>
        </w:rPr>
        <w:sectPr>
          <w:footerReference r:id="rId4" w:type="default"/>
          <w:pgSz w:w="11906" w:h="16838"/>
          <w:pgMar w:top="1701" w:right="1588" w:bottom="1701" w:left="1588" w:header="851" w:footer="1418" w:gutter="0"/>
          <w:pgNumType w:fmt="lowerRoman" w:start="1"/>
          <w:cols w:space="425" w:num="1"/>
          <w:docGrid w:type="lines" w:linePitch="312" w:charSpace="0"/>
        </w:sectPr>
      </w:pPr>
    </w:p>
    <w:p>
      <w:pPr>
        <w:spacing w:line="360" w:lineRule="auto"/>
        <w:jc w:val="center"/>
        <w:rPr>
          <w:rFonts w:ascii="方正小标宋简体" w:hAnsi="黑体" w:eastAsia="方正小标宋简体" w:cs="黑体"/>
          <w:b/>
          <w:sz w:val="40"/>
          <w:szCs w:val="40"/>
        </w:rPr>
      </w:pPr>
      <w:r>
        <w:rPr>
          <w:rFonts w:hint="eastAsia" w:ascii="方正小标宋简体" w:hAnsi="黑体" w:eastAsia="方正小标宋简体" w:cs="黑体"/>
          <w:b/>
          <w:sz w:val="40"/>
          <w:szCs w:val="40"/>
        </w:rPr>
        <w:t>目   录</w:t>
      </w:r>
    </w:p>
    <w:p>
      <w:pPr>
        <w:pStyle w:val="9"/>
        <w:tabs>
          <w:tab w:val="right" w:leader="middleDot" w:pos="8505"/>
        </w:tabs>
        <w:spacing w:before="0" w:line="600" w:lineRule="exact"/>
        <w:rPr>
          <w:rFonts w:eastAsia="黑体"/>
          <w:i w:val="0"/>
          <w:iCs w:val="0"/>
          <w:sz w:val="32"/>
          <w:szCs w:val="32"/>
        </w:rPr>
      </w:pPr>
    </w:p>
    <w:p>
      <w:pPr>
        <w:pStyle w:val="9"/>
        <w:tabs>
          <w:tab w:val="right" w:leader="middleDot" w:pos="8505"/>
        </w:tabs>
        <w:spacing w:before="0" w:line="550" w:lineRule="exact"/>
        <w:rPr>
          <w:rFonts w:eastAsia="黑体"/>
          <w:i w:val="0"/>
          <w:iCs w:val="0"/>
          <w:sz w:val="32"/>
          <w:szCs w:val="32"/>
        </w:rPr>
      </w:pPr>
      <w:r>
        <w:rPr>
          <w:rFonts w:eastAsia="黑体"/>
          <w:i w:val="0"/>
          <w:iCs w:val="0"/>
          <w:sz w:val="32"/>
          <w:szCs w:val="32"/>
        </w:rPr>
        <w:t>第一篇 全面</w:t>
      </w:r>
      <w:r>
        <w:rPr>
          <w:rFonts w:hint="eastAsia" w:eastAsia="黑体"/>
          <w:i w:val="0"/>
          <w:iCs w:val="0"/>
          <w:sz w:val="32"/>
          <w:szCs w:val="32"/>
        </w:rPr>
        <w:t>建成</w:t>
      </w:r>
      <w:r>
        <w:rPr>
          <w:rFonts w:eastAsia="黑体"/>
          <w:i w:val="0"/>
          <w:iCs w:val="0"/>
          <w:sz w:val="32"/>
          <w:szCs w:val="32"/>
        </w:rPr>
        <w:t>小康</w:t>
      </w:r>
      <w:r>
        <w:rPr>
          <w:rFonts w:hint="eastAsia" w:eastAsia="黑体"/>
          <w:i w:val="0"/>
          <w:iCs w:val="0"/>
          <w:sz w:val="32"/>
          <w:szCs w:val="32"/>
        </w:rPr>
        <w:t>社会</w:t>
      </w:r>
      <w:r>
        <w:rPr>
          <w:rFonts w:eastAsia="黑体"/>
          <w:i w:val="0"/>
          <w:iCs w:val="0"/>
          <w:sz w:val="32"/>
          <w:szCs w:val="32"/>
        </w:rPr>
        <w:t>，新阶段现代化</w:t>
      </w:r>
      <w:r>
        <w:rPr>
          <w:rFonts w:hint="eastAsia" w:eastAsia="黑体"/>
          <w:i w:val="0"/>
          <w:iCs w:val="0"/>
          <w:sz w:val="32"/>
          <w:szCs w:val="32"/>
        </w:rPr>
        <w:t>“</w:t>
      </w:r>
      <w:r>
        <w:rPr>
          <w:rFonts w:eastAsia="黑体"/>
          <w:i w:val="0"/>
          <w:iCs w:val="0"/>
          <w:sz w:val="32"/>
          <w:szCs w:val="32"/>
        </w:rPr>
        <w:t>三美东至</w:t>
      </w:r>
      <w:r>
        <w:rPr>
          <w:rFonts w:hint="eastAsia" w:eastAsia="黑体"/>
          <w:i w:val="0"/>
          <w:iCs w:val="0"/>
          <w:sz w:val="32"/>
          <w:szCs w:val="32"/>
        </w:rPr>
        <w:t>”</w:t>
      </w:r>
    </w:p>
    <w:p>
      <w:pPr>
        <w:pStyle w:val="9"/>
        <w:tabs>
          <w:tab w:val="right" w:leader="middleDot" w:pos="8505"/>
        </w:tabs>
        <w:spacing w:before="0" w:line="550" w:lineRule="exact"/>
        <w:ind w:firstLine="1079" w:firstLineChars="336"/>
        <w:rPr>
          <w:rFonts w:eastAsia="黑体"/>
          <w:i w:val="0"/>
          <w:iCs w:val="0"/>
          <w:sz w:val="32"/>
          <w:szCs w:val="32"/>
        </w:rPr>
      </w:pPr>
      <w:r>
        <w:rPr>
          <w:rFonts w:eastAsia="黑体"/>
          <w:i w:val="0"/>
          <w:iCs w:val="0"/>
          <w:sz w:val="32"/>
          <w:szCs w:val="32"/>
        </w:rPr>
        <w:t>迈上新征程</w:t>
      </w:r>
      <w:r>
        <w:rPr>
          <w:rFonts w:eastAsia="黑体"/>
          <w:i w:val="0"/>
          <w:iCs w:val="0"/>
          <w:sz w:val="32"/>
          <w:szCs w:val="32"/>
        </w:rPr>
        <w:tab/>
      </w:r>
      <w:r>
        <w:rPr>
          <w:rFonts w:eastAsia="黑体"/>
          <w:i w:val="0"/>
          <w:iCs w:val="0"/>
          <w:sz w:val="32"/>
          <w:szCs w:val="32"/>
        </w:rPr>
        <w:t>2</w:t>
      </w:r>
    </w:p>
    <w:p>
      <w:pPr>
        <w:pStyle w:val="9"/>
        <w:tabs>
          <w:tab w:val="right" w:leader="middleDot" w:pos="8505"/>
        </w:tabs>
        <w:spacing w:before="0" w:line="550" w:lineRule="exact"/>
        <w:ind w:firstLine="241" w:firstLineChars="100"/>
        <w:rPr>
          <w:b w:val="0"/>
          <w:i w:val="0"/>
          <w:sz w:val="32"/>
          <w:szCs w:val="32"/>
        </w:rPr>
      </w:pPr>
      <w:r>
        <w:fldChar w:fldCharType="begin"/>
      </w:r>
      <w:r>
        <w:instrText xml:space="preserve"> HYPERLINK \l "_Toc5312" </w:instrText>
      </w:r>
      <w:r>
        <w:fldChar w:fldCharType="separate"/>
      </w:r>
      <w:r>
        <w:rPr>
          <w:rFonts w:eastAsia="楷体_GB2312"/>
          <w:b w:val="0"/>
          <w:i w:val="0"/>
          <w:sz w:val="32"/>
          <w:szCs w:val="32"/>
        </w:rPr>
        <w:t>第一章 全面</w:t>
      </w:r>
      <w:bookmarkStart w:id="0" w:name="_Hlt60753055"/>
      <w:bookmarkStart w:id="1" w:name="_Hlt60753054"/>
      <w:bookmarkStart w:id="2" w:name="_Hlt60753056"/>
      <w:r>
        <w:rPr>
          <w:rFonts w:eastAsia="楷体_GB2312"/>
          <w:b w:val="0"/>
          <w:i w:val="0"/>
          <w:sz w:val="32"/>
          <w:szCs w:val="32"/>
        </w:rPr>
        <w:t>建</w:t>
      </w:r>
      <w:bookmarkEnd w:id="0"/>
      <w:bookmarkEnd w:id="1"/>
      <w:bookmarkEnd w:id="2"/>
      <w:bookmarkStart w:id="3" w:name="_Hlt60753050"/>
      <w:bookmarkStart w:id="4" w:name="_Hlt60753051"/>
      <w:r>
        <w:rPr>
          <w:rFonts w:eastAsia="楷体_GB2312"/>
          <w:b w:val="0"/>
          <w:i w:val="0"/>
          <w:sz w:val="32"/>
          <w:szCs w:val="32"/>
        </w:rPr>
        <w:t>成</w:t>
      </w:r>
      <w:bookmarkEnd w:id="3"/>
      <w:bookmarkEnd w:id="4"/>
      <w:r>
        <w:rPr>
          <w:rFonts w:eastAsia="楷体_GB2312"/>
          <w:b w:val="0"/>
          <w:i w:val="0"/>
          <w:sz w:val="32"/>
          <w:szCs w:val="32"/>
        </w:rPr>
        <w:t>小康社会取得</w:t>
      </w:r>
      <w:bookmarkStart w:id="5" w:name="_Hlt60753062"/>
      <w:r>
        <w:rPr>
          <w:rFonts w:eastAsia="楷体_GB2312"/>
          <w:b w:val="0"/>
          <w:i w:val="0"/>
          <w:sz w:val="32"/>
          <w:szCs w:val="32"/>
        </w:rPr>
        <w:t>显</w:t>
      </w:r>
      <w:bookmarkEnd w:id="5"/>
      <w:r>
        <w:rPr>
          <w:rFonts w:eastAsia="楷体_GB2312"/>
          <w:b w:val="0"/>
          <w:i w:val="0"/>
          <w:sz w:val="32"/>
          <w:szCs w:val="32"/>
        </w:rPr>
        <w:t>著成就</w:t>
      </w:r>
      <w:r>
        <w:rPr>
          <w:rFonts w:eastAsia="楷体_GB2312"/>
          <w:b w:val="0"/>
          <w:i w:val="0"/>
          <w:sz w:val="32"/>
          <w:szCs w:val="32"/>
        </w:rPr>
        <w:tab/>
      </w:r>
      <w:r>
        <w:rPr>
          <w:rFonts w:eastAsia="楷体_GB2312"/>
          <w:b w:val="0"/>
          <w:i w:val="0"/>
          <w:sz w:val="32"/>
          <w:szCs w:val="32"/>
        </w:rPr>
        <w:t>2</w:t>
      </w:r>
      <w:r>
        <w:rPr>
          <w:rFonts w:eastAsia="楷体_GB2312"/>
          <w:b w:val="0"/>
          <w:i w:val="0"/>
          <w:sz w:val="32"/>
          <w:szCs w:val="32"/>
        </w:rPr>
        <w:fldChar w:fldCharType="end"/>
      </w:r>
    </w:p>
    <w:p>
      <w:pPr>
        <w:pStyle w:val="9"/>
        <w:tabs>
          <w:tab w:val="right" w:leader="middleDot" w:pos="8505"/>
        </w:tabs>
        <w:spacing w:before="0" w:line="550" w:lineRule="exact"/>
        <w:ind w:firstLine="320" w:firstLineChars="100"/>
        <w:rPr>
          <w:rFonts w:eastAsia="楷体_GB2312"/>
          <w:b w:val="0"/>
          <w:i w:val="0"/>
          <w:iCs w:val="0"/>
          <w:sz w:val="32"/>
          <w:szCs w:val="32"/>
        </w:rPr>
      </w:pPr>
      <w:r>
        <w:rPr>
          <w:rFonts w:eastAsia="楷体_GB2312"/>
          <w:b w:val="0"/>
          <w:i w:val="0"/>
          <w:iCs w:val="0"/>
          <w:sz w:val="32"/>
          <w:szCs w:val="32"/>
        </w:rPr>
        <w:t>第二章 现代化</w:t>
      </w:r>
      <w:r>
        <w:rPr>
          <w:rFonts w:hint="eastAsia" w:eastAsia="楷体_GB2312"/>
          <w:b w:val="0"/>
          <w:i w:val="0"/>
          <w:iCs w:val="0"/>
          <w:sz w:val="32"/>
          <w:szCs w:val="32"/>
        </w:rPr>
        <w:t>“</w:t>
      </w:r>
      <w:r>
        <w:rPr>
          <w:rFonts w:eastAsia="楷体_GB2312"/>
          <w:b w:val="0"/>
          <w:i w:val="0"/>
          <w:iCs w:val="0"/>
          <w:sz w:val="32"/>
          <w:szCs w:val="32"/>
        </w:rPr>
        <w:t>三美东至</w:t>
      </w:r>
      <w:r>
        <w:rPr>
          <w:rFonts w:hint="eastAsia" w:eastAsia="楷体_GB2312"/>
          <w:b w:val="0"/>
          <w:i w:val="0"/>
          <w:iCs w:val="0"/>
          <w:sz w:val="32"/>
          <w:szCs w:val="32"/>
        </w:rPr>
        <w:t>”</w:t>
      </w:r>
      <w:r>
        <w:rPr>
          <w:rFonts w:eastAsia="楷体_GB2312"/>
          <w:b w:val="0"/>
          <w:i w:val="0"/>
          <w:iCs w:val="0"/>
          <w:sz w:val="32"/>
          <w:szCs w:val="32"/>
        </w:rPr>
        <w:t>建设进入新发展阶段</w:t>
      </w:r>
      <w:r>
        <w:rPr>
          <w:rFonts w:eastAsia="楷体_GB2312"/>
          <w:b w:val="0"/>
          <w:i w:val="0"/>
          <w:iCs w:val="0"/>
          <w:sz w:val="32"/>
          <w:szCs w:val="32"/>
        </w:rPr>
        <w:tab/>
      </w:r>
      <w:r>
        <w:rPr>
          <w:rFonts w:hint="eastAsia" w:eastAsia="楷体_GB2312"/>
          <w:b w:val="0"/>
          <w:i w:val="0"/>
          <w:iCs w:val="0"/>
          <w:sz w:val="32"/>
          <w:szCs w:val="32"/>
        </w:rPr>
        <w:t>7</w:t>
      </w:r>
    </w:p>
    <w:p>
      <w:pPr>
        <w:pStyle w:val="11"/>
        <w:tabs>
          <w:tab w:val="right" w:leader="middleDot" w:pos="8505"/>
        </w:tabs>
        <w:spacing w:line="550" w:lineRule="exact"/>
        <w:ind w:left="0" w:leftChars="0"/>
        <w:rPr>
          <w:rFonts w:eastAsia="黑体"/>
          <w:b/>
          <w:sz w:val="32"/>
          <w:szCs w:val="32"/>
        </w:rPr>
      </w:pPr>
      <w:r>
        <w:rPr>
          <w:rFonts w:eastAsia="黑体"/>
          <w:b/>
          <w:sz w:val="32"/>
          <w:szCs w:val="32"/>
        </w:rPr>
        <w:t>第二篇 聚焦县域竞争力提升，描绘新阶段新时代新蓝图</w:t>
      </w:r>
    </w:p>
    <w:p>
      <w:pPr>
        <w:pStyle w:val="11"/>
        <w:tabs>
          <w:tab w:val="right" w:leader="middleDot" w:pos="8505"/>
        </w:tabs>
        <w:spacing w:line="550" w:lineRule="exact"/>
        <w:ind w:firstLine="643" w:firstLineChars="200"/>
        <w:rPr>
          <w:rFonts w:eastAsia="黑体"/>
          <w:b/>
          <w:iCs/>
          <w:sz w:val="32"/>
          <w:szCs w:val="32"/>
        </w:rPr>
      </w:pPr>
      <w:r>
        <w:rPr>
          <w:rFonts w:eastAsia="黑体"/>
          <w:b/>
          <w:sz w:val="32"/>
          <w:szCs w:val="32"/>
        </w:rPr>
        <w:tab/>
      </w:r>
      <w:r>
        <w:rPr>
          <w:rFonts w:hint="eastAsia" w:eastAsia="黑体"/>
          <w:b/>
          <w:iCs/>
          <w:sz w:val="32"/>
          <w:szCs w:val="32"/>
        </w:rPr>
        <w:t>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第一章 指导思想</w:t>
      </w:r>
      <w:r>
        <w:rPr>
          <w:rFonts w:eastAsia="楷体_GB2312"/>
          <w:iCs/>
          <w:sz w:val="32"/>
          <w:szCs w:val="32"/>
        </w:rPr>
        <w:tab/>
      </w:r>
      <w:r>
        <w:rPr>
          <w:rFonts w:hint="eastAsia" w:eastAsia="楷体_GB2312"/>
          <w:iCs/>
          <w:sz w:val="32"/>
          <w:szCs w:val="32"/>
        </w:rPr>
        <w:t>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第二章 基本原则</w:t>
      </w:r>
      <w:r>
        <w:rPr>
          <w:rFonts w:eastAsia="楷体_GB2312"/>
          <w:iCs/>
          <w:sz w:val="32"/>
          <w:szCs w:val="32"/>
        </w:rPr>
        <w:tab/>
      </w:r>
      <w:r>
        <w:rPr>
          <w:rFonts w:hint="eastAsia" w:eastAsia="楷体_GB2312"/>
          <w:iCs/>
          <w:sz w:val="32"/>
          <w:szCs w:val="32"/>
        </w:rPr>
        <w:t>10</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第三章 发展定位</w:t>
      </w:r>
      <w:r>
        <w:rPr>
          <w:rFonts w:eastAsia="楷体_GB2312"/>
          <w:iCs/>
          <w:sz w:val="32"/>
          <w:szCs w:val="32"/>
        </w:rPr>
        <w:tab/>
      </w:r>
      <w:r>
        <w:rPr>
          <w:rFonts w:hint="eastAsia" w:eastAsia="楷体_GB2312"/>
          <w:iCs/>
          <w:sz w:val="32"/>
          <w:szCs w:val="32"/>
        </w:rPr>
        <w:t>11</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第四章 发展战略</w:t>
      </w:r>
      <w:r>
        <w:rPr>
          <w:rFonts w:eastAsia="楷体_GB2312"/>
          <w:iCs/>
          <w:sz w:val="32"/>
          <w:szCs w:val="32"/>
        </w:rPr>
        <w:tab/>
      </w:r>
      <w:r>
        <w:rPr>
          <w:rFonts w:eastAsia="楷体_GB2312"/>
          <w:iCs/>
          <w:sz w:val="32"/>
          <w:szCs w:val="32"/>
        </w:rPr>
        <w:t>1</w:t>
      </w:r>
      <w:r>
        <w:rPr>
          <w:rFonts w:hint="eastAsia" w:eastAsia="楷体_GB2312"/>
          <w:iCs/>
          <w:sz w:val="32"/>
          <w:szCs w:val="32"/>
        </w:rPr>
        <w:t>2</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第五章 发展目标</w:t>
      </w:r>
      <w:r>
        <w:rPr>
          <w:rFonts w:eastAsia="楷体_GB2312"/>
          <w:iCs/>
          <w:sz w:val="32"/>
          <w:szCs w:val="32"/>
        </w:rPr>
        <w:tab/>
      </w:r>
      <w:r>
        <w:rPr>
          <w:rFonts w:hint="eastAsia" w:eastAsia="楷体_GB2312"/>
          <w:iCs/>
          <w:sz w:val="32"/>
          <w:szCs w:val="32"/>
        </w:rPr>
        <w:t>13</w:t>
      </w:r>
    </w:p>
    <w:p>
      <w:pPr>
        <w:pStyle w:val="11"/>
        <w:tabs>
          <w:tab w:val="right" w:leader="middleDot" w:pos="8505"/>
        </w:tabs>
        <w:spacing w:line="550" w:lineRule="exact"/>
        <w:ind w:left="0" w:leftChars="0"/>
        <w:rPr>
          <w:rFonts w:eastAsia="黑体"/>
          <w:b/>
          <w:iCs/>
          <w:sz w:val="32"/>
          <w:szCs w:val="32"/>
        </w:rPr>
      </w:pPr>
      <w:r>
        <w:rPr>
          <w:rFonts w:eastAsia="黑体"/>
          <w:b/>
          <w:iCs/>
          <w:sz w:val="32"/>
          <w:szCs w:val="32"/>
        </w:rPr>
        <w:t xml:space="preserve">第三篇 </w:t>
      </w:r>
      <w:r>
        <w:rPr>
          <w:rFonts w:hint="eastAsia" w:eastAsia="黑体"/>
          <w:b/>
          <w:iCs/>
          <w:sz w:val="32"/>
          <w:szCs w:val="32"/>
        </w:rPr>
        <w:t>坚持产业强县</w:t>
      </w:r>
      <w:r>
        <w:rPr>
          <w:rFonts w:eastAsia="黑体"/>
          <w:b/>
          <w:iCs/>
          <w:sz w:val="32"/>
          <w:szCs w:val="32"/>
        </w:rPr>
        <w:t>，建设现代产业体系</w:t>
      </w:r>
      <w:r>
        <w:rPr>
          <w:rFonts w:eastAsia="黑体"/>
          <w:b/>
          <w:iCs/>
          <w:sz w:val="32"/>
          <w:szCs w:val="32"/>
        </w:rPr>
        <w:tab/>
      </w:r>
      <w:r>
        <w:rPr>
          <w:rFonts w:hint="eastAsia" w:eastAsia="黑体"/>
          <w:b/>
          <w:iCs/>
          <w:sz w:val="32"/>
          <w:szCs w:val="32"/>
        </w:rPr>
        <w:t>18</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第一章 大力发展战略性新兴产业</w:t>
      </w:r>
      <w:r>
        <w:rPr>
          <w:rFonts w:eastAsia="楷体_GB2312"/>
          <w:iCs/>
          <w:sz w:val="32"/>
          <w:szCs w:val="32"/>
        </w:rPr>
        <w:tab/>
      </w:r>
      <w:r>
        <w:rPr>
          <w:rFonts w:hint="eastAsia" w:eastAsia="楷体_GB2312"/>
          <w:iCs/>
          <w:sz w:val="32"/>
          <w:szCs w:val="32"/>
        </w:rPr>
        <w:t>18</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第二章 优化升级传统产业</w:t>
      </w:r>
      <w:r>
        <w:rPr>
          <w:rFonts w:eastAsia="楷体_GB2312"/>
          <w:iCs/>
          <w:sz w:val="32"/>
          <w:szCs w:val="32"/>
        </w:rPr>
        <w:tab/>
      </w:r>
      <w:r>
        <w:rPr>
          <w:rFonts w:eastAsia="楷体_GB2312"/>
          <w:iCs/>
          <w:sz w:val="32"/>
          <w:szCs w:val="32"/>
        </w:rPr>
        <w:t>2</w:t>
      </w:r>
      <w:r>
        <w:rPr>
          <w:rFonts w:hint="eastAsia" w:eastAsia="楷体_GB2312"/>
          <w:iCs/>
          <w:sz w:val="32"/>
          <w:szCs w:val="32"/>
        </w:rPr>
        <w:t>0</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第三章 提档升级产业发展平台</w:t>
      </w:r>
      <w:r>
        <w:rPr>
          <w:rFonts w:eastAsia="楷体_GB2312"/>
          <w:iCs/>
          <w:sz w:val="32"/>
          <w:szCs w:val="32"/>
        </w:rPr>
        <w:tab/>
      </w:r>
      <w:r>
        <w:rPr>
          <w:rFonts w:eastAsia="楷体_GB2312"/>
          <w:iCs/>
          <w:sz w:val="32"/>
          <w:szCs w:val="32"/>
        </w:rPr>
        <w:t>2</w:t>
      </w:r>
      <w:r>
        <w:rPr>
          <w:rFonts w:hint="eastAsia" w:eastAsia="楷体_GB2312"/>
          <w:iCs/>
          <w:sz w:val="32"/>
          <w:szCs w:val="32"/>
        </w:rPr>
        <w:t>2</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第四章 提质增效现代服务业</w:t>
      </w:r>
      <w:r>
        <w:rPr>
          <w:rFonts w:eastAsia="楷体_GB2312"/>
          <w:iCs/>
          <w:sz w:val="32"/>
          <w:szCs w:val="32"/>
        </w:rPr>
        <w:tab/>
      </w:r>
      <w:r>
        <w:rPr>
          <w:rFonts w:hint="eastAsia" w:eastAsia="楷体_GB2312"/>
          <w:iCs/>
          <w:sz w:val="32"/>
          <w:szCs w:val="32"/>
        </w:rPr>
        <w:t>24</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第五章 加快发展数字经济</w:t>
      </w:r>
      <w:r>
        <w:rPr>
          <w:rFonts w:eastAsia="楷体_GB2312"/>
          <w:iCs/>
          <w:sz w:val="32"/>
          <w:szCs w:val="32"/>
        </w:rPr>
        <w:tab/>
      </w:r>
      <w:r>
        <w:rPr>
          <w:rFonts w:eastAsia="楷体_GB2312"/>
          <w:iCs/>
          <w:sz w:val="32"/>
          <w:szCs w:val="32"/>
        </w:rPr>
        <w:t>2</w:t>
      </w:r>
      <w:r>
        <w:rPr>
          <w:rFonts w:hint="eastAsia" w:eastAsia="楷体_GB2312"/>
          <w:iCs/>
          <w:sz w:val="32"/>
          <w:szCs w:val="32"/>
        </w:rPr>
        <w:t>6</w:t>
      </w:r>
    </w:p>
    <w:p>
      <w:pPr>
        <w:pStyle w:val="11"/>
        <w:tabs>
          <w:tab w:val="right" w:leader="middleDot" w:pos="8505"/>
        </w:tabs>
        <w:spacing w:line="550" w:lineRule="exact"/>
        <w:ind w:left="0" w:leftChars="0"/>
        <w:rPr>
          <w:rFonts w:eastAsia="黑体"/>
          <w:b/>
          <w:iCs/>
          <w:sz w:val="32"/>
          <w:szCs w:val="32"/>
        </w:rPr>
      </w:pPr>
      <w:r>
        <w:rPr>
          <w:rFonts w:eastAsia="黑体"/>
          <w:b/>
          <w:iCs/>
          <w:sz w:val="32"/>
          <w:szCs w:val="32"/>
        </w:rPr>
        <w:t>第四篇 提升科技创新能力，培育跨越发展新动能</w:t>
      </w:r>
      <w:r>
        <w:rPr>
          <w:rFonts w:eastAsia="黑体"/>
          <w:b/>
          <w:iCs/>
          <w:sz w:val="32"/>
          <w:szCs w:val="32"/>
        </w:rPr>
        <w:tab/>
      </w:r>
      <w:r>
        <w:rPr>
          <w:rFonts w:hint="eastAsia" w:eastAsia="黑体"/>
          <w:b/>
          <w:iCs/>
          <w:sz w:val="32"/>
          <w:szCs w:val="32"/>
        </w:rPr>
        <w:t>29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第一章 打造协同创新重要平台</w:t>
      </w:r>
      <w:r>
        <w:rPr>
          <w:rFonts w:eastAsia="楷体_GB2312"/>
          <w:iCs/>
          <w:sz w:val="32"/>
          <w:szCs w:val="32"/>
        </w:rPr>
        <w:tab/>
      </w:r>
      <w:r>
        <w:rPr>
          <w:rFonts w:hint="eastAsia" w:eastAsia="楷体_GB2312"/>
          <w:iCs/>
          <w:sz w:val="32"/>
          <w:szCs w:val="32"/>
        </w:rPr>
        <w:t>29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第二章 强化企业创新主体地位</w:t>
      </w:r>
      <w:r>
        <w:rPr>
          <w:rFonts w:eastAsia="楷体_GB2312"/>
          <w:iCs/>
          <w:sz w:val="32"/>
          <w:szCs w:val="32"/>
        </w:rPr>
        <w:tab/>
      </w:r>
      <w:r>
        <w:rPr>
          <w:rFonts w:hint="eastAsia" w:eastAsia="楷体_GB2312"/>
          <w:iCs/>
          <w:sz w:val="32"/>
          <w:szCs w:val="32"/>
        </w:rPr>
        <w:t>30</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第三章 推进创新创业要素聚集</w:t>
      </w:r>
      <w:r>
        <w:rPr>
          <w:rFonts w:eastAsia="楷体_GB2312"/>
          <w:iCs/>
          <w:sz w:val="32"/>
          <w:szCs w:val="32"/>
        </w:rPr>
        <w:tab/>
      </w:r>
      <w:r>
        <w:rPr>
          <w:rFonts w:hint="eastAsia" w:eastAsia="楷体_GB2312"/>
          <w:iCs/>
          <w:sz w:val="32"/>
          <w:szCs w:val="32"/>
        </w:rPr>
        <w:t>31</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第四章 完善科技创新体制机制</w:t>
      </w:r>
      <w:r>
        <w:rPr>
          <w:rFonts w:eastAsia="楷体_GB2312"/>
          <w:iCs/>
          <w:sz w:val="32"/>
          <w:szCs w:val="32"/>
        </w:rPr>
        <w:tab/>
      </w:r>
      <w:r>
        <w:rPr>
          <w:rFonts w:hint="eastAsia" w:eastAsia="楷体_GB2312"/>
          <w:iCs/>
          <w:sz w:val="32"/>
          <w:szCs w:val="32"/>
        </w:rPr>
        <w:t>32</w:t>
      </w:r>
    </w:p>
    <w:p>
      <w:pPr>
        <w:pStyle w:val="11"/>
        <w:tabs>
          <w:tab w:val="right" w:leader="middleDot" w:pos="8505"/>
        </w:tabs>
        <w:spacing w:line="590" w:lineRule="exact"/>
        <w:ind w:left="0" w:leftChars="0"/>
        <w:rPr>
          <w:rFonts w:eastAsia="黑体"/>
          <w:b/>
          <w:bCs/>
          <w:sz w:val="32"/>
          <w:szCs w:val="32"/>
        </w:rPr>
      </w:pPr>
      <w:r>
        <w:rPr>
          <w:rFonts w:eastAsia="黑体"/>
          <w:b/>
          <w:bCs/>
          <w:sz w:val="32"/>
          <w:szCs w:val="32"/>
        </w:rPr>
        <w:t>第五篇 践行“绿水青山就是金山银山”理念，着力打造</w:t>
      </w:r>
    </w:p>
    <w:p>
      <w:pPr>
        <w:pStyle w:val="11"/>
        <w:tabs>
          <w:tab w:val="right" w:leader="middleDot" w:pos="8505"/>
        </w:tabs>
        <w:spacing w:line="590" w:lineRule="exact"/>
        <w:ind w:left="0" w:leftChars="0" w:firstLine="1124" w:firstLineChars="350"/>
        <w:rPr>
          <w:rFonts w:eastAsia="黑体"/>
          <w:b/>
          <w:bCs/>
          <w:sz w:val="32"/>
          <w:szCs w:val="32"/>
        </w:rPr>
      </w:pPr>
      <w:r>
        <w:rPr>
          <w:rFonts w:eastAsia="黑体"/>
          <w:b/>
          <w:bCs/>
          <w:sz w:val="32"/>
          <w:szCs w:val="32"/>
        </w:rPr>
        <w:t>绿色发展新高地</w:t>
      </w:r>
      <w:r>
        <w:rPr>
          <w:rFonts w:eastAsia="黑体"/>
          <w:b/>
          <w:bCs/>
          <w:sz w:val="32"/>
          <w:szCs w:val="32"/>
        </w:rPr>
        <w:tab/>
      </w:r>
      <w:r>
        <w:rPr>
          <w:rFonts w:eastAsia="黑体"/>
          <w:b/>
          <w:bCs/>
          <w:sz w:val="32"/>
          <w:szCs w:val="32"/>
        </w:rPr>
        <w:t>3</w:t>
      </w:r>
      <w:r>
        <w:rPr>
          <w:rFonts w:hint="eastAsia" w:eastAsia="黑体"/>
          <w:b/>
          <w:bCs/>
          <w:sz w:val="32"/>
          <w:szCs w:val="32"/>
        </w:rPr>
        <w:t>4</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第一章 大力推动绿色低碳发展</w:t>
      </w:r>
      <w:r>
        <w:rPr>
          <w:rFonts w:eastAsia="楷体_GB2312"/>
          <w:iCs/>
          <w:sz w:val="32"/>
          <w:szCs w:val="32"/>
        </w:rPr>
        <w:tab/>
      </w:r>
      <w:r>
        <w:rPr>
          <w:rFonts w:eastAsia="楷体_GB2312"/>
          <w:iCs/>
          <w:sz w:val="32"/>
          <w:szCs w:val="32"/>
        </w:rPr>
        <w:t>3</w:t>
      </w:r>
      <w:r>
        <w:rPr>
          <w:rFonts w:hint="eastAsia" w:eastAsia="楷体_GB2312"/>
          <w:iCs/>
          <w:sz w:val="32"/>
          <w:szCs w:val="32"/>
        </w:rPr>
        <w:t>4</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第二章 持续改善环境质量</w:t>
      </w:r>
      <w:r>
        <w:rPr>
          <w:rFonts w:eastAsia="楷体_GB2312"/>
          <w:iCs/>
          <w:sz w:val="32"/>
          <w:szCs w:val="32"/>
        </w:rPr>
        <w:tab/>
      </w:r>
      <w:r>
        <w:rPr>
          <w:rFonts w:eastAsia="楷体_GB2312"/>
          <w:iCs/>
          <w:sz w:val="32"/>
          <w:szCs w:val="32"/>
        </w:rPr>
        <w:t>3</w:t>
      </w:r>
      <w:r>
        <w:rPr>
          <w:rFonts w:hint="eastAsia" w:eastAsia="楷体_GB2312"/>
          <w:iCs/>
          <w:sz w:val="32"/>
          <w:szCs w:val="32"/>
        </w:rPr>
        <w:t>5</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第三章 提升生态质量和稳定性</w:t>
      </w:r>
      <w:r>
        <w:rPr>
          <w:rFonts w:eastAsia="楷体_GB2312"/>
          <w:iCs/>
          <w:sz w:val="32"/>
          <w:szCs w:val="32"/>
        </w:rPr>
        <w:tab/>
      </w:r>
      <w:r>
        <w:rPr>
          <w:rFonts w:hint="eastAsia" w:eastAsia="楷体_GB2312"/>
          <w:iCs/>
          <w:sz w:val="32"/>
          <w:szCs w:val="32"/>
        </w:rPr>
        <w:t>37</w:t>
      </w:r>
    </w:p>
    <w:p>
      <w:pPr>
        <w:pStyle w:val="11"/>
        <w:tabs>
          <w:tab w:val="right" w:leader="middleDot" w:pos="8505"/>
        </w:tabs>
        <w:spacing w:line="590" w:lineRule="exact"/>
        <w:ind w:left="0" w:leftChars="0"/>
        <w:rPr>
          <w:rFonts w:eastAsia="黑体"/>
          <w:b/>
          <w:bCs/>
          <w:sz w:val="32"/>
          <w:szCs w:val="32"/>
        </w:rPr>
      </w:pPr>
      <w:r>
        <w:rPr>
          <w:rFonts w:eastAsia="黑体"/>
          <w:b/>
          <w:bCs/>
          <w:sz w:val="32"/>
          <w:szCs w:val="32"/>
        </w:rPr>
        <w:t>第六篇 优先发展农业农村，打造乡村全面振兴样板</w:t>
      </w:r>
      <w:r>
        <w:rPr>
          <w:rFonts w:eastAsia="黑体"/>
          <w:b/>
          <w:bCs/>
          <w:sz w:val="32"/>
          <w:szCs w:val="32"/>
        </w:rPr>
        <w:tab/>
      </w:r>
      <w:r>
        <w:rPr>
          <w:rFonts w:hint="eastAsia" w:eastAsia="黑体"/>
          <w:b/>
          <w:bCs/>
          <w:sz w:val="32"/>
          <w:szCs w:val="32"/>
        </w:rPr>
        <w:t>39</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第一章 提高农业质量效益和竞争力</w:t>
      </w:r>
      <w:r>
        <w:rPr>
          <w:rFonts w:eastAsia="楷体_GB2312"/>
          <w:iCs/>
          <w:sz w:val="32"/>
          <w:szCs w:val="32"/>
        </w:rPr>
        <w:tab/>
      </w:r>
      <w:r>
        <w:rPr>
          <w:rFonts w:hint="eastAsia" w:eastAsia="楷体_GB2312"/>
          <w:iCs/>
          <w:sz w:val="32"/>
          <w:szCs w:val="32"/>
        </w:rPr>
        <w:t>39</w:t>
      </w:r>
    </w:p>
    <w:p>
      <w:pPr>
        <w:tabs>
          <w:tab w:val="right" w:leader="middleDot" w:pos="8505"/>
        </w:tabs>
        <w:spacing w:line="590" w:lineRule="exact"/>
        <w:ind w:firstLine="210" w:firstLineChars="100"/>
        <w:rPr>
          <w:rFonts w:eastAsia="楷体_GB2312"/>
          <w:iCs/>
          <w:sz w:val="32"/>
          <w:szCs w:val="32"/>
        </w:rPr>
      </w:pPr>
      <w:r>
        <w:fldChar w:fldCharType="begin"/>
      </w:r>
      <w:r>
        <w:instrText xml:space="preserve"> HYPERLINK \l "_Toc19645" </w:instrText>
      </w:r>
      <w:r>
        <w:fldChar w:fldCharType="separate"/>
      </w:r>
      <w:r>
        <w:rPr>
          <w:rFonts w:eastAsia="楷体_GB2312"/>
          <w:sz w:val="32"/>
          <w:szCs w:val="32"/>
        </w:rPr>
        <w:t>第二章 实施乡村建设行动</w:t>
      </w:r>
      <w:r>
        <w:rPr>
          <w:rFonts w:eastAsia="楷体_GB2312"/>
          <w:sz w:val="32"/>
          <w:szCs w:val="32"/>
        </w:rPr>
        <w:fldChar w:fldCharType="end"/>
      </w:r>
      <w:r>
        <w:rPr>
          <w:sz w:val="32"/>
          <w:szCs w:val="32"/>
        </w:rPr>
        <w:tab/>
      </w:r>
      <w:r>
        <w:rPr>
          <w:rFonts w:eastAsia="楷体_GB2312"/>
          <w:iCs/>
          <w:sz w:val="32"/>
          <w:szCs w:val="32"/>
        </w:rPr>
        <w:t>4</w:t>
      </w:r>
      <w:r>
        <w:rPr>
          <w:rFonts w:hint="eastAsia" w:eastAsia="楷体_GB2312"/>
          <w:iCs/>
          <w:sz w:val="32"/>
          <w:szCs w:val="32"/>
        </w:rPr>
        <w:t>1</w:t>
      </w:r>
    </w:p>
    <w:p>
      <w:pPr>
        <w:pStyle w:val="2"/>
        <w:tabs>
          <w:tab w:val="right" w:leader="middleDot" w:pos="8505"/>
        </w:tabs>
        <w:spacing w:line="590" w:lineRule="exact"/>
        <w:ind w:left="0" w:leftChars="0" w:firstLine="320" w:firstLineChars="100"/>
        <w:rPr>
          <w:sz w:val="32"/>
          <w:szCs w:val="32"/>
        </w:rPr>
      </w:pPr>
      <w:r>
        <w:rPr>
          <w:rFonts w:eastAsia="楷体_GB2312"/>
          <w:sz w:val="32"/>
          <w:szCs w:val="32"/>
        </w:rPr>
        <w:t>第三章 深化农村</w:t>
      </w:r>
      <w:r>
        <w:rPr>
          <w:rFonts w:hint="eastAsia" w:eastAsia="楷体_GB2312"/>
          <w:sz w:val="32"/>
          <w:szCs w:val="32"/>
        </w:rPr>
        <w:t>改革</w:t>
      </w:r>
      <w:r>
        <w:rPr>
          <w:rFonts w:eastAsia="楷体_GB2312"/>
          <w:sz w:val="32"/>
          <w:szCs w:val="32"/>
        </w:rPr>
        <w:tab/>
      </w:r>
      <w:r>
        <w:rPr>
          <w:sz w:val="32"/>
          <w:szCs w:val="32"/>
        </w:rPr>
        <w:t>4</w:t>
      </w:r>
      <w:r>
        <w:rPr>
          <w:rFonts w:hint="eastAsia"/>
          <w:sz w:val="32"/>
          <w:szCs w:val="32"/>
        </w:rPr>
        <w:t>3</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第四章 实现巩固拓展脱贫攻坚成果同乡村振兴有效衔接</w:t>
      </w:r>
    </w:p>
    <w:p>
      <w:pPr>
        <w:pStyle w:val="11"/>
        <w:tabs>
          <w:tab w:val="right" w:leader="middleDot" w:pos="8505"/>
        </w:tabs>
        <w:spacing w:line="590" w:lineRule="exact"/>
        <w:ind w:left="0" w:leftChars="0" w:firstLine="1440" w:firstLineChars="450"/>
        <w:rPr>
          <w:rFonts w:eastAsia="楷体_GB2312"/>
          <w:iCs/>
          <w:sz w:val="32"/>
          <w:szCs w:val="32"/>
        </w:rPr>
      </w:pPr>
      <w:r>
        <w:rPr>
          <w:rFonts w:eastAsia="楷体_GB2312"/>
          <w:iCs/>
          <w:sz w:val="32"/>
          <w:szCs w:val="32"/>
        </w:rPr>
        <w:tab/>
      </w:r>
      <w:r>
        <w:rPr>
          <w:rFonts w:eastAsia="楷体_GB2312"/>
          <w:iCs/>
          <w:sz w:val="32"/>
          <w:szCs w:val="32"/>
        </w:rPr>
        <w:t>4</w:t>
      </w:r>
      <w:r>
        <w:rPr>
          <w:rFonts w:hint="eastAsia" w:eastAsia="楷体_GB2312"/>
          <w:iCs/>
          <w:sz w:val="32"/>
          <w:szCs w:val="32"/>
        </w:rPr>
        <w:t>4</w:t>
      </w:r>
    </w:p>
    <w:p>
      <w:pPr>
        <w:pStyle w:val="11"/>
        <w:tabs>
          <w:tab w:val="right" w:leader="middleDot" w:pos="8505"/>
        </w:tabs>
        <w:spacing w:line="590" w:lineRule="exact"/>
        <w:ind w:left="418" w:leftChars="0" w:hanging="418" w:hangingChars="130"/>
        <w:rPr>
          <w:rFonts w:eastAsia="黑体"/>
          <w:b/>
          <w:bCs/>
          <w:sz w:val="32"/>
          <w:szCs w:val="32"/>
        </w:rPr>
      </w:pPr>
      <w:r>
        <w:rPr>
          <w:rFonts w:eastAsia="黑体"/>
          <w:b/>
          <w:bCs/>
          <w:sz w:val="32"/>
          <w:szCs w:val="32"/>
        </w:rPr>
        <w:t>第七篇 加快山城向滨江城市转型，构建现代化城镇体系</w:t>
      </w:r>
    </w:p>
    <w:p>
      <w:pPr>
        <w:pStyle w:val="11"/>
        <w:tabs>
          <w:tab w:val="right" w:leader="middleDot" w:pos="8505"/>
        </w:tabs>
        <w:spacing w:line="590" w:lineRule="exact"/>
        <w:ind w:firstLine="803" w:firstLineChars="250"/>
        <w:rPr>
          <w:rFonts w:eastAsia="楷体_GB2312"/>
          <w:b/>
          <w:iCs/>
          <w:sz w:val="32"/>
          <w:szCs w:val="32"/>
        </w:rPr>
      </w:pPr>
      <w:r>
        <w:rPr>
          <w:rFonts w:eastAsia="楷体_GB2312"/>
          <w:b/>
          <w:iCs/>
          <w:sz w:val="32"/>
          <w:szCs w:val="32"/>
        </w:rPr>
        <w:tab/>
      </w:r>
      <w:r>
        <w:rPr>
          <w:rFonts w:hint="eastAsia" w:eastAsia="楷体_GB2312"/>
          <w:b/>
          <w:iCs/>
          <w:sz w:val="32"/>
          <w:szCs w:val="32"/>
        </w:rPr>
        <w:t>46</w:t>
      </w:r>
    </w:p>
    <w:p>
      <w:pPr>
        <w:tabs>
          <w:tab w:val="right" w:leader="middleDot" w:pos="8505"/>
        </w:tabs>
        <w:spacing w:line="590" w:lineRule="exact"/>
        <w:ind w:firstLine="320" w:firstLineChars="100"/>
        <w:rPr>
          <w:rFonts w:eastAsia="楷体_GB2312"/>
          <w:iCs/>
          <w:sz w:val="32"/>
          <w:szCs w:val="32"/>
        </w:rPr>
      </w:pPr>
      <w:r>
        <w:rPr>
          <w:rFonts w:eastAsia="楷体_GB2312"/>
          <w:iCs/>
          <w:sz w:val="32"/>
          <w:szCs w:val="32"/>
        </w:rPr>
        <w:t>第一章 优化生产力国土空间布局</w:t>
      </w:r>
      <w:r>
        <w:rPr>
          <w:rFonts w:eastAsia="楷体_GB2312"/>
          <w:iCs/>
          <w:sz w:val="32"/>
          <w:szCs w:val="32"/>
        </w:rPr>
        <w:tab/>
      </w:r>
      <w:r>
        <w:rPr>
          <w:rFonts w:hint="eastAsia" w:eastAsia="楷体_GB2312"/>
          <w:iCs/>
          <w:sz w:val="32"/>
          <w:szCs w:val="32"/>
        </w:rPr>
        <w:t>46</w:t>
      </w:r>
    </w:p>
    <w:p>
      <w:pPr>
        <w:pStyle w:val="2"/>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第二章 推进以人为</w:t>
      </w:r>
      <w:r>
        <w:rPr>
          <w:rFonts w:hint="eastAsia" w:eastAsia="楷体_GB2312"/>
          <w:iCs/>
          <w:sz w:val="32"/>
          <w:szCs w:val="32"/>
        </w:rPr>
        <w:t>核心</w:t>
      </w:r>
      <w:r>
        <w:rPr>
          <w:rFonts w:eastAsia="楷体_GB2312"/>
          <w:iCs/>
          <w:sz w:val="32"/>
          <w:szCs w:val="32"/>
        </w:rPr>
        <w:t>的新型城镇化</w:t>
      </w:r>
      <w:r>
        <w:rPr>
          <w:rFonts w:eastAsia="楷体_GB2312"/>
          <w:iCs/>
          <w:sz w:val="32"/>
          <w:szCs w:val="32"/>
        </w:rPr>
        <w:tab/>
      </w:r>
      <w:r>
        <w:rPr>
          <w:rFonts w:hint="eastAsia" w:eastAsia="楷体_GB2312"/>
          <w:iCs/>
          <w:sz w:val="32"/>
          <w:szCs w:val="32"/>
        </w:rPr>
        <w:t>46</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第三章 提升城市形象和城市品位</w:t>
      </w:r>
      <w:r>
        <w:rPr>
          <w:rFonts w:eastAsia="楷体_GB2312"/>
          <w:iCs/>
          <w:sz w:val="32"/>
          <w:szCs w:val="32"/>
        </w:rPr>
        <w:tab/>
      </w:r>
      <w:r>
        <w:rPr>
          <w:rFonts w:hint="eastAsia" w:eastAsia="楷体_GB2312"/>
          <w:iCs/>
          <w:sz w:val="32"/>
          <w:szCs w:val="32"/>
        </w:rPr>
        <w:t>47</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第四章 全力推动乡镇特色化发展</w:t>
      </w:r>
      <w:r>
        <w:rPr>
          <w:rFonts w:eastAsia="楷体_GB2312"/>
          <w:iCs/>
          <w:sz w:val="32"/>
          <w:szCs w:val="32"/>
        </w:rPr>
        <w:tab/>
      </w:r>
      <w:r>
        <w:rPr>
          <w:rFonts w:hint="eastAsia" w:eastAsia="楷体_GB2312"/>
          <w:iCs/>
          <w:sz w:val="32"/>
          <w:szCs w:val="32"/>
        </w:rPr>
        <w:t>49</w:t>
      </w:r>
    </w:p>
    <w:p>
      <w:pPr>
        <w:pStyle w:val="11"/>
        <w:tabs>
          <w:tab w:val="right" w:leader="middleDot" w:pos="8505"/>
        </w:tabs>
        <w:spacing w:line="590" w:lineRule="exact"/>
        <w:ind w:left="0" w:leftChars="0" w:firstLine="320" w:firstLineChars="100"/>
        <w:rPr>
          <w:rFonts w:eastAsia="楷体_GB2312"/>
          <w:iCs/>
          <w:sz w:val="32"/>
          <w:szCs w:val="32"/>
        </w:rPr>
      </w:pPr>
      <w:r>
        <w:rPr>
          <w:rFonts w:eastAsia="楷体_GB2312"/>
          <w:iCs/>
          <w:sz w:val="32"/>
          <w:szCs w:val="32"/>
        </w:rPr>
        <w:t>第五章 持续夯实基础设施体系</w:t>
      </w:r>
      <w:r>
        <w:rPr>
          <w:rFonts w:eastAsia="楷体_GB2312"/>
          <w:iCs/>
          <w:sz w:val="32"/>
          <w:szCs w:val="32"/>
        </w:rPr>
        <w:tab/>
      </w:r>
      <w:r>
        <w:rPr>
          <w:rFonts w:eastAsia="楷体_GB2312"/>
          <w:iCs/>
          <w:sz w:val="32"/>
          <w:szCs w:val="32"/>
        </w:rPr>
        <w:t>5</w:t>
      </w:r>
      <w:r>
        <w:rPr>
          <w:rFonts w:hint="eastAsia" w:eastAsia="楷体_GB2312"/>
          <w:iCs/>
          <w:sz w:val="32"/>
          <w:szCs w:val="32"/>
        </w:rPr>
        <w:t>0</w:t>
      </w:r>
    </w:p>
    <w:p>
      <w:pPr>
        <w:tabs>
          <w:tab w:val="right" w:leader="middleDot" w:pos="8505"/>
        </w:tabs>
        <w:spacing w:line="590" w:lineRule="exact"/>
        <w:rPr>
          <w:rFonts w:eastAsia="黑体"/>
          <w:b/>
          <w:bCs/>
          <w:sz w:val="32"/>
          <w:szCs w:val="32"/>
        </w:rPr>
      </w:pPr>
      <w:r>
        <w:rPr>
          <w:rFonts w:eastAsia="黑体"/>
          <w:b/>
          <w:bCs/>
          <w:sz w:val="32"/>
          <w:szCs w:val="32"/>
        </w:rPr>
        <w:t>第八篇 推动更深层次改革，全面激发内生发展新活力</w:t>
      </w:r>
      <w:r>
        <w:rPr>
          <w:rFonts w:hint="eastAsia" w:eastAsia="黑体"/>
          <w:b/>
          <w:bCs/>
          <w:sz w:val="32"/>
          <w:szCs w:val="32"/>
        </w:rPr>
        <w:tab/>
      </w:r>
      <w:r>
        <w:rPr>
          <w:rFonts w:hint="eastAsia" w:eastAsia="黑体"/>
          <w:b/>
          <w:bCs/>
          <w:sz w:val="32"/>
          <w:szCs w:val="32"/>
        </w:rPr>
        <w:t>53</w:t>
      </w:r>
    </w:p>
    <w:p>
      <w:pPr>
        <w:pStyle w:val="2"/>
        <w:tabs>
          <w:tab w:val="right" w:leader="middleDot" w:pos="8505"/>
        </w:tabs>
        <w:spacing w:line="590" w:lineRule="exact"/>
        <w:ind w:left="0" w:leftChars="0" w:firstLine="210" w:firstLineChars="100"/>
        <w:rPr>
          <w:sz w:val="32"/>
          <w:szCs w:val="32"/>
        </w:rPr>
      </w:pPr>
      <w:r>
        <w:fldChar w:fldCharType="begin"/>
      </w:r>
      <w:r>
        <w:instrText xml:space="preserve"> HYPERLINK \l "_Toc15396" </w:instrText>
      </w:r>
      <w:r>
        <w:fldChar w:fldCharType="separate"/>
      </w:r>
      <w:r>
        <w:rPr>
          <w:rFonts w:eastAsia="楷体_GB2312"/>
          <w:sz w:val="32"/>
          <w:szCs w:val="32"/>
        </w:rPr>
        <w:t>第一章 激发各类市场主体活力</w:t>
      </w:r>
      <w:r>
        <w:rPr>
          <w:rFonts w:eastAsia="楷体_GB2312"/>
          <w:sz w:val="32"/>
          <w:szCs w:val="32"/>
        </w:rPr>
        <w:fldChar w:fldCharType="end"/>
      </w:r>
      <w:r>
        <w:rPr>
          <w:rFonts w:hint="eastAsia"/>
          <w:sz w:val="32"/>
          <w:szCs w:val="32"/>
        </w:rPr>
        <w:tab/>
      </w:r>
      <w:r>
        <w:rPr>
          <w:rFonts w:hint="eastAsia"/>
          <w:sz w:val="32"/>
          <w:szCs w:val="32"/>
        </w:rPr>
        <w:t>53</w:t>
      </w:r>
    </w:p>
    <w:p>
      <w:pPr>
        <w:pStyle w:val="11"/>
        <w:tabs>
          <w:tab w:val="right" w:leader="middleDot" w:pos="8505"/>
        </w:tabs>
        <w:spacing w:line="590" w:lineRule="exact"/>
        <w:ind w:left="0" w:leftChars="0" w:firstLine="210" w:firstLineChars="100"/>
        <w:rPr>
          <w:rFonts w:eastAsia="楷体_GB2312"/>
          <w:iCs/>
          <w:sz w:val="32"/>
          <w:szCs w:val="32"/>
        </w:rPr>
      </w:pPr>
      <w:r>
        <w:fldChar w:fldCharType="begin"/>
      </w:r>
      <w:r>
        <w:instrText xml:space="preserve"> HYPERLINK \l "_Toc20956" </w:instrText>
      </w:r>
      <w:r>
        <w:fldChar w:fldCharType="separate"/>
      </w:r>
      <w:r>
        <w:rPr>
          <w:rFonts w:eastAsia="楷体_GB2312"/>
          <w:sz w:val="32"/>
          <w:szCs w:val="32"/>
        </w:rPr>
        <w:t>第二章 打造一流营商环境</w:t>
      </w:r>
      <w:r>
        <w:rPr>
          <w:rFonts w:eastAsia="楷体_GB2312"/>
          <w:sz w:val="32"/>
          <w:szCs w:val="32"/>
        </w:rPr>
        <w:fldChar w:fldCharType="end"/>
      </w:r>
      <w:r>
        <w:rPr>
          <w:sz w:val="32"/>
          <w:szCs w:val="32"/>
        </w:rPr>
        <w:tab/>
      </w:r>
      <w:r>
        <w:rPr>
          <w:sz w:val="32"/>
          <w:szCs w:val="32"/>
        </w:rPr>
        <w:t>5</w:t>
      </w:r>
      <w:r>
        <w:rPr>
          <w:rFonts w:hint="eastAsia"/>
          <w:sz w:val="32"/>
          <w:szCs w:val="32"/>
        </w:rPr>
        <w:t>4</w:t>
      </w:r>
    </w:p>
    <w:p>
      <w:pPr>
        <w:pStyle w:val="11"/>
        <w:tabs>
          <w:tab w:val="right" w:leader="middleDot" w:pos="8505"/>
        </w:tabs>
        <w:spacing w:line="590" w:lineRule="exact"/>
        <w:ind w:left="0" w:leftChars="0" w:firstLine="210" w:firstLineChars="100"/>
        <w:rPr>
          <w:sz w:val="32"/>
          <w:szCs w:val="32"/>
        </w:rPr>
      </w:pPr>
      <w:r>
        <w:fldChar w:fldCharType="begin"/>
      </w:r>
      <w:r>
        <w:instrText xml:space="preserve"> HYPERLINK \l "_Toc23256" </w:instrText>
      </w:r>
      <w:r>
        <w:fldChar w:fldCharType="separate"/>
      </w:r>
      <w:r>
        <w:rPr>
          <w:rFonts w:eastAsia="楷体_GB2312"/>
          <w:sz w:val="32"/>
          <w:szCs w:val="32"/>
        </w:rPr>
        <w:t>第三章 推进重点领域改革</w:t>
      </w:r>
      <w:r>
        <w:rPr>
          <w:rFonts w:eastAsia="楷体_GB2312"/>
          <w:sz w:val="32"/>
          <w:szCs w:val="32"/>
        </w:rPr>
        <w:fldChar w:fldCharType="end"/>
      </w:r>
      <w:r>
        <w:rPr>
          <w:sz w:val="32"/>
          <w:szCs w:val="32"/>
        </w:rPr>
        <w:tab/>
      </w:r>
      <w:r>
        <w:rPr>
          <w:rFonts w:hint="eastAsia"/>
          <w:sz w:val="32"/>
          <w:szCs w:val="32"/>
        </w:rPr>
        <w:t>55</w:t>
      </w:r>
    </w:p>
    <w:p>
      <w:pPr>
        <w:pStyle w:val="11"/>
        <w:tabs>
          <w:tab w:val="right" w:leader="middleDot" w:pos="8505"/>
        </w:tabs>
        <w:spacing w:line="550" w:lineRule="exact"/>
        <w:ind w:left="0" w:leftChars="0"/>
        <w:rPr>
          <w:rFonts w:eastAsia="黑体"/>
          <w:b/>
          <w:sz w:val="32"/>
          <w:szCs w:val="32"/>
        </w:rPr>
      </w:pPr>
      <w:r>
        <w:rPr>
          <w:rFonts w:eastAsia="黑体"/>
          <w:b/>
          <w:sz w:val="32"/>
          <w:szCs w:val="32"/>
        </w:rPr>
        <w:t>第九篇 深度融入长三角，打造</w:t>
      </w:r>
      <w:r>
        <w:rPr>
          <w:rFonts w:hint="eastAsia" w:eastAsia="黑体"/>
          <w:b/>
          <w:sz w:val="32"/>
          <w:szCs w:val="32"/>
        </w:rPr>
        <w:t>省际</w:t>
      </w:r>
      <w:r>
        <w:rPr>
          <w:rFonts w:eastAsia="黑体"/>
          <w:b/>
          <w:sz w:val="32"/>
          <w:szCs w:val="32"/>
        </w:rPr>
        <w:t>有影响力的边界县</w:t>
      </w:r>
      <w:r>
        <w:rPr>
          <w:rFonts w:eastAsia="黑体"/>
          <w:b/>
          <w:sz w:val="32"/>
          <w:szCs w:val="32"/>
        </w:rPr>
        <w:tab/>
      </w:r>
      <w:r>
        <w:rPr>
          <w:rFonts w:hint="eastAsia" w:eastAsia="黑体"/>
          <w:b/>
          <w:sz w:val="32"/>
          <w:szCs w:val="32"/>
        </w:rPr>
        <w:t>57</w:t>
      </w:r>
    </w:p>
    <w:p>
      <w:pPr>
        <w:tabs>
          <w:tab w:val="right" w:leader="middleDot" w:pos="8505"/>
        </w:tabs>
        <w:spacing w:line="550" w:lineRule="exact"/>
        <w:ind w:firstLine="320" w:firstLineChars="100"/>
        <w:rPr>
          <w:rFonts w:eastAsia="楷体_GB2312"/>
          <w:sz w:val="32"/>
          <w:szCs w:val="32"/>
        </w:rPr>
      </w:pPr>
      <w:r>
        <w:rPr>
          <w:rFonts w:eastAsia="楷体_GB2312"/>
          <w:sz w:val="32"/>
          <w:szCs w:val="32"/>
        </w:rPr>
        <w:t>第一章 构建对外开放新格局</w:t>
      </w:r>
      <w:r>
        <w:rPr>
          <w:rFonts w:eastAsia="楷体_GB2312"/>
          <w:sz w:val="32"/>
          <w:szCs w:val="32"/>
        </w:rPr>
        <w:tab/>
      </w:r>
      <w:r>
        <w:rPr>
          <w:rFonts w:hint="eastAsia" w:eastAsia="楷体_GB2312"/>
          <w:sz w:val="32"/>
          <w:szCs w:val="32"/>
        </w:rPr>
        <w:t>57</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第二章 深度融入长三角一体化</w:t>
      </w:r>
      <w:r>
        <w:rPr>
          <w:rFonts w:eastAsia="楷体_GB2312"/>
          <w:sz w:val="32"/>
          <w:szCs w:val="32"/>
        </w:rPr>
        <w:tab/>
      </w:r>
      <w:r>
        <w:rPr>
          <w:rFonts w:hint="eastAsia" w:eastAsia="楷体_GB2312"/>
          <w:sz w:val="32"/>
          <w:szCs w:val="32"/>
        </w:rPr>
        <w:t>58</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第三章 大力发展外向型经济</w:t>
      </w:r>
      <w:r>
        <w:rPr>
          <w:rFonts w:eastAsia="楷体_GB2312"/>
          <w:sz w:val="32"/>
          <w:szCs w:val="32"/>
        </w:rPr>
        <w:tab/>
      </w:r>
      <w:r>
        <w:rPr>
          <w:rFonts w:eastAsia="楷体_GB2312"/>
          <w:sz w:val="32"/>
          <w:szCs w:val="32"/>
        </w:rPr>
        <w:t>6</w:t>
      </w:r>
      <w:r>
        <w:rPr>
          <w:rFonts w:hint="eastAsia" w:eastAsia="楷体_GB2312"/>
          <w:sz w:val="32"/>
          <w:szCs w:val="32"/>
        </w:rPr>
        <w:t>0</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第四章 实施扩大内需战略</w:t>
      </w:r>
      <w:r>
        <w:rPr>
          <w:rFonts w:eastAsia="楷体_GB2312"/>
          <w:sz w:val="32"/>
          <w:szCs w:val="32"/>
        </w:rPr>
        <w:tab/>
      </w:r>
      <w:r>
        <w:rPr>
          <w:rFonts w:eastAsia="楷体_GB2312"/>
          <w:sz w:val="32"/>
          <w:szCs w:val="32"/>
        </w:rPr>
        <w:t>6</w:t>
      </w:r>
      <w:r>
        <w:rPr>
          <w:rFonts w:hint="eastAsia" w:eastAsia="楷体_GB2312"/>
          <w:sz w:val="32"/>
          <w:szCs w:val="32"/>
        </w:rPr>
        <w:t>1</w:t>
      </w:r>
    </w:p>
    <w:p>
      <w:pPr>
        <w:pStyle w:val="2"/>
        <w:tabs>
          <w:tab w:val="right" w:leader="middleDot" w:pos="8505"/>
        </w:tabs>
        <w:spacing w:line="550" w:lineRule="exact"/>
        <w:ind w:left="0" w:leftChars="0"/>
        <w:rPr>
          <w:rFonts w:eastAsia="黑体"/>
          <w:b/>
          <w:sz w:val="32"/>
          <w:szCs w:val="32"/>
        </w:rPr>
      </w:pPr>
      <w:r>
        <w:rPr>
          <w:rFonts w:eastAsia="黑体"/>
          <w:b/>
          <w:sz w:val="32"/>
          <w:szCs w:val="32"/>
        </w:rPr>
        <w:t>第十篇 改善人民生活品质，建设共同富裕幸福东至</w:t>
      </w:r>
      <w:r>
        <w:rPr>
          <w:rFonts w:hint="eastAsia" w:eastAsia="黑体"/>
          <w:b/>
          <w:sz w:val="32"/>
          <w:szCs w:val="32"/>
        </w:rPr>
        <w:tab/>
      </w:r>
      <w:r>
        <w:rPr>
          <w:rFonts w:eastAsia="黑体"/>
          <w:b/>
          <w:sz w:val="32"/>
          <w:szCs w:val="32"/>
        </w:rPr>
        <w:t>6</w:t>
      </w:r>
      <w:r>
        <w:rPr>
          <w:rFonts w:hint="eastAsia" w:eastAsia="黑体"/>
          <w:b/>
          <w:sz w:val="32"/>
          <w:szCs w:val="32"/>
        </w:rPr>
        <w:t>3</w:t>
      </w:r>
    </w:p>
    <w:p>
      <w:pPr>
        <w:tabs>
          <w:tab w:val="right" w:leader="middleDot" w:pos="8505"/>
        </w:tabs>
        <w:spacing w:line="550" w:lineRule="exact"/>
        <w:ind w:firstLine="320" w:firstLineChars="100"/>
        <w:rPr>
          <w:rFonts w:eastAsia="楷体_GB2312"/>
          <w:sz w:val="32"/>
          <w:szCs w:val="32"/>
        </w:rPr>
      </w:pPr>
      <w:r>
        <w:rPr>
          <w:rFonts w:eastAsia="楷体_GB2312"/>
          <w:sz w:val="32"/>
          <w:szCs w:val="32"/>
        </w:rPr>
        <w:t>第一章 提高人民收入水平</w:t>
      </w:r>
      <w:r>
        <w:rPr>
          <w:rFonts w:eastAsia="楷体_GB2312"/>
          <w:sz w:val="32"/>
          <w:szCs w:val="32"/>
        </w:rPr>
        <w:tab/>
      </w:r>
      <w:r>
        <w:rPr>
          <w:rFonts w:eastAsia="楷体_GB2312"/>
          <w:sz w:val="32"/>
          <w:szCs w:val="32"/>
        </w:rPr>
        <w:t>6</w:t>
      </w:r>
      <w:r>
        <w:rPr>
          <w:rFonts w:hint="eastAsia" w:eastAsia="楷体_GB2312"/>
          <w:sz w:val="32"/>
          <w:szCs w:val="32"/>
        </w:rPr>
        <w:t>3</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第二章 全面提高就业质量</w:t>
      </w:r>
      <w:r>
        <w:rPr>
          <w:rFonts w:eastAsia="楷体_GB2312"/>
          <w:sz w:val="32"/>
          <w:szCs w:val="32"/>
        </w:rPr>
        <w:tab/>
      </w:r>
      <w:r>
        <w:rPr>
          <w:rFonts w:eastAsia="楷体_GB2312"/>
          <w:sz w:val="32"/>
          <w:szCs w:val="32"/>
        </w:rPr>
        <w:t>6</w:t>
      </w:r>
      <w:r>
        <w:rPr>
          <w:rFonts w:hint="eastAsia" w:eastAsia="楷体_GB2312"/>
          <w:sz w:val="32"/>
          <w:szCs w:val="32"/>
        </w:rPr>
        <w:t>4</w:t>
      </w:r>
    </w:p>
    <w:p>
      <w:pPr>
        <w:tabs>
          <w:tab w:val="right" w:leader="middleDot" w:pos="8505"/>
        </w:tabs>
        <w:spacing w:line="550" w:lineRule="exact"/>
        <w:ind w:firstLine="320" w:firstLineChars="100"/>
        <w:rPr>
          <w:rFonts w:eastAsia="楷体_GB2312"/>
          <w:sz w:val="32"/>
          <w:szCs w:val="32"/>
        </w:rPr>
      </w:pPr>
      <w:r>
        <w:rPr>
          <w:rFonts w:eastAsia="楷体_GB2312"/>
          <w:sz w:val="32"/>
          <w:szCs w:val="32"/>
        </w:rPr>
        <w:t>第三章 推进更加优质现代教育</w:t>
      </w:r>
      <w:r>
        <w:rPr>
          <w:rFonts w:eastAsia="楷体_GB2312"/>
          <w:sz w:val="32"/>
          <w:szCs w:val="32"/>
        </w:rPr>
        <w:tab/>
      </w:r>
      <w:r>
        <w:rPr>
          <w:rFonts w:hint="eastAsia" w:eastAsia="楷体_GB2312"/>
          <w:sz w:val="32"/>
          <w:szCs w:val="32"/>
        </w:rPr>
        <w:t>65</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第四章 繁荣发展文旅事业产业</w:t>
      </w:r>
      <w:r>
        <w:rPr>
          <w:rFonts w:eastAsia="楷体_GB2312"/>
          <w:sz w:val="32"/>
          <w:szCs w:val="32"/>
        </w:rPr>
        <w:tab/>
      </w:r>
      <w:r>
        <w:rPr>
          <w:rFonts w:hint="eastAsia" w:eastAsia="楷体_GB2312"/>
          <w:sz w:val="32"/>
          <w:szCs w:val="32"/>
        </w:rPr>
        <w:t>66</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第五章 实施健康东至行动</w:t>
      </w:r>
      <w:r>
        <w:rPr>
          <w:rFonts w:eastAsia="楷体_GB2312"/>
          <w:iCs/>
          <w:sz w:val="32"/>
          <w:szCs w:val="32"/>
        </w:rPr>
        <w:tab/>
      </w:r>
      <w:r>
        <w:rPr>
          <w:rFonts w:hint="eastAsia" w:eastAsia="楷体_GB2312"/>
          <w:iCs/>
          <w:sz w:val="32"/>
          <w:szCs w:val="32"/>
        </w:rPr>
        <w:t>69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第六章 健全多层次社会保障体系</w:t>
      </w:r>
      <w:r>
        <w:rPr>
          <w:rFonts w:eastAsia="楷体_GB2312"/>
          <w:iCs/>
          <w:sz w:val="32"/>
          <w:szCs w:val="32"/>
        </w:rPr>
        <w:tab/>
      </w:r>
      <w:r>
        <w:rPr>
          <w:rFonts w:eastAsia="楷体_GB2312"/>
          <w:iCs/>
          <w:sz w:val="32"/>
          <w:szCs w:val="32"/>
        </w:rPr>
        <w:t>7</w:t>
      </w:r>
      <w:r>
        <w:rPr>
          <w:rFonts w:hint="eastAsia" w:eastAsia="楷体_GB2312"/>
          <w:iCs/>
          <w:sz w:val="32"/>
          <w:szCs w:val="32"/>
        </w:rPr>
        <w:t>1</w:t>
      </w:r>
    </w:p>
    <w:p>
      <w:pPr>
        <w:pStyle w:val="11"/>
        <w:tabs>
          <w:tab w:val="right" w:leader="middleDot" w:pos="8505"/>
        </w:tabs>
        <w:spacing w:line="550" w:lineRule="exact"/>
        <w:ind w:left="0" w:leftChars="0"/>
        <w:rPr>
          <w:rFonts w:eastAsia="黑体"/>
          <w:b/>
          <w:sz w:val="32"/>
          <w:szCs w:val="32"/>
        </w:rPr>
      </w:pPr>
      <w:r>
        <w:rPr>
          <w:rFonts w:eastAsia="黑体"/>
          <w:b/>
          <w:sz w:val="32"/>
          <w:szCs w:val="32"/>
        </w:rPr>
        <w:t>第十一篇 建立现代治理体系，建设更高水平的平安东至</w:t>
      </w:r>
      <w:r>
        <w:rPr>
          <w:rFonts w:eastAsia="黑体"/>
          <w:b/>
          <w:sz w:val="32"/>
          <w:szCs w:val="32"/>
        </w:rPr>
        <w:tab/>
      </w:r>
      <w:r>
        <w:rPr>
          <w:rFonts w:eastAsia="黑体"/>
          <w:b/>
          <w:sz w:val="32"/>
          <w:szCs w:val="32"/>
        </w:rPr>
        <w:t>7</w:t>
      </w:r>
      <w:r>
        <w:rPr>
          <w:rFonts w:hint="eastAsia" w:eastAsia="黑体"/>
          <w:b/>
          <w:sz w:val="32"/>
          <w:szCs w:val="32"/>
        </w:rPr>
        <w:t>3</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第一章 筑牢社会安全发展基础</w:t>
      </w:r>
      <w:r>
        <w:rPr>
          <w:rFonts w:eastAsia="楷体_GB2312"/>
          <w:iCs/>
          <w:sz w:val="32"/>
          <w:szCs w:val="32"/>
        </w:rPr>
        <w:tab/>
      </w:r>
      <w:r>
        <w:rPr>
          <w:rFonts w:eastAsia="楷体_GB2312"/>
          <w:iCs/>
          <w:sz w:val="32"/>
          <w:szCs w:val="32"/>
        </w:rPr>
        <w:t>7</w:t>
      </w:r>
      <w:r>
        <w:rPr>
          <w:rFonts w:hint="eastAsia" w:eastAsia="楷体_GB2312"/>
          <w:iCs/>
          <w:sz w:val="32"/>
          <w:szCs w:val="32"/>
        </w:rPr>
        <w:t>3</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第二章 深入推进法治东至建设</w:t>
      </w:r>
      <w:r>
        <w:rPr>
          <w:rFonts w:eastAsia="楷体_GB2312"/>
          <w:iCs/>
          <w:sz w:val="32"/>
          <w:szCs w:val="32"/>
        </w:rPr>
        <w:tab/>
      </w:r>
      <w:r>
        <w:rPr>
          <w:rFonts w:hint="eastAsia" w:eastAsia="楷体_GB2312"/>
          <w:iCs/>
          <w:sz w:val="32"/>
          <w:szCs w:val="32"/>
        </w:rPr>
        <w:t>75</w:t>
      </w:r>
    </w:p>
    <w:p>
      <w:pPr>
        <w:tabs>
          <w:tab w:val="right" w:leader="middleDot" w:pos="8505"/>
        </w:tabs>
        <w:spacing w:line="550" w:lineRule="exact"/>
        <w:ind w:firstLine="320" w:firstLineChars="100"/>
        <w:rPr>
          <w:rFonts w:eastAsia="楷体_GB2312"/>
          <w:sz w:val="32"/>
          <w:szCs w:val="32"/>
        </w:rPr>
      </w:pPr>
      <w:r>
        <w:rPr>
          <w:rFonts w:eastAsia="楷体_GB2312"/>
          <w:sz w:val="32"/>
          <w:szCs w:val="32"/>
        </w:rPr>
        <w:t>第三章 加强社会安全体系和能力建设</w:t>
      </w:r>
      <w:r>
        <w:rPr>
          <w:rFonts w:eastAsia="楷体_GB2312"/>
          <w:sz w:val="32"/>
          <w:szCs w:val="32"/>
        </w:rPr>
        <w:tab/>
      </w:r>
      <w:r>
        <w:rPr>
          <w:rFonts w:hint="eastAsia" w:eastAsia="楷体_GB2312"/>
          <w:sz w:val="32"/>
          <w:szCs w:val="32"/>
        </w:rPr>
        <w:t>76</w:t>
      </w:r>
    </w:p>
    <w:p>
      <w:pPr>
        <w:pStyle w:val="2"/>
        <w:tabs>
          <w:tab w:val="right" w:leader="middleDot" w:pos="8505"/>
        </w:tabs>
        <w:spacing w:line="550" w:lineRule="exact"/>
        <w:ind w:left="0" w:leftChars="0" w:firstLine="320" w:firstLineChars="100"/>
        <w:rPr>
          <w:rFonts w:eastAsia="楷体_GB2312"/>
          <w:sz w:val="32"/>
          <w:szCs w:val="32"/>
        </w:rPr>
      </w:pPr>
      <w:r>
        <w:rPr>
          <w:rFonts w:eastAsia="楷体_GB2312"/>
          <w:sz w:val="32"/>
          <w:szCs w:val="32"/>
        </w:rPr>
        <w:t>第四章 构建农村基层社会治理新格局</w:t>
      </w:r>
      <w:r>
        <w:rPr>
          <w:rFonts w:eastAsia="楷体_GB2312"/>
          <w:sz w:val="32"/>
          <w:szCs w:val="32"/>
        </w:rPr>
        <w:tab/>
      </w:r>
      <w:r>
        <w:rPr>
          <w:rFonts w:hint="eastAsia" w:eastAsia="楷体_GB2312"/>
          <w:sz w:val="32"/>
          <w:szCs w:val="32"/>
        </w:rPr>
        <w:t>77</w:t>
      </w:r>
    </w:p>
    <w:p>
      <w:pPr>
        <w:tabs>
          <w:tab w:val="right" w:leader="middleDot" w:pos="8505"/>
        </w:tabs>
        <w:spacing w:line="550" w:lineRule="exact"/>
        <w:rPr>
          <w:rFonts w:eastAsia="黑体"/>
          <w:b/>
          <w:sz w:val="32"/>
          <w:szCs w:val="32"/>
        </w:rPr>
      </w:pPr>
      <w:r>
        <w:rPr>
          <w:rFonts w:eastAsia="黑体"/>
          <w:b/>
          <w:sz w:val="32"/>
          <w:szCs w:val="32"/>
        </w:rPr>
        <w:t>第十二篇 强化规划实施保障，形成建设新阶段现代</w:t>
      </w:r>
      <w:r>
        <w:rPr>
          <w:rFonts w:hint="eastAsia" w:eastAsia="黑体"/>
          <w:b/>
          <w:sz w:val="32"/>
          <w:szCs w:val="32"/>
        </w:rPr>
        <w:t>化</w:t>
      </w:r>
    </w:p>
    <w:p>
      <w:pPr>
        <w:tabs>
          <w:tab w:val="right" w:leader="middleDot" w:pos="8505"/>
        </w:tabs>
        <w:spacing w:line="550" w:lineRule="exact"/>
        <w:ind w:firstLine="1430" w:firstLineChars="445"/>
        <w:rPr>
          <w:rFonts w:eastAsia="黑体"/>
          <w:b/>
          <w:sz w:val="32"/>
          <w:szCs w:val="32"/>
        </w:rPr>
      </w:pPr>
      <w:r>
        <w:rPr>
          <w:rFonts w:hint="eastAsia" w:eastAsia="黑体"/>
          <w:b/>
          <w:sz w:val="32"/>
          <w:szCs w:val="32"/>
        </w:rPr>
        <w:t>“</w:t>
      </w:r>
      <w:r>
        <w:rPr>
          <w:rFonts w:eastAsia="黑体"/>
          <w:b/>
          <w:sz w:val="32"/>
          <w:szCs w:val="32"/>
        </w:rPr>
        <w:t>三美东至</w:t>
      </w:r>
      <w:r>
        <w:rPr>
          <w:rFonts w:hint="eastAsia" w:eastAsia="黑体"/>
          <w:b/>
          <w:sz w:val="32"/>
          <w:szCs w:val="32"/>
        </w:rPr>
        <w:t>”</w:t>
      </w:r>
      <w:r>
        <w:rPr>
          <w:rFonts w:eastAsia="黑体"/>
          <w:b/>
          <w:sz w:val="32"/>
          <w:szCs w:val="32"/>
        </w:rPr>
        <w:t>的强大合力</w:t>
      </w:r>
      <w:r>
        <w:rPr>
          <w:rFonts w:eastAsia="黑体"/>
          <w:b/>
          <w:sz w:val="32"/>
          <w:szCs w:val="32"/>
        </w:rPr>
        <w:tab/>
      </w:r>
      <w:r>
        <w:rPr>
          <w:rFonts w:hint="eastAsia" w:eastAsia="黑体"/>
          <w:b/>
          <w:sz w:val="32"/>
          <w:szCs w:val="32"/>
        </w:rPr>
        <w:t>79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第一章 坚持和加强党的全面领导</w:t>
      </w:r>
      <w:r>
        <w:rPr>
          <w:rFonts w:eastAsia="楷体_GB2312"/>
          <w:iCs/>
          <w:sz w:val="32"/>
          <w:szCs w:val="32"/>
        </w:rPr>
        <w:tab/>
      </w:r>
      <w:r>
        <w:rPr>
          <w:rFonts w:hint="eastAsia" w:eastAsia="楷体_GB2312"/>
          <w:iCs/>
          <w:sz w:val="32"/>
          <w:szCs w:val="32"/>
        </w:rPr>
        <w:t>79</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第二章 凝聚强大发展合力</w:t>
      </w:r>
      <w:r>
        <w:rPr>
          <w:rFonts w:eastAsia="楷体_GB2312"/>
          <w:iCs/>
          <w:sz w:val="32"/>
          <w:szCs w:val="32"/>
        </w:rPr>
        <w:tab/>
      </w:r>
      <w:r>
        <w:rPr>
          <w:rFonts w:eastAsia="楷体_GB2312"/>
          <w:iCs/>
          <w:sz w:val="32"/>
          <w:szCs w:val="32"/>
        </w:rPr>
        <w:t>8</w:t>
      </w:r>
      <w:r>
        <w:rPr>
          <w:rFonts w:hint="eastAsia" w:eastAsia="楷体_GB2312"/>
          <w:iCs/>
          <w:sz w:val="32"/>
          <w:szCs w:val="32"/>
        </w:rPr>
        <w:t>0</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第三章 健全规划制定和政策支持</w:t>
      </w:r>
      <w:r>
        <w:rPr>
          <w:rFonts w:eastAsia="楷体_GB2312"/>
          <w:iCs/>
          <w:sz w:val="32"/>
          <w:szCs w:val="32"/>
        </w:rPr>
        <w:tab/>
      </w:r>
      <w:r>
        <w:rPr>
          <w:rFonts w:eastAsia="楷体_GB2312"/>
          <w:iCs/>
          <w:sz w:val="32"/>
          <w:szCs w:val="32"/>
        </w:rPr>
        <w:t>8</w:t>
      </w:r>
      <w:r>
        <w:rPr>
          <w:rFonts w:hint="eastAsia" w:eastAsia="楷体_GB2312"/>
          <w:iCs/>
          <w:sz w:val="32"/>
          <w:szCs w:val="32"/>
        </w:rPr>
        <w:t>1</w:t>
      </w:r>
    </w:p>
    <w:p>
      <w:pPr>
        <w:pStyle w:val="11"/>
        <w:tabs>
          <w:tab w:val="right" w:leader="middleDot" w:pos="8505"/>
        </w:tabs>
        <w:spacing w:line="550" w:lineRule="exact"/>
        <w:ind w:left="0" w:leftChars="0" w:firstLine="320" w:firstLineChars="100"/>
        <w:rPr>
          <w:rFonts w:eastAsia="楷体_GB2312"/>
          <w:iCs/>
          <w:sz w:val="32"/>
          <w:szCs w:val="32"/>
        </w:rPr>
      </w:pPr>
      <w:r>
        <w:rPr>
          <w:rFonts w:eastAsia="楷体_GB2312"/>
          <w:iCs/>
          <w:sz w:val="32"/>
          <w:szCs w:val="32"/>
        </w:rPr>
        <w:t>第四章 严格落实工作机制和监督评估</w:t>
      </w:r>
      <w:r>
        <w:rPr>
          <w:rFonts w:eastAsia="楷体_GB2312"/>
          <w:iCs/>
          <w:sz w:val="32"/>
          <w:szCs w:val="32"/>
        </w:rPr>
        <w:tab/>
      </w:r>
      <w:r>
        <w:rPr>
          <w:rFonts w:eastAsia="楷体_GB2312"/>
          <w:iCs/>
          <w:sz w:val="32"/>
          <w:szCs w:val="32"/>
        </w:rPr>
        <w:t>8</w:t>
      </w:r>
      <w:r>
        <w:rPr>
          <w:rFonts w:hint="eastAsia" w:eastAsia="楷体_GB2312"/>
          <w:iCs/>
          <w:sz w:val="32"/>
          <w:szCs w:val="32"/>
        </w:rPr>
        <w:t>1</w:t>
      </w:r>
    </w:p>
    <w:p>
      <w:pPr>
        <w:pStyle w:val="11"/>
        <w:tabs>
          <w:tab w:val="right" w:leader="middleDot" w:pos="8505"/>
        </w:tabs>
        <w:spacing w:line="550" w:lineRule="exact"/>
        <w:ind w:left="0" w:leftChars="0" w:firstLine="313" w:firstLineChars="98"/>
        <w:rPr>
          <w:rFonts w:ascii="方正小标宋简体" w:hAnsi="??_GB2312" w:eastAsia="方正小标宋简体" w:cs="??_GB2312"/>
          <w:b/>
          <w:sz w:val="40"/>
          <w:szCs w:val="40"/>
        </w:rPr>
      </w:pPr>
      <w:r>
        <w:rPr>
          <w:rFonts w:eastAsia="楷体_GB2312"/>
          <w:iCs/>
          <w:sz w:val="32"/>
          <w:szCs w:val="32"/>
        </w:rPr>
        <w:t>第五章 强化重大工程项目实施</w:t>
      </w:r>
      <w:r>
        <w:rPr>
          <w:rFonts w:eastAsia="楷体_GB2312"/>
          <w:iCs/>
          <w:sz w:val="32"/>
          <w:szCs w:val="32"/>
        </w:rPr>
        <w:tab/>
      </w:r>
      <w:r>
        <w:rPr>
          <w:rFonts w:eastAsia="楷体_GB2312"/>
          <w:iCs/>
          <w:sz w:val="32"/>
          <w:szCs w:val="32"/>
        </w:rPr>
        <w:t>8</w:t>
      </w:r>
      <w:r>
        <w:rPr>
          <w:rFonts w:hint="eastAsia" w:eastAsia="楷体_GB2312"/>
          <w:iCs/>
          <w:sz w:val="32"/>
          <w:szCs w:val="32"/>
        </w:rPr>
        <w:t>1</w:t>
      </w:r>
    </w:p>
    <w:p>
      <w:pPr>
        <w:spacing w:line="700" w:lineRule="exact"/>
        <w:jc w:val="center"/>
        <w:rPr>
          <w:rFonts w:ascii="方正小标宋简体" w:hAnsi="??_GB2312" w:eastAsia="方正小标宋简体" w:cs="??_GB2312"/>
          <w:b/>
          <w:sz w:val="40"/>
          <w:szCs w:val="40"/>
        </w:rPr>
        <w:sectPr>
          <w:footerReference r:id="rId5" w:type="default"/>
          <w:pgSz w:w="11906" w:h="16838"/>
          <w:pgMar w:top="1701" w:right="1588" w:bottom="1701" w:left="1588" w:header="851" w:footer="1418" w:gutter="0"/>
          <w:pgNumType w:fmt="lowerRoman" w:start="1"/>
          <w:cols w:space="425" w:num="1"/>
          <w:docGrid w:type="lines" w:linePitch="312" w:charSpace="0"/>
        </w:sectPr>
      </w:pPr>
    </w:p>
    <w:p>
      <w:pPr>
        <w:pStyle w:val="2"/>
      </w:pPr>
    </w:p>
    <w:p>
      <w:pPr>
        <w:spacing w:line="700" w:lineRule="exact"/>
        <w:jc w:val="center"/>
        <w:rPr>
          <w:rFonts w:ascii="方正小标宋简体" w:hAnsi="??_GB2312" w:eastAsia="方正小标宋简体" w:cs="??_GB2312"/>
          <w:b/>
          <w:sz w:val="40"/>
          <w:szCs w:val="40"/>
        </w:rPr>
      </w:pPr>
      <w:r>
        <w:rPr>
          <w:rFonts w:hint="eastAsia" w:ascii="方正小标宋简体" w:hAnsi="??_GB2312" w:eastAsia="方正小标宋简体" w:cs="??_GB2312"/>
          <w:b/>
          <w:sz w:val="40"/>
          <w:szCs w:val="40"/>
        </w:rPr>
        <w:t>前言</w:t>
      </w:r>
    </w:p>
    <w:p>
      <w:pPr>
        <w:pStyle w:val="2"/>
        <w:spacing w:line="600" w:lineRule="exact"/>
      </w:pPr>
    </w:p>
    <w:p>
      <w:pPr>
        <w:spacing w:line="640" w:lineRule="exact"/>
        <w:ind w:firstLine="640" w:firstLineChars="200"/>
        <w:rPr>
          <w:rFonts w:ascii="楷体_GB2312" w:hAnsi="宋体" w:eastAsia="楷体_GB2312" w:cs="宋体"/>
          <w:sz w:val="32"/>
          <w:szCs w:val="32"/>
        </w:rPr>
      </w:pPr>
      <w:r>
        <w:rPr>
          <w:rFonts w:hint="eastAsia" w:ascii="楷体_GB2312" w:hAnsi="??_GB2312" w:eastAsia="楷体_GB2312" w:cs="??_GB2312"/>
          <w:sz w:val="32"/>
          <w:szCs w:val="32"/>
        </w:rPr>
        <w:t>“</w:t>
      </w:r>
      <w:r>
        <w:rPr>
          <w:rFonts w:hint="eastAsia" w:ascii="楷体_GB2312" w:hAnsi="宋体" w:eastAsia="楷体_GB2312" w:cs="宋体"/>
          <w:sz w:val="32"/>
          <w:szCs w:val="32"/>
        </w:rPr>
        <w:t>十四五</w:t>
      </w:r>
      <w:r>
        <w:rPr>
          <w:rFonts w:hint="eastAsia" w:ascii="楷体_GB2312" w:hAnsi="??_GB2312" w:eastAsia="楷体_GB2312" w:cs="??_GB2312"/>
          <w:sz w:val="32"/>
          <w:szCs w:val="32"/>
        </w:rPr>
        <w:t>”</w:t>
      </w:r>
      <w:r>
        <w:rPr>
          <w:rFonts w:hint="eastAsia" w:ascii="楷体_GB2312" w:hAnsi="宋体" w:eastAsia="楷体_GB2312" w:cs="宋体"/>
          <w:sz w:val="32"/>
          <w:szCs w:val="32"/>
        </w:rPr>
        <w:t>时期是我国全面建成小康社会、实现第一个百年奋斗目标之后，乘势而上开启全面建设社会主义现代化国家新征程、向第二个百年奋斗目标进军的第一个五年，也是我县全力推动长江经济带建设、积极融入长三角一体化、全面推进高质量发展、加快建设新阶段现代化</w:t>
      </w:r>
      <w:r>
        <w:rPr>
          <w:rFonts w:hint="eastAsia" w:ascii="楷体_GB2312" w:hAnsi="??_GB2312" w:eastAsia="楷体_GB2312" w:cs="??_GB2312"/>
          <w:sz w:val="32"/>
          <w:szCs w:val="32"/>
        </w:rPr>
        <w:t>“</w:t>
      </w:r>
      <w:r>
        <w:rPr>
          <w:rFonts w:hint="eastAsia" w:ascii="楷体_GB2312" w:hAnsi="宋体" w:eastAsia="楷体_GB2312" w:cs="宋体"/>
          <w:sz w:val="32"/>
          <w:szCs w:val="32"/>
        </w:rPr>
        <w:t>三美东至</w:t>
      </w:r>
      <w:r>
        <w:rPr>
          <w:rFonts w:hint="eastAsia" w:ascii="楷体_GB2312" w:hAnsi="??_GB2312" w:eastAsia="楷体_GB2312" w:cs="??_GB2312"/>
          <w:sz w:val="32"/>
          <w:szCs w:val="32"/>
        </w:rPr>
        <w:t>”</w:t>
      </w:r>
      <w:r>
        <w:rPr>
          <w:rFonts w:hint="eastAsia" w:ascii="楷体_GB2312" w:hAnsi="宋体" w:eastAsia="楷体_GB2312" w:cs="宋体"/>
          <w:sz w:val="32"/>
          <w:szCs w:val="32"/>
        </w:rPr>
        <w:t>新篇章的重要时期。遵循《中共东至县委关于制定东至县国民经济和社会发展第十四个五年规划和二○三五年远景目标的建议》，编制了《东至县国民经济和社会发展第十四个五年规划和二○三五年远景目标纲要》，主要阐明</w:t>
      </w:r>
      <w:r>
        <w:rPr>
          <w:rFonts w:hint="eastAsia" w:ascii="楷体_GB2312" w:hAnsi="??_GB2312" w:eastAsia="楷体_GB2312" w:cs="??_GB2312"/>
          <w:sz w:val="32"/>
          <w:szCs w:val="32"/>
        </w:rPr>
        <w:t>“</w:t>
      </w:r>
      <w:r>
        <w:rPr>
          <w:rFonts w:hint="eastAsia" w:ascii="楷体_GB2312" w:hAnsi="宋体" w:eastAsia="楷体_GB2312" w:cs="宋体"/>
          <w:sz w:val="32"/>
          <w:szCs w:val="32"/>
        </w:rPr>
        <w:t>十四五</w:t>
      </w:r>
      <w:r>
        <w:rPr>
          <w:rFonts w:hint="eastAsia" w:ascii="楷体_GB2312" w:hAnsi="??_GB2312" w:eastAsia="楷体_GB2312" w:cs="??_GB2312"/>
          <w:sz w:val="32"/>
          <w:szCs w:val="32"/>
        </w:rPr>
        <w:t>”</w:t>
      </w:r>
      <w:r>
        <w:rPr>
          <w:rFonts w:hint="eastAsia" w:ascii="楷体_GB2312" w:hAnsi="宋体" w:eastAsia="楷体_GB2312" w:cs="宋体"/>
          <w:sz w:val="32"/>
          <w:szCs w:val="32"/>
        </w:rPr>
        <w:t>时期东至经济社会发展指导思想、基本原则、发展目标，展望到二○三五年基本实现社会主义现代化远景目标，谋划重大战略，部署重大任务，确定政府工作重点，引导市场主体行为，是未来五年到十五年我县经济社会发展的战略蓝图和全县人民共同的行动纲领。</w:t>
      </w:r>
    </w:p>
    <w:p>
      <w:pPr>
        <w:spacing w:line="600" w:lineRule="exact"/>
        <w:jc w:val="center"/>
        <w:rPr>
          <w:rFonts w:ascii="方正小标宋简体" w:hAnsi="华文楷体" w:eastAsia="方正小标宋简体"/>
          <w:b/>
          <w:kern w:val="44"/>
          <w:sz w:val="36"/>
          <w:szCs w:val="36"/>
        </w:rPr>
      </w:pPr>
      <w:r>
        <w:rPr>
          <w:rFonts w:ascii="宋体" w:cs="宋体"/>
          <w:sz w:val="32"/>
          <w:szCs w:val="32"/>
        </w:rPr>
        <w:br w:type="page"/>
      </w:r>
      <w:bookmarkStart w:id="6" w:name="_Toc9940"/>
      <w:r>
        <w:rPr>
          <w:rFonts w:hint="eastAsia" w:ascii="方正小标宋简体" w:hAnsi="华文楷体" w:eastAsia="方正小标宋简体"/>
          <w:b/>
          <w:kern w:val="44"/>
          <w:sz w:val="36"/>
          <w:szCs w:val="36"/>
        </w:rPr>
        <w:t>第一篇全面建成小康社会，新阶段现代化</w:t>
      </w:r>
    </w:p>
    <w:p>
      <w:pPr>
        <w:spacing w:line="600" w:lineRule="exact"/>
        <w:jc w:val="center"/>
        <w:rPr>
          <w:rFonts w:ascii="方正小标宋简体" w:eastAsia="方正小标宋简体"/>
          <w:b/>
          <w:sz w:val="36"/>
          <w:szCs w:val="36"/>
        </w:rPr>
      </w:pPr>
      <w:r>
        <w:rPr>
          <w:rFonts w:hint="eastAsia" w:ascii="方正小标宋简体" w:eastAsia="方正小标宋简体"/>
          <w:b/>
          <w:sz w:val="36"/>
          <w:szCs w:val="36"/>
        </w:rPr>
        <w:t>“三美东至”迈上新征程</w:t>
      </w:r>
      <w:bookmarkEnd w:id="6"/>
      <w:bookmarkStart w:id="7" w:name="_Toc5312"/>
    </w:p>
    <w:p>
      <w:pPr>
        <w:spacing w:line="600" w:lineRule="exact"/>
        <w:jc w:val="center"/>
        <w:rPr>
          <w:rFonts w:ascii="黑体" w:eastAsia="黑体"/>
          <w:sz w:val="30"/>
          <w:szCs w:val="30"/>
        </w:rPr>
      </w:pPr>
    </w:p>
    <w:p>
      <w:pPr>
        <w:spacing w:afterLines="80" w:line="600" w:lineRule="exact"/>
        <w:jc w:val="center"/>
        <w:rPr>
          <w:rFonts w:ascii="黑体" w:eastAsia="黑体"/>
          <w:b/>
          <w:sz w:val="30"/>
          <w:szCs w:val="30"/>
        </w:rPr>
      </w:pPr>
      <w:r>
        <w:rPr>
          <w:rFonts w:hint="eastAsia" w:ascii="黑体" w:eastAsia="黑体"/>
          <w:b/>
          <w:sz w:val="30"/>
          <w:szCs w:val="30"/>
        </w:rPr>
        <w:t>第一章全面建成小康社会取得显著成就</w:t>
      </w:r>
      <w:bookmarkEnd w:id="7"/>
    </w:p>
    <w:p>
      <w:pPr>
        <w:spacing w:line="570" w:lineRule="exact"/>
        <w:ind w:firstLine="600" w:firstLineChars="200"/>
        <w:rPr>
          <w:rFonts w:ascii="仿宋_GB2312" w:hAnsi="??_GB2312" w:eastAsia="仿宋_GB2312" w:cs="??_GB2312"/>
          <w:bCs/>
          <w:sz w:val="30"/>
          <w:szCs w:val="30"/>
        </w:rPr>
      </w:pPr>
      <w:r>
        <w:rPr>
          <w:rFonts w:hint="eastAsia" w:ascii="仿宋_GB2312" w:hAnsi="??_GB2312" w:eastAsia="仿宋_GB2312" w:cs="??_GB2312"/>
          <w:bCs/>
          <w:sz w:val="30"/>
          <w:szCs w:val="30"/>
        </w:rPr>
        <w:t>“</w:t>
      </w:r>
      <w:r>
        <w:rPr>
          <w:rFonts w:hint="eastAsia" w:ascii="仿宋_GB2312" w:hAnsi="宋体" w:eastAsia="仿宋_GB2312" w:cs="宋体"/>
          <w:bCs/>
          <w:sz w:val="30"/>
          <w:szCs w:val="30"/>
        </w:rPr>
        <w:t>十三五</w:t>
      </w:r>
      <w:r>
        <w:rPr>
          <w:rFonts w:hint="eastAsia" w:ascii="仿宋_GB2312" w:hAnsi="??_GB2312" w:eastAsia="仿宋_GB2312" w:cs="??_GB2312"/>
          <w:bCs/>
          <w:sz w:val="30"/>
          <w:szCs w:val="30"/>
        </w:rPr>
        <w:t>”</w:t>
      </w:r>
      <w:r>
        <w:rPr>
          <w:rFonts w:hint="eastAsia" w:ascii="仿宋_GB2312" w:hAnsi="宋体" w:eastAsia="仿宋_GB2312" w:cs="宋体"/>
          <w:bCs/>
          <w:sz w:val="30"/>
          <w:szCs w:val="30"/>
        </w:rPr>
        <w:t>时期是全面建成小康社会决胜阶段。面对错综复杂的国际形势、艰巨繁重的改革发展稳定任务，县委县政府坚持以习近平新时代中国特色社会主义思想为指导，全面贯彻落实党的十九大和十九届二中、三中、四中、五中全会精神，深入贯彻落实习近平总书记考察安徽重要讲话指示精神，在省委省政府、市委市政府的坚强领导下，统筹抓好常态化疫情防控和经济社会发展，扎实做好</w:t>
      </w:r>
      <w:r>
        <w:rPr>
          <w:rFonts w:hint="eastAsia" w:ascii="仿宋_GB2312" w:hAnsi="??_GB2312" w:eastAsia="仿宋_GB2312" w:cs="??_GB2312"/>
          <w:bCs/>
          <w:sz w:val="30"/>
          <w:szCs w:val="30"/>
        </w:rPr>
        <w:t>“</w:t>
      </w:r>
      <w:r>
        <w:rPr>
          <w:rFonts w:hint="eastAsia" w:ascii="仿宋_GB2312" w:hAnsi="宋体" w:eastAsia="仿宋_GB2312" w:cs="宋体"/>
          <w:bCs/>
          <w:sz w:val="30"/>
          <w:szCs w:val="30"/>
        </w:rPr>
        <w:t>六稳</w:t>
      </w:r>
      <w:r>
        <w:rPr>
          <w:rFonts w:hint="eastAsia" w:ascii="仿宋_GB2312" w:hAnsi="??_GB2312" w:eastAsia="仿宋_GB2312" w:cs="??_GB2312"/>
          <w:bCs/>
          <w:sz w:val="30"/>
          <w:szCs w:val="30"/>
        </w:rPr>
        <w:t>”</w:t>
      </w:r>
      <w:r>
        <w:rPr>
          <w:rFonts w:hint="eastAsia" w:ascii="仿宋_GB2312" w:hAnsi="宋体" w:eastAsia="仿宋_GB2312" w:cs="宋体"/>
          <w:bCs/>
          <w:sz w:val="30"/>
          <w:szCs w:val="30"/>
        </w:rPr>
        <w:t>工作、全面落实</w:t>
      </w:r>
      <w:r>
        <w:rPr>
          <w:rFonts w:hint="eastAsia" w:ascii="仿宋_GB2312" w:hAnsi="??_GB2312" w:eastAsia="仿宋_GB2312" w:cs="??_GB2312"/>
          <w:bCs/>
          <w:sz w:val="30"/>
          <w:szCs w:val="30"/>
        </w:rPr>
        <w:t>“</w:t>
      </w:r>
      <w:r>
        <w:rPr>
          <w:rFonts w:hint="eastAsia" w:ascii="仿宋_GB2312" w:hAnsi="宋体" w:eastAsia="仿宋_GB2312" w:cs="宋体"/>
          <w:bCs/>
          <w:sz w:val="30"/>
          <w:szCs w:val="30"/>
        </w:rPr>
        <w:t>六保</w:t>
      </w:r>
      <w:r>
        <w:rPr>
          <w:rFonts w:hint="eastAsia" w:ascii="仿宋_GB2312" w:hAnsi="??_GB2312" w:eastAsia="仿宋_GB2312" w:cs="??_GB2312"/>
          <w:bCs/>
          <w:sz w:val="30"/>
          <w:szCs w:val="30"/>
        </w:rPr>
        <w:t>”</w:t>
      </w:r>
      <w:r>
        <w:rPr>
          <w:rFonts w:hint="eastAsia" w:ascii="仿宋_GB2312" w:hAnsi="宋体" w:eastAsia="仿宋_GB2312" w:cs="宋体"/>
          <w:bCs/>
          <w:sz w:val="30"/>
          <w:szCs w:val="30"/>
        </w:rPr>
        <w:t>任务，纵深推进全面从严治党，</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三美东至</w:t>
      </w:r>
      <w:r>
        <w:rPr>
          <w:rFonts w:hint="eastAsia" w:ascii="仿宋_GB2312" w:hAnsi="??_GB2312" w:eastAsia="仿宋_GB2312" w:cs="??_GB2312"/>
          <w:bCs/>
          <w:sz w:val="30"/>
          <w:szCs w:val="30"/>
        </w:rPr>
        <w:t>”</w:t>
      </w:r>
      <w:r>
        <w:rPr>
          <w:rFonts w:hint="eastAsia" w:ascii="仿宋_GB2312" w:hAnsi="宋体" w:eastAsia="仿宋_GB2312" w:cs="宋体"/>
          <w:bCs/>
          <w:sz w:val="30"/>
          <w:szCs w:val="30"/>
        </w:rPr>
        <w:t>建设迈出坚实步伐，交出了一份</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上级放心、群众满意、值得铭记</w:t>
      </w:r>
      <w:r>
        <w:rPr>
          <w:rFonts w:hint="eastAsia" w:ascii="仿宋_GB2312" w:hAnsi="??_GB2312" w:eastAsia="仿宋_GB2312" w:cs="??_GB2312"/>
          <w:bCs/>
          <w:sz w:val="30"/>
          <w:szCs w:val="30"/>
        </w:rPr>
        <w:t>”</w:t>
      </w:r>
      <w:r>
        <w:rPr>
          <w:rFonts w:hint="eastAsia" w:ascii="仿宋_GB2312" w:hAnsi="宋体" w:eastAsia="仿宋_GB2312" w:cs="宋体"/>
          <w:bCs/>
          <w:sz w:val="30"/>
          <w:szCs w:val="30"/>
        </w:rPr>
        <w:t>的经济报表和民生答卷。</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综合实力取得显著进步</w:t>
      </w:r>
      <w:r>
        <w:rPr>
          <w:rFonts w:hint="eastAsia" w:ascii="楷体_GB2312" w:hAnsi="楷体" w:eastAsia="楷体_GB2312" w:cs="楷体"/>
          <w:b/>
          <w:sz w:val="30"/>
          <w:szCs w:val="30"/>
        </w:rPr>
        <w:t>。</w:t>
      </w:r>
      <w:r>
        <w:rPr>
          <w:rFonts w:hint="eastAsia" w:ascii="仿宋_GB2312" w:hAnsi="Calibri" w:eastAsia="仿宋_GB2312"/>
          <w:sz w:val="30"/>
          <w:szCs w:val="30"/>
        </w:rPr>
        <w:t>经济保持持续较快增长，“十三五”时期地区生产总值年均增长</w:t>
      </w:r>
      <w:r>
        <w:rPr>
          <w:rFonts w:ascii="仿宋_GB2312" w:hAnsi="Calibri" w:eastAsia="仿宋_GB2312"/>
          <w:sz w:val="30"/>
          <w:szCs w:val="30"/>
        </w:rPr>
        <w:t>6.0%</w:t>
      </w:r>
      <w:r>
        <w:rPr>
          <w:rFonts w:hint="eastAsia" w:ascii="仿宋_GB2312" w:hAnsi="Calibri" w:eastAsia="仿宋_GB2312"/>
          <w:sz w:val="30"/>
          <w:szCs w:val="30"/>
        </w:rPr>
        <w:t>。</w:t>
      </w:r>
      <w:r>
        <w:rPr>
          <w:rFonts w:ascii="仿宋_GB2312" w:hAnsi="Calibri" w:eastAsia="仿宋_GB2312"/>
          <w:color w:val="000000" w:themeColor="text1"/>
          <w:sz w:val="30"/>
          <w:szCs w:val="30"/>
        </w:rPr>
        <w:t>2020</w:t>
      </w:r>
      <w:r>
        <w:rPr>
          <w:rFonts w:hint="eastAsia" w:ascii="仿宋_GB2312" w:hAnsi="Calibri" w:eastAsia="仿宋_GB2312"/>
          <w:color w:val="000000" w:themeColor="text1"/>
          <w:sz w:val="30"/>
          <w:szCs w:val="30"/>
        </w:rPr>
        <w:t>年完成地区生产总值211.4亿元，人均地区生产总值达到42950元，一般公共预算收入突破</w:t>
      </w:r>
      <w:r>
        <w:rPr>
          <w:rFonts w:ascii="仿宋_GB2312" w:hAnsi="Calibri" w:eastAsia="仿宋_GB2312"/>
          <w:color w:val="000000" w:themeColor="text1"/>
          <w:sz w:val="30"/>
          <w:szCs w:val="30"/>
        </w:rPr>
        <w:t>18</w:t>
      </w:r>
      <w:r>
        <w:rPr>
          <w:rFonts w:hint="eastAsia" w:ascii="仿宋_GB2312" w:hAnsi="Calibri" w:eastAsia="仿宋_GB2312"/>
          <w:color w:val="000000" w:themeColor="text1"/>
          <w:sz w:val="30"/>
          <w:szCs w:val="30"/>
        </w:rPr>
        <w:t>亿元（含划转石台），三次产业结构优化为16：42：42。</w:t>
      </w:r>
      <w:r>
        <w:rPr>
          <w:rFonts w:hint="eastAsia" w:ascii="仿宋_GB2312" w:hAnsi="Calibri" w:eastAsia="仿宋_GB2312"/>
          <w:sz w:val="30"/>
          <w:szCs w:val="30"/>
        </w:rPr>
        <w:t>防范化解重大风险能力显著增强，统筹推进疫情防控和经济社会发展工作取得积极成效。</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创新发展取得显著进步。</w:t>
      </w:r>
      <w:r>
        <w:rPr>
          <w:rFonts w:hint="eastAsia" w:ascii="仿宋_GB2312" w:hAnsi="Calibri" w:eastAsia="仿宋_GB2312"/>
          <w:sz w:val="30"/>
          <w:szCs w:val="30"/>
        </w:rPr>
        <w:t>创新平台建设加快，“三重一创”引领加强，先后成立小分子靶向药物研究院、食品研究院和智慧城市研究院，南京大学国家有机毒物污染控制与资源化工程技术研究中心分中心即将建成。创新技术涌现加快，获省、市科技进步奖</w:t>
      </w:r>
      <w:r>
        <w:rPr>
          <w:rFonts w:ascii="仿宋_GB2312" w:hAnsi="Calibri" w:eastAsia="仿宋_GB2312"/>
          <w:sz w:val="30"/>
          <w:szCs w:val="30"/>
        </w:rPr>
        <w:t>14</w:t>
      </w:r>
      <w:r>
        <w:rPr>
          <w:rFonts w:hint="eastAsia" w:ascii="仿宋_GB2312" w:hAnsi="Calibri" w:eastAsia="仿宋_GB2312"/>
          <w:sz w:val="30"/>
          <w:szCs w:val="30"/>
        </w:rPr>
        <w:t>项，荣获全国科技进步考核先进县、国家电子商务进农村综合示范县、全省发明专利授权量十强县称号，制造业高质量发展成效显现，全县“两新”企业达到</w:t>
      </w:r>
      <w:r>
        <w:rPr>
          <w:rFonts w:ascii="仿宋_GB2312" w:hAnsi="Calibri" w:eastAsia="仿宋_GB2312"/>
          <w:sz w:val="30"/>
          <w:szCs w:val="30"/>
        </w:rPr>
        <w:t>51</w:t>
      </w:r>
      <w:r>
        <w:rPr>
          <w:rFonts w:hint="eastAsia" w:ascii="仿宋_GB2312" w:hAnsi="Calibri" w:eastAsia="仿宋_GB2312"/>
          <w:sz w:val="30"/>
          <w:szCs w:val="30"/>
        </w:rPr>
        <w:t>家。东至经开区获批省化学原料药基地和省精细化工特色产业集群（基地），大渡口经开区列入国家外贸转型升级基地。</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协调发展取得显著进步。</w:t>
      </w:r>
      <w:r>
        <w:rPr>
          <w:rFonts w:hint="eastAsia" w:ascii="仿宋_GB2312" w:hAnsi="Calibri" w:eastAsia="仿宋_GB2312"/>
          <w:sz w:val="30"/>
          <w:szCs w:val="30"/>
        </w:rPr>
        <w:t>粮食生产持续稳定，粮食安全持续夯实，</w:t>
      </w:r>
      <w:r>
        <w:rPr>
          <w:rFonts w:hint="eastAsia" w:ascii="仿宋_GB2312" w:hAnsi="宋体" w:eastAsia="仿宋_GB2312" w:cs="宋体"/>
          <w:sz w:val="30"/>
          <w:szCs w:val="30"/>
        </w:rPr>
        <w:t>划定永久基本农田</w:t>
      </w:r>
      <w:r>
        <w:rPr>
          <w:rFonts w:ascii="仿宋_GB2312" w:eastAsia="仿宋_GB2312"/>
          <w:sz w:val="30"/>
          <w:szCs w:val="30"/>
        </w:rPr>
        <w:t>71.5</w:t>
      </w:r>
      <w:r>
        <w:rPr>
          <w:rFonts w:hint="eastAsia" w:ascii="仿宋_GB2312" w:hAnsi="宋体" w:eastAsia="仿宋_GB2312" w:cs="宋体"/>
          <w:sz w:val="30"/>
          <w:szCs w:val="30"/>
        </w:rPr>
        <w:t>万亩，</w:t>
      </w:r>
      <w:r>
        <w:rPr>
          <w:rFonts w:hint="eastAsia" w:ascii="仿宋_GB2312" w:hAnsi="Calibri" w:eastAsia="仿宋_GB2312"/>
          <w:sz w:val="30"/>
          <w:szCs w:val="30"/>
        </w:rPr>
        <w:t>建成</w:t>
      </w:r>
      <w:r>
        <w:rPr>
          <w:rFonts w:ascii="仿宋_GB2312" w:hAnsi="Calibri" w:eastAsia="仿宋_GB2312"/>
          <w:sz w:val="30"/>
          <w:szCs w:val="30"/>
        </w:rPr>
        <w:t>76</w:t>
      </w:r>
      <w:r>
        <w:rPr>
          <w:rFonts w:hint="eastAsia" w:ascii="仿宋_GB2312" w:hAnsi="Calibri" w:eastAsia="仿宋_GB2312"/>
          <w:sz w:val="30"/>
          <w:szCs w:val="30"/>
        </w:rPr>
        <w:t>个美丽乡村中心村。“一核两翼”区域生产力布局基本形成，舜城新区建设全面启动，常住人口城镇化率达到</w:t>
      </w:r>
      <w:r>
        <w:rPr>
          <w:rFonts w:ascii="仿宋_GB2312" w:hAnsi="Calibri" w:eastAsia="仿宋_GB2312"/>
          <w:sz w:val="30"/>
          <w:szCs w:val="30"/>
        </w:rPr>
        <w:t>50%</w:t>
      </w:r>
      <w:r>
        <w:rPr>
          <w:rFonts w:hint="eastAsia" w:ascii="仿宋_GB2312" w:hAnsi="Calibri" w:eastAsia="仿宋_GB2312"/>
          <w:sz w:val="30"/>
          <w:szCs w:val="30"/>
        </w:rPr>
        <w:t>，望东长江大桥、尧东一级公路建成通车。荣获省休闲农业和乡村旅游示范县、全省城乡道路客运一体化示范县、省美丽乡村建设先进县、安徽省文明县城等称号。</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绿色发展取得显著进步。</w:t>
      </w:r>
      <w:r>
        <w:rPr>
          <w:rFonts w:hint="eastAsia" w:ascii="仿宋_GB2312" w:hAnsi="Calibri" w:eastAsia="仿宋_GB2312"/>
          <w:sz w:val="30"/>
          <w:szCs w:val="30"/>
        </w:rPr>
        <w:t>全面打造水清岸绿产业优美丽长江（东至）经济带，深入推进“三大一强”攻坚行动，扎实推进长江流域重点水域东至段全面禁捕行动，推行河湖长制、林长制，全省第一个试行《林地经营权流转证》登记制度，</w:t>
      </w:r>
      <w:r>
        <w:rPr>
          <w:rFonts w:hint="eastAsia" w:ascii="仿宋_GB2312" w:hAnsi="宋体" w:eastAsia="仿宋_GB2312" w:cs="宋体"/>
          <w:sz w:val="30"/>
          <w:szCs w:val="30"/>
        </w:rPr>
        <w:t>升金湖实现</w:t>
      </w:r>
      <w:r>
        <w:rPr>
          <w:rFonts w:hint="eastAsia" w:ascii="仿宋_GB2312" w:eastAsia="仿宋_GB2312"/>
          <w:sz w:val="30"/>
          <w:szCs w:val="30"/>
        </w:rPr>
        <w:t>“</w:t>
      </w:r>
      <w:r>
        <w:rPr>
          <w:rFonts w:hint="eastAsia" w:ascii="仿宋_GB2312" w:hAnsi="宋体" w:eastAsia="仿宋_GB2312" w:cs="宋体"/>
          <w:sz w:val="30"/>
          <w:szCs w:val="30"/>
        </w:rPr>
        <w:t>三退</w:t>
      </w:r>
      <w:r>
        <w:rPr>
          <w:rFonts w:hint="eastAsia" w:ascii="仿宋_GB2312" w:eastAsia="仿宋_GB2312"/>
          <w:sz w:val="30"/>
          <w:szCs w:val="30"/>
        </w:rPr>
        <w:t>”</w:t>
      </w:r>
      <w:r>
        <w:rPr>
          <w:rFonts w:hint="eastAsia" w:ascii="仿宋_GB2312" w:hAnsi="宋体" w:eastAsia="仿宋_GB2312" w:cs="宋体"/>
          <w:sz w:val="30"/>
          <w:szCs w:val="30"/>
        </w:rPr>
        <w:t>，</w:t>
      </w:r>
      <w:r>
        <w:rPr>
          <w:rFonts w:hint="eastAsia" w:ascii="仿宋_GB2312" w:hAnsi="Calibri" w:eastAsia="仿宋_GB2312"/>
          <w:sz w:val="30"/>
          <w:szCs w:val="30"/>
        </w:rPr>
        <w:t>新增湿地</w:t>
      </w:r>
      <w:r>
        <w:rPr>
          <w:rFonts w:ascii="仿宋_GB2312" w:hAnsi="Calibri" w:eastAsia="仿宋_GB2312"/>
          <w:sz w:val="30"/>
          <w:szCs w:val="30"/>
        </w:rPr>
        <w:t>2.4</w:t>
      </w:r>
      <w:r>
        <w:rPr>
          <w:rFonts w:hint="eastAsia" w:ascii="仿宋_GB2312" w:hAnsi="Calibri" w:eastAsia="仿宋_GB2312"/>
          <w:sz w:val="30"/>
          <w:szCs w:val="30"/>
        </w:rPr>
        <w:t>万亩，全县空气质量优良率达</w:t>
      </w:r>
      <w:r>
        <w:rPr>
          <w:rFonts w:ascii="仿宋_GB2312" w:hAnsi="Calibri" w:eastAsia="仿宋_GB2312"/>
          <w:sz w:val="30"/>
          <w:szCs w:val="30"/>
        </w:rPr>
        <w:t>93%</w:t>
      </w:r>
      <w:r>
        <w:rPr>
          <w:rFonts w:hint="eastAsia" w:ascii="仿宋_GB2312" w:hAnsi="Calibri" w:eastAsia="仿宋_GB2312"/>
          <w:sz w:val="30"/>
          <w:szCs w:val="30"/>
        </w:rPr>
        <w:t>，森林覆盖率达</w:t>
      </w:r>
      <w:r>
        <w:rPr>
          <w:rFonts w:ascii="仿宋_GB2312" w:hAnsi="Calibri" w:eastAsia="仿宋_GB2312"/>
          <w:sz w:val="30"/>
          <w:szCs w:val="30"/>
        </w:rPr>
        <w:t>58.3%</w:t>
      </w:r>
      <w:r>
        <w:rPr>
          <w:rFonts w:hint="eastAsia" w:ascii="仿宋_GB2312" w:hAnsi="Calibri" w:eastAsia="仿宋_GB2312"/>
          <w:sz w:val="30"/>
          <w:szCs w:val="30"/>
        </w:rPr>
        <w:t>。东至黑木耳获国家地理标志认证，全力推进党建引领农村人居环境整治“书记项目”，林长制、绿色矿山创建工作连续两次被安徽新闻联播作为典型报道，成功创建国家级生态县、全国国土资源节约集约模范县、省级森林城市。</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开放发展取得显著进步。</w:t>
      </w:r>
      <w:r>
        <w:rPr>
          <w:rFonts w:hint="eastAsia" w:ascii="仿宋_GB2312" w:hAnsi="Calibri" w:eastAsia="仿宋_GB2312"/>
          <w:sz w:val="30"/>
          <w:szCs w:val="30"/>
        </w:rPr>
        <w:t>全县域被纳入国家长三角一体化发展战略、皖江城市带承接产业转移示范区、皖南国际文化旅游示范区实施范围。东至经开区与江苏泰兴经开区、浙江德清经开区，大渡口经开区与江苏常州天宁开发区、嘉兴南湖新区建立合作发展关系。外贸进出口和实际利用外资稳步提升，外贸进出口突破</w:t>
      </w:r>
      <w:r>
        <w:rPr>
          <w:rFonts w:ascii="仿宋_GB2312" w:hAnsi="Calibri" w:eastAsia="仿宋_GB2312"/>
          <w:sz w:val="30"/>
          <w:szCs w:val="30"/>
        </w:rPr>
        <w:t>1</w:t>
      </w:r>
      <w:r>
        <w:rPr>
          <w:rFonts w:hint="eastAsia" w:ascii="仿宋_GB2312" w:hAnsi="Calibri" w:eastAsia="仿宋_GB2312"/>
          <w:sz w:val="30"/>
          <w:szCs w:val="30"/>
        </w:rPr>
        <w:t>亿美元，累计实际利用外资</w:t>
      </w:r>
      <w:r>
        <w:rPr>
          <w:rFonts w:ascii="仿宋_GB2312" w:hAnsi="Calibri" w:eastAsia="仿宋_GB2312"/>
          <w:sz w:val="30"/>
          <w:szCs w:val="30"/>
        </w:rPr>
        <w:t>3</w:t>
      </w:r>
      <w:r>
        <w:rPr>
          <w:rFonts w:hint="eastAsia" w:ascii="仿宋_GB2312" w:hAnsi="Calibri" w:eastAsia="仿宋_GB2312"/>
          <w:sz w:val="30"/>
          <w:szCs w:val="30"/>
        </w:rPr>
        <w:t>亿美元，荣获</w:t>
      </w:r>
      <w:r>
        <w:rPr>
          <w:rFonts w:ascii="仿宋_GB2312" w:hAnsi="Calibri" w:eastAsia="仿宋_GB2312"/>
          <w:sz w:val="30"/>
          <w:szCs w:val="30"/>
        </w:rPr>
        <w:t>2019</w:t>
      </w:r>
      <w:r>
        <w:rPr>
          <w:rFonts w:hint="eastAsia" w:ascii="仿宋_GB2312" w:hAnsi="Calibri" w:eastAsia="仿宋_GB2312"/>
          <w:sz w:val="30"/>
          <w:szCs w:val="30"/>
        </w:rPr>
        <w:t>安徽省投资环境十佳县。</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共享发展取得显著进步。</w:t>
      </w:r>
      <w:r>
        <w:rPr>
          <w:rFonts w:hint="eastAsia" w:ascii="仿宋_GB2312" w:hAnsi="Calibri" w:eastAsia="仿宋_GB2312"/>
          <w:sz w:val="30"/>
          <w:szCs w:val="30"/>
        </w:rPr>
        <w:t>现行标准下农村贫困人口全面脱贫、</w:t>
      </w:r>
      <w:r>
        <w:rPr>
          <w:rFonts w:ascii="仿宋_GB2312" w:hAnsi="Calibri" w:eastAsia="仿宋_GB2312"/>
          <w:sz w:val="30"/>
          <w:szCs w:val="30"/>
        </w:rPr>
        <w:t>22</w:t>
      </w:r>
      <w:r>
        <w:rPr>
          <w:rFonts w:hint="eastAsia" w:ascii="仿宋_GB2312" w:hAnsi="Calibri" w:eastAsia="仿宋_GB2312"/>
          <w:sz w:val="30"/>
          <w:szCs w:val="30"/>
        </w:rPr>
        <w:t>个建档立卡贫困村全部出列。</w:t>
      </w:r>
      <w:r>
        <w:rPr>
          <w:rFonts w:ascii="仿宋_GB2312" w:hAnsi="Calibri" w:eastAsia="仿宋_GB2312"/>
          <w:sz w:val="30"/>
          <w:szCs w:val="30"/>
        </w:rPr>
        <w:t>33</w:t>
      </w:r>
      <w:r>
        <w:rPr>
          <w:rFonts w:hint="eastAsia" w:ascii="仿宋_GB2312" w:hAnsi="Calibri" w:eastAsia="仿宋_GB2312"/>
          <w:sz w:val="30"/>
          <w:szCs w:val="30"/>
        </w:rPr>
        <w:t>项民生工程精准实施，累计投入</w:t>
      </w:r>
      <w:r>
        <w:rPr>
          <w:rFonts w:ascii="仿宋_GB2312" w:hAnsi="Calibri" w:eastAsia="仿宋_GB2312"/>
          <w:sz w:val="30"/>
          <w:szCs w:val="30"/>
        </w:rPr>
        <w:t>70</w:t>
      </w:r>
      <w:r>
        <w:rPr>
          <w:rFonts w:hint="eastAsia" w:ascii="仿宋_GB2312" w:hAnsi="Calibri" w:eastAsia="仿宋_GB2312"/>
          <w:sz w:val="30"/>
          <w:szCs w:val="30"/>
        </w:rPr>
        <w:t>亿元用于民生工程建设，</w:t>
      </w:r>
      <w:r>
        <w:rPr>
          <w:rFonts w:hint="eastAsia" w:ascii="仿宋_GB2312" w:hAnsi="宋体" w:eastAsia="仿宋_GB2312" w:cs="宋体"/>
          <w:sz w:val="30"/>
          <w:szCs w:val="30"/>
        </w:rPr>
        <w:t>取缔</w:t>
      </w:r>
      <w:r>
        <w:rPr>
          <w:rFonts w:hint="eastAsia" w:ascii="仿宋_GB2312" w:eastAsia="仿宋_GB2312"/>
          <w:sz w:val="30"/>
          <w:szCs w:val="30"/>
        </w:rPr>
        <w:t>“</w:t>
      </w:r>
      <w:r>
        <w:rPr>
          <w:rFonts w:hint="eastAsia" w:ascii="仿宋_GB2312" w:hAnsi="宋体" w:eastAsia="仿宋_GB2312" w:cs="宋体"/>
          <w:sz w:val="30"/>
          <w:szCs w:val="30"/>
        </w:rPr>
        <w:t>马自达</w:t>
      </w:r>
      <w:r>
        <w:rPr>
          <w:rFonts w:hint="eastAsia" w:ascii="仿宋_GB2312" w:eastAsia="仿宋_GB2312"/>
          <w:sz w:val="30"/>
          <w:szCs w:val="30"/>
        </w:rPr>
        <w:t>”</w:t>
      </w:r>
      <w:r>
        <w:rPr>
          <w:rFonts w:hint="eastAsia" w:ascii="仿宋_GB2312" w:hAnsi="宋体" w:eastAsia="仿宋_GB2312" w:cs="宋体"/>
          <w:sz w:val="30"/>
          <w:szCs w:val="30"/>
        </w:rPr>
        <w:t>，</w:t>
      </w:r>
      <w:r>
        <w:rPr>
          <w:rFonts w:hint="eastAsia" w:ascii="仿宋_GB2312" w:hAnsi="Calibri" w:eastAsia="仿宋_GB2312"/>
          <w:sz w:val="30"/>
          <w:szCs w:val="30"/>
        </w:rPr>
        <w:t>县医院门诊综合楼、中医院、城南小学等一批重大民生工程投入使用。居民收入增长快于经济增长，社会保障基本实现应保尽保，就业形势保持稳定，城镇调查失业率控制在</w:t>
      </w:r>
      <w:r>
        <w:rPr>
          <w:rFonts w:ascii="仿宋_GB2312" w:hAnsi="Calibri" w:eastAsia="仿宋_GB2312"/>
          <w:sz w:val="30"/>
          <w:szCs w:val="30"/>
        </w:rPr>
        <w:t>3%</w:t>
      </w:r>
      <w:r>
        <w:rPr>
          <w:rFonts w:hint="eastAsia" w:ascii="仿宋_GB2312" w:hAnsi="Calibri" w:eastAsia="仿宋_GB2312"/>
          <w:sz w:val="30"/>
          <w:szCs w:val="30"/>
        </w:rPr>
        <w:t>以下。公共服务体系不断完善，成功入选国家级紧密型县域医共体建设试点县，通过国家义务教育基本均衡县验收，文化事业和文化产业繁荣发展，疫情防控阻击战取得重大战略性成果，防汛救灾取得重大胜利，扫黑除恶专项斗争深入开展，满意度全省靠前，社会大局保持和谐稳定。</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全面深化改革取得显著进步。</w:t>
      </w:r>
      <w:r>
        <w:rPr>
          <w:rFonts w:hint="eastAsia" w:ascii="仿宋_GB2312" w:hAnsi="Calibri" w:eastAsia="仿宋_GB2312"/>
          <w:sz w:val="30"/>
          <w:szCs w:val="30"/>
        </w:rPr>
        <w:t>入选国家农村综合性改革试点试验县、国家级农村宅基地制度改革试点县、全省唯一的全国第三次土地调查试点县、全省农村宅基地和闲置住宅盘活利用省级试点县</w:t>
      </w:r>
      <w:r>
        <w:rPr>
          <w:rFonts w:hint="eastAsia" w:ascii="仿宋_GB2312" w:hAnsi="宋体" w:eastAsia="仿宋_GB2312" w:cs="宋体"/>
          <w:sz w:val="30"/>
          <w:szCs w:val="30"/>
        </w:rPr>
        <w:t>、党建引领信用村建设选点县</w:t>
      </w:r>
      <w:r>
        <w:rPr>
          <w:rFonts w:hint="eastAsia" w:ascii="仿宋_GB2312" w:hAnsi="Calibri" w:eastAsia="仿宋_GB2312"/>
          <w:sz w:val="30"/>
          <w:szCs w:val="30"/>
        </w:rPr>
        <w:t>，“劝耕贷”东至标准成为全省操作标准，东至经开区管理体制改革顺利实施，在全省率先实现县级平台公司市场化转型，以“总医院”体制改革深入推进综合医改，一系列重大领域改革取得新突破，治理体系和治理能力不断提升。</w:t>
      </w:r>
    </w:p>
    <w:p>
      <w:pPr>
        <w:spacing w:line="570" w:lineRule="exact"/>
        <w:ind w:firstLine="602" w:firstLineChars="200"/>
        <w:rPr>
          <w:rFonts w:ascii="仿宋_GB2312" w:hAnsi="Calibri" w:eastAsia="仿宋_GB2312"/>
          <w:sz w:val="30"/>
          <w:szCs w:val="30"/>
        </w:rPr>
      </w:pPr>
      <w:r>
        <w:rPr>
          <w:rFonts w:hint="eastAsia" w:ascii="楷体_GB2312" w:hAnsi="楷体" w:eastAsia="楷体_GB2312" w:cs="楷体"/>
          <w:b/>
          <w:bCs/>
          <w:sz w:val="30"/>
          <w:szCs w:val="30"/>
        </w:rPr>
        <w:t>民主法治建设取得显著进步。</w:t>
      </w:r>
      <w:r>
        <w:rPr>
          <w:rFonts w:hint="eastAsia" w:ascii="仿宋_GB2312" w:hAnsi="Calibri" w:eastAsia="仿宋_GB2312"/>
          <w:sz w:val="30"/>
          <w:szCs w:val="30"/>
        </w:rPr>
        <w:t>人大及其常委会依法监督作用充分彰显，人民政协参政议政作用有效发挥，爱国统一战线巩固发展，工会、共青团、妇联等群团组织桥梁纽带作用进一步发挥，法治东至建设取得新进展，国防动员和后备力量建设持续加强。</w:t>
      </w:r>
    </w:p>
    <w:p>
      <w:pPr>
        <w:spacing w:line="570" w:lineRule="exact"/>
        <w:ind w:firstLine="602" w:firstLineChars="200"/>
        <w:rPr>
          <w:rFonts w:ascii="仿宋_GB2312" w:hAnsi="Calibri" w:eastAsia="仿宋_GB2312"/>
          <w:spacing w:val="8"/>
          <w:sz w:val="30"/>
          <w:szCs w:val="30"/>
          <w:shd w:val="clear" w:color="auto" w:fill="FFFFFF"/>
        </w:rPr>
      </w:pPr>
      <w:r>
        <w:rPr>
          <w:rFonts w:hint="eastAsia" w:ascii="楷体_GB2312" w:hAnsi="楷体" w:eastAsia="楷体_GB2312" w:cs="楷体"/>
          <w:b/>
          <w:bCs/>
          <w:sz w:val="30"/>
          <w:szCs w:val="30"/>
        </w:rPr>
        <w:t>全面从严治党取得显著进步。</w:t>
      </w:r>
      <w:r>
        <w:rPr>
          <w:rFonts w:hint="eastAsia" w:ascii="仿宋_GB2312" w:eastAsia="仿宋_GB2312"/>
          <w:sz w:val="30"/>
          <w:szCs w:val="30"/>
        </w:rPr>
        <w:t>“</w:t>
      </w:r>
      <w:r>
        <w:rPr>
          <w:rFonts w:hint="eastAsia" w:ascii="仿宋_GB2312" w:hAnsi="宋体" w:eastAsia="仿宋_GB2312" w:cs="宋体"/>
          <w:sz w:val="30"/>
          <w:szCs w:val="30"/>
        </w:rPr>
        <w:t>不忘初心、牢记使命</w:t>
      </w:r>
      <w:r>
        <w:rPr>
          <w:rFonts w:hint="eastAsia" w:ascii="仿宋_GB2312" w:eastAsia="仿宋_GB2312"/>
          <w:sz w:val="30"/>
          <w:szCs w:val="30"/>
        </w:rPr>
        <w:t>”</w:t>
      </w:r>
      <w:r>
        <w:rPr>
          <w:rFonts w:hint="eastAsia" w:ascii="仿宋_GB2312" w:hAnsi="宋体" w:eastAsia="仿宋_GB2312" w:cs="宋体"/>
          <w:sz w:val="30"/>
          <w:szCs w:val="30"/>
        </w:rPr>
        <w:t>主题教育成果巩固深化，十四届县委以来先后开展</w:t>
      </w:r>
      <w:r>
        <w:rPr>
          <w:rFonts w:hint="eastAsia" w:ascii="仿宋_GB2312" w:eastAsia="仿宋_GB2312"/>
          <w:sz w:val="30"/>
          <w:szCs w:val="30"/>
        </w:rPr>
        <w:t>“</w:t>
      </w:r>
      <w:r>
        <w:rPr>
          <w:rFonts w:hint="eastAsia" w:ascii="仿宋_GB2312" w:hAnsi="宋体" w:eastAsia="仿宋_GB2312" w:cs="宋体"/>
          <w:sz w:val="30"/>
          <w:szCs w:val="30"/>
        </w:rPr>
        <w:t>讲政治、重规矩、作表率</w:t>
      </w:r>
      <w:r>
        <w:rPr>
          <w:rFonts w:hint="eastAsia" w:ascii="仿宋_GB2312" w:eastAsia="仿宋_GB2312"/>
          <w:sz w:val="30"/>
          <w:szCs w:val="30"/>
        </w:rPr>
        <w:t>”“</w:t>
      </w:r>
      <w:r>
        <w:rPr>
          <w:rFonts w:hint="eastAsia" w:ascii="仿宋_GB2312" w:hAnsi="宋体" w:eastAsia="仿宋_GB2312" w:cs="宋体"/>
          <w:sz w:val="30"/>
          <w:szCs w:val="30"/>
        </w:rPr>
        <w:t>讲忠诚、严纪律、立政德</w:t>
      </w:r>
      <w:r>
        <w:rPr>
          <w:rFonts w:hint="eastAsia" w:ascii="仿宋_GB2312" w:eastAsia="仿宋_GB2312"/>
          <w:sz w:val="30"/>
          <w:szCs w:val="30"/>
        </w:rPr>
        <w:t>”“</w:t>
      </w:r>
      <w:r>
        <w:rPr>
          <w:rFonts w:hint="eastAsia" w:ascii="仿宋_GB2312" w:hAnsi="宋体" w:eastAsia="仿宋_GB2312" w:cs="宋体"/>
          <w:sz w:val="30"/>
          <w:szCs w:val="30"/>
        </w:rPr>
        <w:t>三个以案</w:t>
      </w:r>
      <w:r>
        <w:rPr>
          <w:rFonts w:hint="eastAsia" w:ascii="仿宋_GB2312" w:eastAsia="仿宋_GB2312"/>
          <w:sz w:val="30"/>
          <w:szCs w:val="30"/>
        </w:rPr>
        <w:t>”</w:t>
      </w:r>
      <w:r>
        <w:rPr>
          <w:rFonts w:hint="eastAsia" w:ascii="仿宋_GB2312" w:hAnsi="宋体" w:eastAsia="仿宋_GB2312" w:cs="宋体"/>
          <w:sz w:val="30"/>
          <w:szCs w:val="30"/>
        </w:rPr>
        <w:t>系列警示教育，开展</w:t>
      </w:r>
      <w:r>
        <w:rPr>
          <w:rFonts w:hint="eastAsia" w:ascii="仿宋_GB2312" w:eastAsia="仿宋_GB2312"/>
          <w:sz w:val="30"/>
          <w:szCs w:val="30"/>
        </w:rPr>
        <w:t>“</w:t>
      </w:r>
      <w:r>
        <w:rPr>
          <w:rFonts w:hint="eastAsia" w:ascii="仿宋_GB2312" w:hAnsi="宋体" w:eastAsia="仿宋_GB2312" w:cs="宋体"/>
          <w:sz w:val="30"/>
          <w:szCs w:val="30"/>
        </w:rPr>
        <w:t>解放思想、担当作为</w:t>
      </w:r>
      <w:r>
        <w:rPr>
          <w:rFonts w:hint="eastAsia" w:ascii="仿宋_GB2312" w:eastAsia="仿宋_GB2312"/>
          <w:sz w:val="30"/>
          <w:szCs w:val="30"/>
        </w:rPr>
        <w:t>”</w:t>
      </w:r>
      <w:r>
        <w:rPr>
          <w:rFonts w:hint="eastAsia" w:ascii="仿宋_GB2312" w:hAnsi="宋体" w:eastAsia="仿宋_GB2312" w:cs="宋体"/>
          <w:sz w:val="30"/>
          <w:szCs w:val="30"/>
        </w:rPr>
        <w:t>和</w:t>
      </w:r>
      <w:r>
        <w:rPr>
          <w:rFonts w:hint="eastAsia" w:ascii="仿宋_GB2312" w:eastAsia="仿宋_GB2312"/>
          <w:sz w:val="30"/>
          <w:szCs w:val="30"/>
        </w:rPr>
        <w:t>“</w:t>
      </w:r>
      <w:r>
        <w:rPr>
          <w:rFonts w:hint="eastAsia" w:ascii="仿宋_GB2312" w:hAnsi="宋体" w:eastAsia="仿宋_GB2312" w:cs="宋体"/>
          <w:sz w:val="30"/>
          <w:szCs w:val="30"/>
        </w:rPr>
        <w:t>改作风、强本领、提效能</w:t>
      </w:r>
      <w:r>
        <w:rPr>
          <w:rFonts w:hint="eastAsia" w:ascii="仿宋_GB2312" w:eastAsia="仿宋_GB2312"/>
          <w:sz w:val="30"/>
          <w:szCs w:val="30"/>
        </w:rPr>
        <w:t>”</w:t>
      </w:r>
      <w:r>
        <w:rPr>
          <w:rFonts w:hint="eastAsia" w:ascii="仿宋_GB2312" w:hAnsi="宋体" w:eastAsia="仿宋_GB2312" w:cs="宋体"/>
          <w:sz w:val="30"/>
          <w:szCs w:val="30"/>
        </w:rPr>
        <w:t>大讨论活动，干部作风建设持续好转，积极探索政治生态量化评估，推深做实党内政治监督谈话，省委巡视、市委巡察反馈问题整改全面完成，群众身</w:t>
      </w:r>
      <w:r>
        <w:rPr>
          <w:rFonts w:hint="eastAsia" w:ascii="仿宋_GB2312" w:hAnsi="宋体" w:eastAsia="仿宋_GB2312" w:cs="宋体"/>
          <w:spacing w:val="8"/>
          <w:sz w:val="30"/>
          <w:szCs w:val="30"/>
          <w:shd w:val="clear" w:color="auto" w:fill="FFFFFF"/>
        </w:rPr>
        <w:t>边腐败和作风问题及形式主义官僚主义突出问题得到有效遏制，不敢腐、不能腐、不想腐有效机制初步形成，风清气正的良好政治生态不断完善</w:t>
      </w:r>
      <w:r>
        <w:rPr>
          <w:rFonts w:hint="eastAsia" w:ascii="仿宋_GB2312" w:hAnsi="Calibri" w:eastAsia="仿宋_GB2312"/>
          <w:spacing w:val="8"/>
          <w:sz w:val="30"/>
          <w:szCs w:val="30"/>
          <w:shd w:val="clear" w:color="auto" w:fill="FFFFFF"/>
        </w:rPr>
        <w:t>。</w:t>
      </w:r>
    </w:p>
    <w:p>
      <w:pPr>
        <w:spacing w:line="570" w:lineRule="exact"/>
        <w:ind w:firstLine="600" w:firstLineChars="200"/>
        <w:rPr>
          <w:rFonts w:ascii="仿宋_GB2312" w:eastAsia="仿宋_GB2312"/>
          <w:kern w:val="0"/>
          <w:sz w:val="30"/>
          <w:szCs w:val="30"/>
        </w:rPr>
      </w:pPr>
      <w:r>
        <w:rPr>
          <w:rFonts w:hint="eastAsia" w:ascii="仿宋_GB2312" w:eastAsia="仿宋_GB2312"/>
          <w:kern w:val="0"/>
          <w:sz w:val="30"/>
          <w:szCs w:val="30"/>
        </w:rPr>
        <w:t>“</w:t>
      </w:r>
      <w:r>
        <w:rPr>
          <w:rFonts w:hint="eastAsia" w:ascii="仿宋_GB2312" w:hAnsi="宋体" w:eastAsia="仿宋_GB2312" w:cs="宋体"/>
          <w:kern w:val="0"/>
          <w:sz w:val="30"/>
          <w:szCs w:val="30"/>
        </w:rPr>
        <w:t>十三五</w:t>
      </w:r>
      <w:r>
        <w:rPr>
          <w:rFonts w:hint="eastAsia" w:ascii="仿宋_GB2312" w:eastAsia="仿宋_GB2312"/>
          <w:kern w:val="0"/>
          <w:sz w:val="30"/>
          <w:szCs w:val="30"/>
        </w:rPr>
        <w:t>”</w:t>
      </w:r>
      <w:r>
        <w:rPr>
          <w:rFonts w:hint="eastAsia" w:ascii="仿宋_GB2312" w:hAnsi="宋体" w:eastAsia="仿宋_GB2312" w:cs="宋体"/>
          <w:kern w:val="0"/>
          <w:sz w:val="30"/>
          <w:szCs w:val="30"/>
        </w:rPr>
        <w:t>规划主要目标任务如期完成，全面建成小康社会胜利在望。</w:t>
      </w:r>
      <w:r>
        <w:rPr>
          <w:rFonts w:hint="eastAsia" w:ascii="仿宋_GB2312" w:eastAsia="仿宋_GB2312"/>
          <w:kern w:val="0"/>
          <w:sz w:val="30"/>
          <w:szCs w:val="30"/>
        </w:rPr>
        <w:t>这些成绩的取得，根本在于习近平新时代中国特色社会主义思想的科学指引，得益于省委市委的关心支持，得益于全县广大党员干部群众的拼搏奋斗，为开启新阶段现代化“三美东至”建设新征程奠定坚实基础。</w:t>
      </w:r>
    </w:p>
    <w:p>
      <w:pPr>
        <w:spacing w:line="600" w:lineRule="exact"/>
        <w:jc w:val="center"/>
        <w:rPr>
          <w:rFonts w:ascii="黑体" w:hAnsi="黑体" w:eastAsia="黑体" w:cs="黑体"/>
          <w:sz w:val="28"/>
          <w:szCs w:val="28"/>
        </w:rPr>
      </w:pPr>
      <w:r>
        <w:rPr>
          <w:rFonts w:hint="eastAsia" w:ascii="黑体" w:hAnsi="黑体" w:eastAsia="黑体" w:cs="黑体"/>
          <w:sz w:val="28"/>
          <w:szCs w:val="28"/>
        </w:rPr>
        <w:t>专栏</w:t>
      </w:r>
      <w:r>
        <w:rPr>
          <w:rFonts w:ascii="黑体" w:hAnsi="黑体" w:eastAsia="黑体" w:cs="黑体"/>
          <w:sz w:val="28"/>
          <w:szCs w:val="28"/>
        </w:rPr>
        <w:t xml:space="preserve">1 </w:t>
      </w:r>
      <w:r>
        <w:rPr>
          <w:rFonts w:hint="eastAsia" w:ascii="黑体" w:hAnsi="黑体" w:eastAsia="黑体" w:cs="黑体"/>
          <w:sz w:val="28"/>
          <w:szCs w:val="28"/>
        </w:rPr>
        <w:t>“十三五”时期经济社会发展规划目标完成情况</w:t>
      </w:r>
    </w:p>
    <w:tbl>
      <w:tblPr>
        <w:tblStyle w:val="13"/>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42"/>
        <w:gridCol w:w="1587"/>
        <w:gridCol w:w="1455"/>
        <w:gridCol w:w="1009"/>
        <w:gridCol w:w="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tblHeader/>
          <w:jc w:val="center"/>
        </w:trPr>
        <w:tc>
          <w:tcPr>
            <w:tcW w:w="4442" w:type="dxa"/>
            <w:vAlign w:val="center"/>
          </w:tcPr>
          <w:p>
            <w:pPr>
              <w:spacing w:line="300" w:lineRule="exact"/>
              <w:jc w:val="center"/>
              <w:rPr>
                <w:rFonts w:ascii="黑体" w:hAnsi="仿宋" w:eastAsia="黑体"/>
                <w:bCs/>
                <w:sz w:val="24"/>
                <w:szCs w:val="24"/>
              </w:rPr>
            </w:pPr>
            <w:r>
              <w:rPr>
                <w:rFonts w:hint="eastAsia" w:ascii="黑体" w:hAnsi="仿宋" w:eastAsia="黑体"/>
                <w:bCs/>
                <w:sz w:val="24"/>
                <w:szCs w:val="24"/>
              </w:rPr>
              <w:t>指标名称</w:t>
            </w:r>
          </w:p>
        </w:tc>
        <w:tc>
          <w:tcPr>
            <w:tcW w:w="1587" w:type="dxa"/>
            <w:vAlign w:val="center"/>
          </w:tcPr>
          <w:p>
            <w:pPr>
              <w:spacing w:line="300" w:lineRule="exact"/>
              <w:jc w:val="center"/>
              <w:rPr>
                <w:rFonts w:ascii="黑体" w:hAnsi="仿宋" w:eastAsia="黑体"/>
                <w:bCs/>
                <w:sz w:val="24"/>
                <w:szCs w:val="24"/>
              </w:rPr>
            </w:pPr>
            <w:r>
              <w:rPr>
                <w:rFonts w:hint="eastAsia" w:ascii="黑体" w:hAnsi="仿宋" w:eastAsia="黑体"/>
                <w:bCs/>
                <w:sz w:val="24"/>
                <w:szCs w:val="24"/>
              </w:rPr>
              <w:t>规划目标</w:t>
            </w:r>
          </w:p>
        </w:tc>
        <w:tc>
          <w:tcPr>
            <w:tcW w:w="1455" w:type="dxa"/>
            <w:vAlign w:val="center"/>
          </w:tcPr>
          <w:p>
            <w:pPr>
              <w:spacing w:line="300" w:lineRule="exact"/>
              <w:jc w:val="center"/>
              <w:rPr>
                <w:rFonts w:ascii="黑体" w:hAnsi="仿宋" w:eastAsia="黑体"/>
                <w:bCs/>
                <w:sz w:val="24"/>
                <w:szCs w:val="24"/>
              </w:rPr>
            </w:pPr>
            <w:r>
              <w:rPr>
                <w:rFonts w:hint="eastAsia" w:ascii="黑体" w:hAnsi="仿宋" w:eastAsia="黑体"/>
                <w:bCs/>
                <w:sz w:val="24"/>
                <w:szCs w:val="24"/>
              </w:rPr>
              <w:t>实际完成</w:t>
            </w:r>
          </w:p>
        </w:tc>
        <w:tc>
          <w:tcPr>
            <w:tcW w:w="1009" w:type="dxa"/>
            <w:vAlign w:val="center"/>
          </w:tcPr>
          <w:p>
            <w:pPr>
              <w:spacing w:line="300" w:lineRule="exact"/>
              <w:jc w:val="center"/>
              <w:rPr>
                <w:rFonts w:ascii="黑体" w:hAnsi="仿宋" w:eastAsia="黑体"/>
                <w:bCs/>
                <w:sz w:val="24"/>
                <w:szCs w:val="24"/>
              </w:rPr>
            </w:pPr>
            <w:r>
              <w:rPr>
                <w:rFonts w:hint="eastAsia" w:ascii="黑体" w:hAnsi="仿宋" w:eastAsia="黑体"/>
                <w:bCs/>
                <w:sz w:val="24"/>
                <w:szCs w:val="24"/>
              </w:rPr>
              <w:t>年均增速</w:t>
            </w:r>
            <w:r>
              <w:rPr>
                <w:rFonts w:ascii="黑体" w:hAnsi="仿宋" w:eastAsia="黑体"/>
                <w:bCs/>
                <w:sz w:val="24"/>
                <w:szCs w:val="24"/>
              </w:rPr>
              <w:t>(%)</w:t>
            </w:r>
          </w:p>
        </w:tc>
        <w:tc>
          <w:tcPr>
            <w:tcW w:w="947" w:type="dxa"/>
            <w:vAlign w:val="center"/>
          </w:tcPr>
          <w:p>
            <w:pPr>
              <w:spacing w:line="300" w:lineRule="exact"/>
              <w:jc w:val="center"/>
              <w:rPr>
                <w:rFonts w:ascii="黑体" w:hAnsi="仿宋" w:eastAsia="黑体"/>
                <w:bCs/>
                <w:sz w:val="24"/>
                <w:szCs w:val="24"/>
              </w:rPr>
            </w:pPr>
            <w:r>
              <w:rPr>
                <w:rFonts w:hint="eastAsia" w:ascii="黑体" w:hAnsi="仿宋" w:eastAsia="黑体"/>
                <w:bCs/>
                <w:sz w:val="24"/>
                <w:szCs w:val="24"/>
              </w:rPr>
              <w:t>指标</w:t>
            </w:r>
          </w:p>
          <w:p>
            <w:pPr>
              <w:spacing w:line="300" w:lineRule="exact"/>
              <w:jc w:val="center"/>
              <w:rPr>
                <w:rFonts w:ascii="黑体" w:hAnsi="仿宋" w:eastAsia="黑体"/>
                <w:bCs/>
                <w:sz w:val="24"/>
                <w:szCs w:val="24"/>
              </w:rPr>
            </w:pPr>
            <w:r>
              <w:rPr>
                <w:rFonts w:hint="eastAsia" w:ascii="黑体" w:hAnsi="仿宋" w:eastAsia="黑体"/>
                <w:bCs/>
                <w:sz w:val="24"/>
                <w:szCs w:val="24"/>
              </w:rPr>
              <w:t>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9440" w:type="dxa"/>
            <w:gridSpan w:val="5"/>
            <w:vAlign w:val="center"/>
          </w:tcPr>
          <w:p>
            <w:pPr>
              <w:spacing w:line="400" w:lineRule="exact"/>
              <w:jc w:val="center"/>
              <w:rPr>
                <w:rFonts w:ascii="仿宋_GB2312" w:hAnsi="仿宋" w:eastAsia="仿宋_GB2312"/>
                <w:b/>
                <w:bCs/>
                <w:sz w:val="24"/>
                <w:szCs w:val="24"/>
              </w:rPr>
            </w:pPr>
            <w:r>
              <w:rPr>
                <w:rFonts w:hint="eastAsia" w:ascii="仿宋_GB2312" w:hAnsi="仿宋" w:eastAsia="仿宋_GB2312"/>
                <w:b/>
                <w:bCs/>
                <w:sz w:val="24"/>
                <w:szCs w:val="24"/>
              </w:rPr>
              <w:t>经济总量（</w:t>
            </w:r>
            <w:r>
              <w:rPr>
                <w:rFonts w:ascii="仿宋_GB2312" w:hAnsi="仿宋" w:eastAsia="仿宋_GB2312"/>
                <w:b/>
                <w:bCs/>
                <w:sz w:val="24"/>
                <w:szCs w:val="24"/>
              </w:rPr>
              <w:t>3</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地区生产总值（亿元）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210</w:t>
            </w:r>
            <w:r>
              <w:rPr>
                <w:rFonts w:hint="eastAsia" w:ascii="仿宋_GB2312" w:hAnsi="仿宋" w:eastAsia="仿宋_GB2312"/>
                <w:sz w:val="24"/>
                <w:szCs w:val="24"/>
              </w:rPr>
              <w:t>（</w:t>
            </w:r>
            <w:r>
              <w:rPr>
                <w:rFonts w:ascii="仿宋_GB2312" w:hAnsi="仿宋" w:eastAsia="仿宋_GB2312"/>
                <w:sz w:val="24"/>
                <w:szCs w:val="24"/>
              </w:rPr>
              <w:t>6%</w:t>
            </w:r>
            <w:r>
              <w:rPr>
                <w:rFonts w:hint="eastAsia" w:ascii="仿宋_GB2312" w:hAnsi="仿宋" w:eastAsia="仿宋_GB2312"/>
                <w:sz w:val="24"/>
                <w:szCs w:val="24"/>
              </w:rPr>
              <w:t>）</w:t>
            </w:r>
            <w:r>
              <w:rPr>
                <w:rFonts w:ascii="仿宋_GB2312" w:hAnsi="仿宋" w:eastAsia="仿宋_GB2312"/>
                <w:sz w:val="24"/>
                <w:szCs w:val="24"/>
              </w:rPr>
              <w:t>*</w:t>
            </w:r>
          </w:p>
        </w:tc>
        <w:tc>
          <w:tcPr>
            <w:tcW w:w="1455" w:type="dxa"/>
            <w:vAlign w:val="center"/>
          </w:tcPr>
          <w:p>
            <w:pPr>
              <w:spacing w:line="400" w:lineRule="exact"/>
              <w:jc w:val="center"/>
              <w:rPr>
                <w:rFonts w:ascii="仿宋_GB2312" w:hAnsi="仿宋" w:eastAsia="仿宋_GB2312"/>
                <w:color w:val="000000" w:themeColor="text1"/>
                <w:sz w:val="24"/>
                <w:szCs w:val="24"/>
              </w:rPr>
            </w:pPr>
            <w:r>
              <w:rPr>
                <w:rFonts w:hint="eastAsia" w:ascii="仿宋_GB2312" w:hAnsi="仿宋" w:eastAsia="仿宋_GB2312"/>
                <w:color w:val="000000" w:themeColor="text1"/>
                <w:sz w:val="24"/>
                <w:szCs w:val="24"/>
              </w:rPr>
              <w:t>211.4</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6</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人均地区生产总值（元）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43300(6.5%)*</w:t>
            </w:r>
          </w:p>
        </w:tc>
        <w:tc>
          <w:tcPr>
            <w:tcW w:w="1455" w:type="dxa"/>
            <w:vAlign w:val="center"/>
          </w:tcPr>
          <w:p>
            <w:pPr>
              <w:spacing w:line="400" w:lineRule="exact"/>
              <w:jc w:val="center"/>
              <w:rPr>
                <w:rFonts w:ascii="仿宋_GB2312" w:hAnsi="仿宋" w:eastAsia="仿宋_GB2312"/>
                <w:color w:val="000000" w:themeColor="text1"/>
                <w:sz w:val="24"/>
                <w:szCs w:val="24"/>
              </w:rPr>
            </w:pPr>
            <w:r>
              <w:rPr>
                <w:rFonts w:hint="eastAsia" w:ascii="仿宋_GB2312" w:hAnsi="仿宋" w:eastAsia="仿宋_GB2312"/>
                <w:color w:val="000000" w:themeColor="text1"/>
                <w:sz w:val="24"/>
                <w:szCs w:val="24"/>
              </w:rPr>
              <w:t>42950</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6.5</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一般公共预算收入（亿元）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18*</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18</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6.3</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9440" w:type="dxa"/>
            <w:gridSpan w:val="5"/>
            <w:vAlign w:val="center"/>
          </w:tcPr>
          <w:p>
            <w:pPr>
              <w:spacing w:line="400" w:lineRule="exact"/>
              <w:jc w:val="center"/>
              <w:rPr>
                <w:rFonts w:ascii="仿宋_GB2312" w:hAnsi="仿宋" w:eastAsia="仿宋_GB2312"/>
                <w:sz w:val="24"/>
                <w:szCs w:val="24"/>
              </w:rPr>
            </w:pPr>
            <w:r>
              <w:rPr>
                <w:rFonts w:hint="eastAsia" w:ascii="仿宋_GB2312" w:hAnsi="仿宋" w:eastAsia="仿宋_GB2312"/>
                <w:b/>
                <w:bCs/>
                <w:sz w:val="24"/>
                <w:szCs w:val="24"/>
              </w:rPr>
              <w:t>创新发展（</w:t>
            </w:r>
            <w:r>
              <w:rPr>
                <w:rFonts w:ascii="仿宋_GB2312" w:hAnsi="仿宋" w:eastAsia="仿宋_GB2312"/>
                <w:b/>
                <w:bCs/>
                <w:sz w:val="24"/>
                <w:szCs w:val="24"/>
              </w:rPr>
              <w:t>11</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研究与试验发展经费支出占</w:t>
            </w:r>
            <w:r>
              <w:rPr>
                <w:rFonts w:ascii="仿宋_GB2312" w:hAnsi="仿宋" w:eastAsia="仿宋_GB2312"/>
                <w:sz w:val="24"/>
                <w:szCs w:val="24"/>
              </w:rPr>
              <w:t>GDP</w:t>
            </w:r>
            <w:r>
              <w:rPr>
                <w:rFonts w:hint="eastAsia" w:ascii="仿宋_GB2312" w:hAnsi="仿宋" w:eastAsia="仿宋_GB2312"/>
                <w:sz w:val="24"/>
                <w:szCs w:val="24"/>
              </w:rPr>
              <w:t>比重（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2</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color w:val="000000" w:themeColor="text1"/>
                <w:sz w:val="24"/>
                <w:szCs w:val="24"/>
              </w:rPr>
              <w:t>1.5</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战新产业产值占规上工业产值比重（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39.1</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民营经济增加值占地区生产总值比重（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70</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70</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高新技术企业数（个）</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15</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24</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每百万人口发明专利拥有量（件）</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435</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447</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全员劳动生产率（元</w:t>
            </w:r>
            <w:r>
              <w:rPr>
                <w:rFonts w:ascii="仿宋_GB2312" w:hAnsi="仿宋" w:eastAsia="仿宋_GB2312"/>
                <w:sz w:val="24"/>
                <w:szCs w:val="24"/>
              </w:rPr>
              <w:t>/</w:t>
            </w:r>
            <w:r>
              <w:rPr>
                <w:rFonts w:hint="eastAsia" w:ascii="仿宋_GB2312" w:hAnsi="仿宋" w:eastAsia="仿宋_GB2312"/>
                <w:sz w:val="24"/>
                <w:szCs w:val="24"/>
              </w:rPr>
              <w:t>人）</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56400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color w:val="000000" w:themeColor="text1"/>
                <w:sz w:val="24"/>
                <w:szCs w:val="24"/>
              </w:rPr>
              <w:t>56428</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规上工业增加值（亿元）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80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不公布</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7.2</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投资效果系数（当年价）</w:t>
            </w:r>
          </w:p>
        </w:tc>
        <w:tc>
          <w:tcPr>
            <w:tcW w:w="158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保持</w:t>
            </w:r>
            <w:r>
              <w:rPr>
                <w:rFonts w:ascii="仿宋_GB2312" w:hAnsi="仿宋" w:eastAsia="仿宋_GB2312"/>
                <w:sz w:val="24"/>
                <w:szCs w:val="24"/>
              </w:rPr>
              <w:t>9%</w:t>
            </w:r>
            <w:r>
              <w:rPr>
                <w:rFonts w:hint="eastAsia" w:ascii="仿宋_GB2312" w:hAnsi="仿宋" w:eastAsia="仿宋_GB2312"/>
                <w:sz w:val="24"/>
                <w:szCs w:val="24"/>
              </w:rPr>
              <w:t>左右</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9%</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全社会固定资产投资（亿元）</w:t>
            </w:r>
          </w:p>
        </w:tc>
        <w:tc>
          <w:tcPr>
            <w:tcW w:w="1587" w:type="dxa"/>
            <w:vAlign w:val="center"/>
          </w:tcPr>
          <w:p>
            <w:pPr>
              <w:spacing w:line="300" w:lineRule="exact"/>
              <w:jc w:val="center"/>
              <w:rPr>
                <w:rFonts w:ascii="仿宋_GB2312" w:hAnsi="仿宋" w:eastAsia="仿宋_GB2312"/>
                <w:sz w:val="24"/>
                <w:szCs w:val="24"/>
              </w:rPr>
            </w:pPr>
            <w:r>
              <w:rPr>
                <w:rFonts w:ascii="仿宋_GB2312" w:hAnsi="仿宋" w:eastAsia="仿宋_GB2312"/>
                <w:sz w:val="24"/>
                <w:szCs w:val="24"/>
              </w:rPr>
              <w:t>200(</w:t>
            </w:r>
            <w:r>
              <w:rPr>
                <w:rFonts w:hint="eastAsia" w:ascii="仿宋_GB2312" w:hAnsi="仿宋" w:eastAsia="仿宋_GB2312"/>
                <w:sz w:val="24"/>
                <w:szCs w:val="24"/>
              </w:rPr>
              <w:t>年均增长</w:t>
            </w:r>
            <w:r>
              <w:rPr>
                <w:rFonts w:ascii="仿宋_GB2312" w:hAnsi="仿宋" w:eastAsia="仿宋_GB2312"/>
                <w:sz w:val="24"/>
                <w:szCs w:val="24"/>
              </w:rPr>
              <w:t>10%)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不公布</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12</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旅游业总收入（亿元）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116</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117.9</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10.3</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全县社会消费品零售总额（亿元）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58.8</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88.7</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440" w:type="dxa"/>
            <w:gridSpan w:val="5"/>
            <w:vAlign w:val="center"/>
          </w:tcPr>
          <w:p>
            <w:pPr>
              <w:spacing w:line="400" w:lineRule="exact"/>
              <w:jc w:val="center"/>
              <w:rPr>
                <w:rFonts w:ascii="仿宋_GB2312" w:hAnsi="仿宋" w:eastAsia="仿宋_GB2312"/>
                <w:sz w:val="24"/>
                <w:szCs w:val="24"/>
              </w:rPr>
            </w:pPr>
            <w:r>
              <w:rPr>
                <w:rFonts w:hint="eastAsia" w:ascii="仿宋_GB2312" w:hAnsi="仿宋" w:eastAsia="仿宋_GB2312"/>
                <w:b/>
                <w:bCs/>
                <w:sz w:val="24"/>
                <w:szCs w:val="24"/>
              </w:rPr>
              <w:t>协调发展（</w:t>
            </w:r>
            <w:r>
              <w:rPr>
                <w:rFonts w:ascii="仿宋_GB2312" w:hAnsi="仿宋" w:eastAsia="仿宋_GB2312"/>
                <w:b/>
                <w:bCs/>
                <w:sz w:val="24"/>
                <w:szCs w:val="24"/>
              </w:rPr>
              <w:t>5</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户籍人口城镇化率（</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力争</w:t>
            </w:r>
            <w:r>
              <w:rPr>
                <w:rFonts w:ascii="仿宋_GB2312" w:hAnsi="仿宋" w:eastAsia="仿宋_GB2312"/>
                <w:sz w:val="24"/>
                <w:szCs w:val="24"/>
              </w:rPr>
              <w:t>25</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36.44</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eastAsia="仿宋_GB2312"/>
              </w:rPr>
            </w:pPr>
            <w:r>
              <w:rPr>
                <w:rFonts w:hint="eastAsia" w:ascii="仿宋_GB2312" w:hAnsi="仿宋" w:eastAsia="仿宋_GB2312"/>
                <w:sz w:val="24"/>
                <w:szCs w:val="24"/>
              </w:rPr>
              <w:t>常住人口城镇化率（</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50 *</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50</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三次产业结构</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16:52:32</w:t>
            </w:r>
          </w:p>
        </w:tc>
        <w:tc>
          <w:tcPr>
            <w:tcW w:w="1455" w:type="dxa"/>
            <w:vAlign w:val="center"/>
          </w:tcPr>
          <w:p>
            <w:pPr>
              <w:spacing w:line="400" w:lineRule="exact"/>
              <w:jc w:val="center"/>
              <w:rPr>
                <w:rFonts w:ascii="仿宋_GB2312" w:hAnsi="仿宋" w:eastAsia="仿宋_GB2312"/>
                <w:color w:val="000000" w:themeColor="text1"/>
                <w:sz w:val="24"/>
                <w:szCs w:val="24"/>
              </w:rPr>
            </w:pPr>
            <w:r>
              <w:rPr>
                <w:rFonts w:hint="eastAsia" w:ascii="仿宋_GB2312" w:hAnsi="仿宋" w:eastAsia="仿宋_GB2312"/>
                <w:color w:val="000000" w:themeColor="text1"/>
                <w:sz w:val="24"/>
                <w:szCs w:val="24"/>
              </w:rPr>
              <w:t>16：42：42</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制造业增加值占地区生产总值比重（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40</w:t>
            </w:r>
          </w:p>
        </w:tc>
        <w:tc>
          <w:tcPr>
            <w:tcW w:w="1455" w:type="dxa"/>
            <w:vAlign w:val="center"/>
          </w:tcPr>
          <w:p>
            <w:pPr>
              <w:spacing w:line="400" w:lineRule="exact"/>
              <w:jc w:val="center"/>
              <w:rPr>
                <w:rFonts w:ascii="仿宋_GB2312" w:hAnsi="仿宋" w:eastAsia="仿宋_GB2312"/>
                <w:color w:val="000000" w:themeColor="text1"/>
                <w:sz w:val="24"/>
                <w:szCs w:val="24"/>
              </w:rPr>
            </w:pPr>
            <w:r>
              <w:rPr>
                <w:rFonts w:hint="eastAsia" w:ascii="仿宋_GB2312" w:hAnsi="仿宋" w:eastAsia="仿宋_GB2312"/>
                <w:color w:val="000000" w:themeColor="text1"/>
                <w:sz w:val="24"/>
                <w:szCs w:val="24"/>
              </w:rPr>
              <w:t>31</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服务业增加值占地区生产总值比重（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40</w:t>
            </w:r>
          </w:p>
        </w:tc>
        <w:tc>
          <w:tcPr>
            <w:tcW w:w="1455" w:type="dxa"/>
            <w:vAlign w:val="center"/>
          </w:tcPr>
          <w:p>
            <w:pPr>
              <w:spacing w:line="400" w:lineRule="exact"/>
              <w:jc w:val="center"/>
              <w:rPr>
                <w:rFonts w:ascii="仿宋_GB2312" w:hAnsi="仿宋" w:eastAsia="仿宋_GB2312"/>
                <w:color w:val="000000" w:themeColor="text1"/>
                <w:sz w:val="24"/>
                <w:szCs w:val="24"/>
              </w:rPr>
            </w:pPr>
            <w:r>
              <w:rPr>
                <w:rFonts w:ascii="仿宋_GB2312" w:hAnsi="仿宋" w:eastAsia="仿宋_GB2312"/>
                <w:color w:val="000000" w:themeColor="text1"/>
                <w:sz w:val="24"/>
                <w:szCs w:val="24"/>
              </w:rPr>
              <w:t>4</w:t>
            </w:r>
            <w:r>
              <w:rPr>
                <w:rFonts w:hint="eastAsia" w:ascii="仿宋_GB2312" w:hAnsi="仿宋" w:eastAsia="仿宋_GB2312"/>
                <w:color w:val="000000" w:themeColor="text1"/>
                <w:sz w:val="24"/>
                <w:szCs w:val="24"/>
              </w:rPr>
              <w:t>2</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9440" w:type="dxa"/>
            <w:gridSpan w:val="5"/>
            <w:vAlign w:val="center"/>
          </w:tcPr>
          <w:p>
            <w:pPr>
              <w:spacing w:line="400" w:lineRule="exact"/>
              <w:jc w:val="center"/>
              <w:rPr>
                <w:rFonts w:ascii="仿宋_GB2312" w:hAnsi="仿宋" w:eastAsia="仿宋_GB2312"/>
                <w:sz w:val="24"/>
                <w:szCs w:val="24"/>
              </w:rPr>
            </w:pPr>
            <w:r>
              <w:rPr>
                <w:rFonts w:hint="eastAsia" w:ascii="仿宋_GB2312" w:hAnsi="仿宋" w:eastAsia="仿宋_GB2312"/>
                <w:b/>
                <w:bCs/>
                <w:sz w:val="24"/>
                <w:szCs w:val="24"/>
              </w:rPr>
              <w:t>绿色发展（</w:t>
            </w:r>
            <w:r>
              <w:rPr>
                <w:rFonts w:ascii="仿宋_GB2312" w:hAnsi="仿宋" w:eastAsia="仿宋_GB2312"/>
                <w:b/>
                <w:bCs/>
                <w:sz w:val="24"/>
                <w:szCs w:val="24"/>
              </w:rPr>
              <w:t>5</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节能减排</w:t>
            </w:r>
          </w:p>
        </w:tc>
        <w:tc>
          <w:tcPr>
            <w:tcW w:w="158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完成市控目标</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完成市控目标</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集中式饮用水水源水质达标率（</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100</w:t>
            </w:r>
          </w:p>
        </w:tc>
        <w:tc>
          <w:tcPr>
            <w:tcW w:w="1455" w:type="dxa"/>
            <w:tcBorders>
              <w:bottom w:val="single" w:color="000000" w:sz="4" w:space="0"/>
              <w:right w:val="single" w:color="000000" w:sz="4" w:space="0"/>
            </w:tcBorders>
            <w:vAlign w:val="center"/>
          </w:tcPr>
          <w:p>
            <w:pPr>
              <w:widowControl/>
              <w:spacing w:line="400" w:lineRule="exact"/>
              <w:jc w:val="center"/>
              <w:rPr>
                <w:rFonts w:ascii="仿宋_GB2312" w:hAnsi="仿宋" w:eastAsia="仿宋_GB2312"/>
                <w:sz w:val="24"/>
                <w:szCs w:val="24"/>
              </w:rPr>
            </w:pPr>
            <w:r>
              <w:rPr>
                <w:rFonts w:ascii="仿宋_GB2312" w:hAnsi="仿宋" w:eastAsia="仿宋_GB2312"/>
                <w:sz w:val="24"/>
                <w:szCs w:val="24"/>
              </w:rPr>
              <w:t>100</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森林覆盖率（</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58.3</w:t>
            </w:r>
          </w:p>
        </w:tc>
        <w:tc>
          <w:tcPr>
            <w:tcW w:w="1455" w:type="dxa"/>
            <w:tcBorders>
              <w:bottom w:val="single" w:color="000000" w:sz="4" w:space="0"/>
              <w:right w:val="single" w:color="000000" w:sz="4" w:space="0"/>
            </w:tcBorders>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58.3</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耕地保有量（万公顷）</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5.13</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5.92</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万元工业增加值用水量下降（</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完成市控目标</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完成市控</w:t>
            </w:r>
          </w:p>
          <w:p>
            <w:pPr>
              <w:spacing w:line="400" w:lineRule="exact"/>
              <w:jc w:val="center"/>
              <w:rPr>
                <w:rFonts w:ascii="仿宋_GB2312" w:hAnsi="仿宋" w:eastAsia="仿宋_GB2312"/>
                <w:sz w:val="24"/>
                <w:szCs w:val="24"/>
              </w:rPr>
            </w:pPr>
            <w:r>
              <w:rPr>
                <w:rFonts w:hint="eastAsia" w:ascii="仿宋_GB2312" w:hAnsi="仿宋" w:eastAsia="仿宋_GB2312"/>
                <w:sz w:val="24"/>
                <w:szCs w:val="24"/>
              </w:rPr>
              <w:t>目标</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jc w:val="center"/>
        </w:trPr>
        <w:tc>
          <w:tcPr>
            <w:tcW w:w="9440" w:type="dxa"/>
            <w:gridSpan w:val="5"/>
            <w:vAlign w:val="center"/>
          </w:tcPr>
          <w:p>
            <w:pPr>
              <w:spacing w:line="400" w:lineRule="exact"/>
              <w:jc w:val="center"/>
              <w:rPr>
                <w:rFonts w:ascii="仿宋_GB2312" w:hAnsi="仿宋" w:eastAsia="仿宋_GB2312"/>
                <w:sz w:val="24"/>
                <w:szCs w:val="24"/>
              </w:rPr>
            </w:pPr>
            <w:r>
              <w:rPr>
                <w:rFonts w:hint="eastAsia" w:ascii="仿宋_GB2312" w:hAnsi="仿宋" w:eastAsia="仿宋_GB2312"/>
                <w:b/>
                <w:bCs/>
                <w:sz w:val="24"/>
                <w:szCs w:val="24"/>
              </w:rPr>
              <w:t>开放发展（</w:t>
            </w:r>
            <w:r>
              <w:rPr>
                <w:rFonts w:ascii="仿宋_GB2312" w:hAnsi="仿宋" w:eastAsia="仿宋_GB2312"/>
                <w:b/>
                <w:bCs/>
                <w:sz w:val="24"/>
                <w:szCs w:val="24"/>
              </w:rPr>
              <w:t>3</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实际利用省外资金（亿元）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400</w:t>
            </w:r>
            <w:r>
              <w:rPr>
                <w:rFonts w:hint="eastAsia" w:ascii="仿宋_GB2312" w:hAnsi="仿宋" w:eastAsia="仿宋_GB2312"/>
                <w:sz w:val="24"/>
                <w:szCs w:val="24"/>
              </w:rPr>
              <w:t>（累计）</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502</w:t>
            </w:r>
            <w:r>
              <w:rPr>
                <w:rFonts w:hint="eastAsia" w:ascii="仿宋_GB2312" w:hAnsi="仿宋" w:eastAsia="仿宋_GB2312"/>
                <w:sz w:val="24"/>
                <w:szCs w:val="24"/>
              </w:rPr>
              <w:t>（累计）</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10</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外商直接投资（亿美元）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w:t>
            </w:r>
            <w:r>
              <w:rPr>
                <w:rFonts w:hint="eastAsia" w:ascii="仿宋_GB2312" w:hAnsi="仿宋" w:eastAsia="仿宋_GB2312"/>
                <w:sz w:val="24"/>
                <w:szCs w:val="24"/>
              </w:rPr>
              <w:t>（累计）</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w:t>
            </w:r>
            <w:r>
              <w:rPr>
                <w:rFonts w:hint="eastAsia" w:ascii="仿宋_GB2312" w:hAnsi="仿宋" w:eastAsia="仿宋_GB2312"/>
                <w:sz w:val="24"/>
                <w:szCs w:val="24"/>
              </w:rPr>
              <w:t>（累计）</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10</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外贸进出口（亿美元）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2</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1.2</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440" w:type="dxa"/>
            <w:gridSpan w:val="5"/>
            <w:vAlign w:val="center"/>
          </w:tcPr>
          <w:p>
            <w:pPr>
              <w:spacing w:line="360" w:lineRule="exact"/>
              <w:jc w:val="center"/>
              <w:rPr>
                <w:rFonts w:ascii="仿宋_GB2312" w:hAnsi="仿宋" w:eastAsia="仿宋_GB2312"/>
                <w:sz w:val="24"/>
                <w:szCs w:val="24"/>
              </w:rPr>
            </w:pPr>
            <w:r>
              <w:rPr>
                <w:rFonts w:hint="eastAsia" w:ascii="仿宋_GB2312" w:hAnsi="仿宋" w:eastAsia="仿宋_GB2312"/>
                <w:b/>
                <w:bCs/>
                <w:sz w:val="24"/>
                <w:szCs w:val="24"/>
              </w:rPr>
              <w:t>共享发展（</w:t>
            </w:r>
            <w:r>
              <w:rPr>
                <w:rFonts w:ascii="仿宋_GB2312" w:hAnsi="仿宋" w:eastAsia="仿宋_GB2312"/>
                <w:b/>
                <w:bCs/>
                <w:sz w:val="24"/>
                <w:szCs w:val="24"/>
              </w:rPr>
              <w:t>7</w:t>
            </w:r>
            <w:r>
              <w:rPr>
                <w:rFonts w:hint="eastAsia" w:ascii="仿宋_GB2312" w:hAnsi="仿宋" w:eastAsia="仿宋_GB2312"/>
                <w:b/>
                <w:bCs/>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年末总人口（万人）</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58</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55</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城镇</w:t>
            </w:r>
            <w:r>
              <w:rPr>
                <w:rFonts w:ascii="仿宋_GB2312" w:hAnsi="仿宋" w:eastAsia="仿宋_GB2312"/>
                <w:sz w:val="24"/>
                <w:szCs w:val="24"/>
              </w:rPr>
              <w:t>/</w:t>
            </w:r>
            <w:r>
              <w:rPr>
                <w:rFonts w:hint="eastAsia" w:ascii="仿宋_GB2312" w:hAnsi="仿宋" w:eastAsia="仿宋_GB2312"/>
                <w:sz w:val="24"/>
                <w:szCs w:val="24"/>
              </w:rPr>
              <w:t>农村常住居民人均可支配收入</w:t>
            </w:r>
            <w:r>
              <w:rPr>
                <w:rFonts w:ascii="仿宋_GB2312" w:hAnsi="仿宋" w:eastAsia="仿宋_GB2312"/>
                <w:sz w:val="24"/>
                <w:szCs w:val="24"/>
              </w:rPr>
              <w:t>(</w:t>
            </w:r>
            <w:r>
              <w:rPr>
                <w:rFonts w:hint="eastAsia" w:ascii="仿宋_GB2312" w:hAnsi="仿宋" w:eastAsia="仿宋_GB2312"/>
                <w:sz w:val="24"/>
                <w:szCs w:val="24"/>
              </w:rPr>
              <w:t>元）</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35200/18600</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color w:val="000000" w:themeColor="text1"/>
                <w:sz w:val="24"/>
                <w:szCs w:val="24"/>
              </w:rPr>
              <w:t>3</w:t>
            </w:r>
            <w:r>
              <w:rPr>
                <w:rFonts w:hint="eastAsia" w:ascii="仿宋_GB2312" w:hAnsi="仿宋" w:eastAsia="仿宋_GB2312"/>
                <w:color w:val="000000" w:themeColor="text1"/>
                <w:sz w:val="24"/>
                <w:szCs w:val="24"/>
              </w:rPr>
              <w:t>3922</w:t>
            </w:r>
            <w:r>
              <w:rPr>
                <w:rFonts w:ascii="仿宋_GB2312" w:hAnsi="仿宋" w:eastAsia="仿宋_GB2312"/>
                <w:color w:val="000000" w:themeColor="text1"/>
                <w:sz w:val="24"/>
                <w:szCs w:val="24"/>
              </w:rPr>
              <w:t>/1</w:t>
            </w:r>
            <w:r>
              <w:rPr>
                <w:rFonts w:hint="eastAsia" w:ascii="仿宋_GB2312" w:hAnsi="仿宋" w:eastAsia="仿宋_GB2312"/>
                <w:color w:val="000000" w:themeColor="text1"/>
                <w:sz w:val="24"/>
                <w:szCs w:val="24"/>
              </w:rPr>
              <w:t>7394</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城镇调查失业率（</w:t>
            </w:r>
            <w:r>
              <w:rPr>
                <w:rFonts w:ascii="仿宋_GB2312" w:hAnsi="仿宋" w:eastAsia="仿宋_GB2312"/>
                <w:sz w:val="24"/>
                <w:szCs w:val="24"/>
              </w:rPr>
              <w:t>%</w:t>
            </w:r>
            <w:r>
              <w:rPr>
                <w:rFonts w:hint="eastAsia" w:ascii="仿宋_GB2312" w:hAnsi="仿宋" w:eastAsia="仿宋_GB2312"/>
                <w:sz w:val="24"/>
                <w:szCs w:val="24"/>
              </w:rPr>
              <w:t>）</w:t>
            </w:r>
          </w:p>
        </w:tc>
        <w:tc>
          <w:tcPr>
            <w:tcW w:w="158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w:t>
            </w:r>
            <w:r>
              <w:rPr>
                <w:rFonts w:ascii="仿宋_GB2312" w:hAnsi="仿宋" w:eastAsia="仿宋_GB2312"/>
                <w:sz w:val="24"/>
                <w:szCs w:val="24"/>
              </w:rPr>
              <w:t>3</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w:t>
            </w:r>
            <w:r>
              <w:rPr>
                <w:rFonts w:ascii="仿宋_GB2312" w:hAnsi="仿宋" w:eastAsia="仿宋_GB2312"/>
                <w:sz w:val="24"/>
                <w:szCs w:val="24"/>
              </w:rPr>
              <w:t>3</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基本养老保险参保人数（人）</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28000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应保尽保</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基本医疗保险参保人数（人）</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40000</w:t>
            </w:r>
          </w:p>
        </w:tc>
        <w:tc>
          <w:tcPr>
            <w:tcW w:w="1455"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应保尽保</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每千名老人拥有养老床位数（张）</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45</w:t>
            </w:r>
          </w:p>
        </w:tc>
        <w:tc>
          <w:tcPr>
            <w:tcW w:w="1455"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45</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4442" w:type="dxa"/>
            <w:vAlign w:val="center"/>
          </w:tcPr>
          <w:p>
            <w:pPr>
              <w:spacing w:line="400" w:lineRule="exact"/>
              <w:jc w:val="left"/>
              <w:rPr>
                <w:rFonts w:ascii="仿宋_GB2312" w:hAnsi="仿宋" w:eastAsia="仿宋_GB2312"/>
                <w:sz w:val="24"/>
                <w:szCs w:val="24"/>
              </w:rPr>
            </w:pPr>
            <w:r>
              <w:rPr>
                <w:rFonts w:hint="eastAsia" w:ascii="仿宋_GB2312" w:hAnsi="仿宋" w:eastAsia="仿宋_GB2312"/>
                <w:sz w:val="24"/>
                <w:szCs w:val="24"/>
              </w:rPr>
              <w:t>减贫人口（人）</w:t>
            </w:r>
          </w:p>
        </w:tc>
        <w:tc>
          <w:tcPr>
            <w:tcW w:w="1587"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31388</w:t>
            </w:r>
          </w:p>
        </w:tc>
        <w:tc>
          <w:tcPr>
            <w:tcW w:w="1455" w:type="dxa"/>
            <w:vAlign w:val="center"/>
          </w:tcPr>
          <w:p>
            <w:pPr>
              <w:pStyle w:val="7"/>
              <w:spacing w:line="400" w:lineRule="exact"/>
              <w:jc w:val="center"/>
              <w:rPr>
                <w:rFonts w:ascii="仿宋_GB2312" w:eastAsia="仿宋_GB2312"/>
              </w:rPr>
            </w:pPr>
            <w:r>
              <w:rPr>
                <w:rFonts w:hint="eastAsia" w:ascii="仿宋_GB2312" w:hAnsi="仿宋" w:eastAsia="仿宋_GB2312"/>
                <w:sz w:val="24"/>
                <w:szCs w:val="24"/>
              </w:rPr>
              <w:t>现行标准贫困人口全部脱贫</w:t>
            </w:r>
          </w:p>
        </w:tc>
        <w:tc>
          <w:tcPr>
            <w:tcW w:w="1009" w:type="dxa"/>
            <w:vAlign w:val="center"/>
          </w:tcPr>
          <w:p>
            <w:pPr>
              <w:spacing w:line="400" w:lineRule="exact"/>
              <w:jc w:val="center"/>
              <w:rPr>
                <w:rFonts w:ascii="仿宋_GB2312" w:hAnsi="仿宋" w:eastAsia="仿宋_GB2312"/>
                <w:sz w:val="24"/>
                <w:szCs w:val="24"/>
              </w:rPr>
            </w:pPr>
            <w:r>
              <w:rPr>
                <w:rFonts w:ascii="仿宋_GB2312" w:hAnsi="仿宋" w:eastAsia="仿宋_GB2312"/>
                <w:sz w:val="24"/>
                <w:szCs w:val="24"/>
              </w:rPr>
              <w:t>/</w:t>
            </w:r>
          </w:p>
        </w:tc>
        <w:tc>
          <w:tcPr>
            <w:tcW w:w="947" w:type="dxa"/>
            <w:vAlign w:val="center"/>
          </w:tcPr>
          <w:p>
            <w:pPr>
              <w:spacing w:line="400" w:lineRule="exact"/>
              <w:jc w:val="center"/>
              <w:rPr>
                <w:rFonts w:ascii="仿宋_GB2312" w:hAnsi="仿宋" w:eastAsia="仿宋_GB2312"/>
                <w:sz w:val="24"/>
                <w:szCs w:val="24"/>
              </w:rPr>
            </w:pPr>
            <w:r>
              <w:rPr>
                <w:rFonts w:hint="eastAsia" w:ascii="仿宋_GB2312" w:hAnsi="仿宋" w:eastAsia="仿宋_GB2312"/>
                <w:sz w:val="24"/>
                <w:szCs w:val="24"/>
              </w:rPr>
              <w:t>约束性</w:t>
            </w:r>
          </w:p>
        </w:tc>
      </w:tr>
    </w:tbl>
    <w:p>
      <w:pPr>
        <w:spacing w:line="600" w:lineRule="exact"/>
        <w:ind w:right="-334" w:rightChars="-159"/>
        <w:jc w:val="left"/>
        <w:rPr>
          <w:rFonts w:ascii="仿宋_GB2312" w:hAnsi="仿宋" w:eastAsia="仿宋_GB2312"/>
          <w:sz w:val="30"/>
          <w:szCs w:val="30"/>
        </w:rPr>
      </w:pPr>
      <w:bookmarkStart w:id="8" w:name="_Toc7993"/>
      <w:r>
        <w:rPr>
          <w:rFonts w:hint="eastAsia" w:ascii="仿宋_GB2312" w:hAnsi="仿宋" w:eastAsia="仿宋_GB2312"/>
          <w:sz w:val="30"/>
          <w:szCs w:val="30"/>
        </w:rPr>
        <w:t>注：标</w:t>
      </w:r>
      <w:r>
        <w:rPr>
          <w:rFonts w:ascii="仿宋_GB2312" w:hAnsi="仿宋" w:eastAsia="仿宋_GB2312"/>
          <w:sz w:val="30"/>
          <w:szCs w:val="30"/>
        </w:rPr>
        <w:t>*</w:t>
      </w:r>
      <w:r>
        <w:rPr>
          <w:rFonts w:hint="eastAsia" w:ascii="仿宋_GB2312" w:hAnsi="仿宋" w:eastAsia="仿宋_GB2312"/>
          <w:sz w:val="30"/>
          <w:szCs w:val="30"/>
        </w:rPr>
        <w:t>为“十三五”规划中期评估后，经县人大批准后调整的目标值。</w:t>
      </w:r>
    </w:p>
    <w:p>
      <w:pPr>
        <w:pStyle w:val="4"/>
        <w:spacing w:beforeLines="80" w:afterLines="80" w:line="570" w:lineRule="exact"/>
        <w:jc w:val="center"/>
        <w:rPr>
          <w:rFonts w:ascii="黑体" w:hAnsi="楷体" w:cs="楷体"/>
          <w:sz w:val="30"/>
          <w:szCs w:val="30"/>
        </w:rPr>
      </w:pPr>
      <w:bookmarkStart w:id="9" w:name="_Toc785"/>
      <w:r>
        <w:rPr>
          <w:rFonts w:hint="eastAsia" w:ascii="黑体" w:hAnsi="楷体" w:cs="楷体"/>
          <w:sz w:val="30"/>
          <w:szCs w:val="30"/>
        </w:rPr>
        <w:t>第二章</w:t>
      </w:r>
      <w:bookmarkEnd w:id="8"/>
      <w:r>
        <w:rPr>
          <w:rFonts w:hint="eastAsia" w:ascii="黑体" w:hAnsi="楷体" w:cs="楷体"/>
          <w:sz w:val="30"/>
          <w:szCs w:val="30"/>
        </w:rPr>
        <w:t>现代化“三美东至”建设进入新发展阶段</w:t>
      </w:r>
      <w:bookmarkEnd w:id="9"/>
    </w:p>
    <w:p>
      <w:pPr>
        <w:spacing w:line="570" w:lineRule="exact"/>
        <w:ind w:firstLine="600" w:firstLineChars="200"/>
        <w:rPr>
          <w:rFonts w:ascii="仿宋_GB2312" w:hAnsi="??_GB2312" w:eastAsia="仿宋_GB2312" w:cs="??_GB2312"/>
          <w:sz w:val="30"/>
          <w:szCs w:val="30"/>
        </w:rPr>
      </w:pPr>
      <w:r>
        <w:rPr>
          <w:rFonts w:hint="eastAsia" w:ascii="仿宋_GB2312" w:hAnsi="宋体" w:eastAsia="仿宋_GB2312" w:cs="宋体"/>
          <w:sz w:val="30"/>
          <w:szCs w:val="30"/>
        </w:rPr>
        <w:t>综合判断，</w:t>
      </w:r>
      <w:r>
        <w:rPr>
          <w:rFonts w:hint="eastAsia" w:ascii="仿宋_GB2312" w:hAnsi="??_GB2312" w:eastAsia="仿宋_GB2312" w:cs="??_GB2312"/>
          <w:sz w:val="30"/>
          <w:szCs w:val="30"/>
        </w:rPr>
        <w:t>“</w:t>
      </w:r>
      <w:r>
        <w:rPr>
          <w:rFonts w:hint="eastAsia" w:ascii="仿宋_GB2312" w:hAnsi="宋体" w:eastAsia="仿宋_GB2312" w:cs="宋体"/>
          <w:sz w:val="30"/>
          <w:szCs w:val="30"/>
        </w:rPr>
        <w:t>十四五</w:t>
      </w:r>
      <w:r>
        <w:rPr>
          <w:rFonts w:hint="eastAsia" w:ascii="仿宋_GB2312" w:hAnsi="??_GB2312" w:eastAsia="仿宋_GB2312" w:cs="??_GB2312"/>
          <w:sz w:val="30"/>
          <w:szCs w:val="30"/>
        </w:rPr>
        <w:t>”</w:t>
      </w:r>
      <w:r>
        <w:rPr>
          <w:rFonts w:hint="eastAsia" w:ascii="仿宋_GB2312" w:hAnsi="宋体" w:eastAsia="仿宋_GB2312" w:cs="宋体"/>
          <w:sz w:val="30"/>
          <w:szCs w:val="30"/>
        </w:rPr>
        <w:t>时期，东至仍处于重要战略机遇期，</w:t>
      </w:r>
      <w:r>
        <w:rPr>
          <w:rFonts w:hint="eastAsia" w:ascii="仿宋_GB2312" w:hAnsi="楷体" w:eastAsia="仿宋_GB2312" w:cs="楷体"/>
          <w:b/>
          <w:bCs/>
          <w:sz w:val="30"/>
          <w:szCs w:val="30"/>
        </w:rPr>
        <w:t>一是迎来了构建新发展格局的历史性机遇</w:t>
      </w:r>
      <w:r>
        <w:rPr>
          <w:rFonts w:hint="eastAsia" w:ascii="仿宋_GB2312" w:hAnsi="宋体" w:eastAsia="仿宋_GB2312" w:cs="宋体"/>
          <w:sz w:val="30"/>
          <w:szCs w:val="30"/>
        </w:rPr>
        <w:t>。加快构建新发展格局是国家对</w:t>
      </w:r>
      <w:r>
        <w:rPr>
          <w:rFonts w:hint="eastAsia" w:ascii="仿宋_GB2312" w:hAnsi="??_GB2312" w:eastAsia="仿宋_GB2312" w:cs="??_GB2312"/>
          <w:sz w:val="30"/>
          <w:szCs w:val="30"/>
        </w:rPr>
        <w:t>“</w:t>
      </w:r>
      <w:r>
        <w:rPr>
          <w:rFonts w:hint="eastAsia" w:ascii="仿宋_GB2312" w:hAnsi="宋体" w:eastAsia="仿宋_GB2312" w:cs="宋体"/>
          <w:sz w:val="30"/>
          <w:szCs w:val="30"/>
        </w:rPr>
        <w:t>十四五</w:t>
      </w:r>
      <w:r>
        <w:rPr>
          <w:rFonts w:hint="eastAsia" w:ascii="仿宋_GB2312" w:hAnsi="??_GB2312" w:eastAsia="仿宋_GB2312" w:cs="??_GB2312"/>
          <w:sz w:val="30"/>
          <w:szCs w:val="30"/>
        </w:rPr>
        <w:t>”</w:t>
      </w:r>
      <w:r>
        <w:rPr>
          <w:rFonts w:hint="eastAsia" w:ascii="仿宋_GB2312" w:hAnsi="宋体" w:eastAsia="仿宋_GB2312" w:cs="宋体"/>
          <w:sz w:val="30"/>
          <w:szCs w:val="30"/>
        </w:rPr>
        <w:t>和未来更长时期我国经济发展战略、路径作出的重大调整完善，目的就是使生产、分配、流通、消费更多依托国内市场，有利于我县激发内需潜力，积极推动开发区承接产业转移，推进开发区</w:t>
      </w:r>
      <w:r>
        <w:rPr>
          <w:rFonts w:hint="eastAsia" w:ascii="仿宋_GB2312" w:hAnsi="??_GB2312" w:eastAsia="仿宋_GB2312" w:cs="??_GB2312"/>
          <w:sz w:val="30"/>
          <w:szCs w:val="30"/>
        </w:rPr>
        <w:t>“</w:t>
      </w:r>
      <w:r>
        <w:rPr>
          <w:rFonts w:hint="eastAsia" w:ascii="仿宋_GB2312" w:hAnsi="宋体" w:eastAsia="仿宋_GB2312" w:cs="宋体"/>
          <w:sz w:val="30"/>
          <w:szCs w:val="30"/>
        </w:rPr>
        <w:t>二次创业</w:t>
      </w:r>
      <w:r>
        <w:rPr>
          <w:rFonts w:hint="eastAsia" w:ascii="仿宋_GB2312" w:hAnsi="??_GB2312" w:eastAsia="仿宋_GB2312" w:cs="??_GB2312"/>
          <w:sz w:val="30"/>
          <w:szCs w:val="30"/>
        </w:rPr>
        <w:t>”</w:t>
      </w:r>
      <w:r>
        <w:rPr>
          <w:rFonts w:hint="eastAsia" w:ascii="仿宋_GB2312" w:hAnsi="宋体" w:eastAsia="仿宋_GB2312" w:cs="宋体"/>
          <w:sz w:val="30"/>
          <w:szCs w:val="30"/>
        </w:rPr>
        <w:t>，加快融入长三角一体化，加快推动尧东一体化，更好地融入新发展格局。</w:t>
      </w:r>
      <w:r>
        <w:rPr>
          <w:rFonts w:hint="eastAsia" w:ascii="仿宋_GB2312" w:hAnsi="楷体" w:eastAsia="仿宋_GB2312" w:cs="楷体"/>
          <w:b/>
          <w:bCs/>
          <w:sz w:val="30"/>
          <w:szCs w:val="30"/>
        </w:rPr>
        <w:t>二是迎来了四大国家战略叠加效应集中释放的历史性机遇</w:t>
      </w:r>
      <w:r>
        <w:rPr>
          <w:rFonts w:hint="eastAsia" w:ascii="仿宋_GB2312" w:hAnsi="宋体" w:eastAsia="仿宋_GB2312" w:cs="宋体"/>
          <w:sz w:val="30"/>
          <w:szCs w:val="30"/>
        </w:rPr>
        <w:t>。</w:t>
      </w:r>
      <w:r>
        <w:rPr>
          <w:rFonts w:hint="eastAsia" w:ascii="仿宋_GB2312" w:hAnsi="??_GB2312" w:eastAsia="仿宋_GB2312" w:cs="??_GB2312"/>
          <w:sz w:val="30"/>
          <w:szCs w:val="30"/>
        </w:rPr>
        <w:t>“</w:t>
      </w:r>
      <w:r>
        <w:rPr>
          <w:rFonts w:hint="eastAsia" w:ascii="仿宋_GB2312" w:hAnsi="宋体" w:eastAsia="仿宋_GB2312" w:cs="宋体"/>
          <w:sz w:val="30"/>
          <w:szCs w:val="30"/>
        </w:rPr>
        <w:t>十三五</w:t>
      </w:r>
      <w:r>
        <w:rPr>
          <w:rFonts w:hint="eastAsia" w:ascii="仿宋_GB2312" w:hAnsi="??_GB2312" w:eastAsia="仿宋_GB2312" w:cs="??_GB2312"/>
          <w:sz w:val="30"/>
          <w:szCs w:val="30"/>
        </w:rPr>
        <w:t>”</w:t>
      </w:r>
      <w:r>
        <w:rPr>
          <w:rFonts w:hint="eastAsia" w:ascii="仿宋_GB2312" w:hAnsi="宋体" w:eastAsia="仿宋_GB2312" w:cs="宋体"/>
          <w:sz w:val="30"/>
          <w:szCs w:val="30"/>
        </w:rPr>
        <w:t>期间，我县先后迎来了</w:t>
      </w:r>
      <w:r>
        <w:rPr>
          <w:rFonts w:hint="eastAsia" w:ascii="仿宋_GB2312" w:hAnsi="??_GB2312" w:eastAsia="仿宋_GB2312" w:cs="??_GB2312"/>
          <w:sz w:val="30"/>
          <w:szCs w:val="30"/>
        </w:rPr>
        <w:t>“</w:t>
      </w:r>
      <w:r>
        <w:rPr>
          <w:rFonts w:hint="eastAsia" w:ascii="仿宋_GB2312" w:hAnsi="宋体" w:eastAsia="仿宋_GB2312" w:cs="宋体"/>
          <w:sz w:val="30"/>
          <w:szCs w:val="30"/>
        </w:rPr>
        <w:t>一带一路</w:t>
      </w:r>
      <w:r>
        <w:rPr>
          <w:rFonts w:hint="eastAsia" w:ascii="仿宋_GB2312" w:hAnsi="??_GB2312" w:eastAsia="仿宋_GB2312" w:cs="??_GB2312"/>
          <w:sz w:val="30"/>
          <w:szCs w:val="30"/>
        </w:rPr>
        <w:t>”</w:t>
      </w:r>
      <w:r>
        <w:rPr>
          <w:rFonts w:hint="eastAsia" w:ascii="仿宋_GB2312" w:hAnsi="宋体" w:eastAsia="仿宋_GB2312" w:cs="宋体"/>
          <w:sz w:val="30"/>
          <w:szCs w:val="30"/>
        </w:rPr>
        <w:t>、长三角一体化发展、长江经济带发展、促进中部地区崛起四大国家战略。</w:t>
      </w:r>
      <w:r>
        <w:rPr>
          <w:rFonts w:hint="eastAsia" w:ascii="仿宋_GB2312" w:hAnsi="??_GB2312" w:eastAsia="仿宋_GB2312" w:cs="??_GB2312"/>
          <w:sz w:val="30"/>
          <w:szCs w:val="30"/>
        </w:rPr>
        <w:t>“</w:t>
      </w:r>
      <w:r>
        <w:rPr>
          <w:rFonts w:hint="eastAsia" w:ascii="仿宋_GB2312" w:hAnsi="宋体" w:eastAsia="仿宋_GB2312" w:cs="宋体"/>
          <w:sz w:val="30"/>
          <w:szCs w:val="30"/>
        </w:rPr>
        <w:t>十四五</w:t>
      </w:r>
      <w:r>
        <w:rPr>
          <w:rFonts w:hint="eastAsia" w:ascii="仿宋_GB2312" w:hAnsi="??_GB2312" w:eastAsia="仿宋_GB2312" w:cs="??_GB2312"/>
          <w:sz w:val="30"/>
          <w:szCs w:val="30"/>
        </w:rPr>
        <w:t>”</w:t>
      </w:r>
      <w:r>
        <w:rPr>
          <w:rFonts w:hint="eastAsia" w:ascii="仿宋_GB2312" w:hAnsi="宋体" w:eastAsia="仿宋_GB2312" w:cs="宋体"/>
          <w:sz w:val="30"/>
          <w:szCs w:val="30"/>
        </w:rPr>
        <w:t>时期，随着长三角一体化战略的推进、长江中游城市群的抱团发展、合肥都市经济圈扩容提质，加上我县完成了东至经开区环保整改，有利于我县轻装上阵，更好地融入更高平台实现高质量发展。</w:t>
      </w:r>
      <w:r>
        <w:rPr>
          <w:rFonts w:hint="eastAsia" w:ascii="仿宋_GB2312" w:hAnsi="楷体" w:eastAsia="仿宋_GB2312" w:cs="楷体"/>
          <w:b/>
          <w:bCs/>
          <w:sz w:val="30"/>
          <w:szCs w:val="30"/>
        </w:rPr>
        <w:t>三是迎来了制度优势和治理效能持续彰显的历史性机遇</w:t>
      </w:r>
      <w:r>
        <w:rPr>
          <w:rFonts w:hint="eastAsia" w:ascii="仿宋_GB2312" w:hAnsi="宋体" w:eastAsia="仿宋_GB2312" w:cs="宋体"/>
          <w:sz w:val="30"/>
          <w:szCs w:val="30"/>
        </w:rPr>
        <w:t>。</w:t>
      </w:r>
      <w:r>
        <w:rPr>
          <w:rFonts w:hint="eastAsia" w:ascii="仿宋_GB2312" w:hAnsi="??_GB2312" w:eastAsia="仿宋_GB2312" w:cs="??_GB2312"/>
          <w:sz w:val="30"/>
          <w:szCs w:val="30"/>
        </w:rPr>
        <w:t>“</w:t>
      </w:r>
      <w:r>
        <w:rPr>
          <w:rFonts w:hint="eastAsia" w:ascii="仿宋_GB2312" w:hAnsi="宋体" w:eastAsia="仿宋_GB2312" w:cs="宋体"/>
          <w:sz w:val="30"/>
          <w:szCs w:val="30"/>
        </w:rPr>
        <w:t>十四五</w:t>
      </w:r>
      <w:r>
        <w:rPr>
          <w:rFonts w:hint="eastAsia" w:ascii="仿宋_GB2312" w:hAnsi="??_GB2312" w:eastAsia="仿宋_GB2312" w:cs="??_GB2312"/>
          <w:sz w:val="30"/>
          <w:szCs w:val="30"/>
        </w:rPr>
        <w:t>”</w:t>
      </w:r>
      <w:r>
        <w:rPr>
          <w:rFonts w:hint="eastAsia" w:ascii="仿宋_GB2312" w:hAnsi="宋体" w:eastAsia="仿宋_GB2312" w:cs="宋体"/>
          <w:sz w:val="30"/>
          <w:szCs w:val="30"/>
        </w:rPr>
        <w:t>时期是把制度优势转化为治理效能的关键时期。我县有党建引领信用村建设、新时代</w:t>
      </w:r>
      <w:r>
        <w:rPr>
          <w:rFonts w:hint="eastAsia" w:ascii="仿宋_GB2312" w:hAnsi="??_GB2312" w:eastAsia="仿宋_GB2312" w:cs="??_GB2312"/>
          <w:sz w:val="30"/>
          <w:szCs w:val="30"/>
        </w:rPr>
        <w:t>“</w:t>
      </w:r>
      <w:r>
        <w:rPr>
          <w:rFonts w:hint="eastAsia" w:ascii="仿宋_GB2312" w:hAnsi="宋体" w:eastAsia="仿宋_GB2312" w:cs="宋体"/>
          <w:sz w:val="30"/>
          <w:szCs w:val="30"/>
        </w:rPr>
        <w:t>枫桥经验</w:t>
      </w:r>
      <w:r>
        <w:rPr>
          <w:rFonts w:hint="eastAsia" w:ascii="仿宋_GB2312" w:hAnsi="??_GB2312" w:eastAsia="仿宋_GB2312" w:cs="??_GB2312"/>
          <w:sz w:val="30"/>
          <w:szCs w:val="30"/>
        </w:rPr>
        <w:t>”</w:t>
      </w:r>
      <w:r>
        <w:rPr>
          <w:rFonts w:hint="eastAsia" w:ascii="仿宋_GB2312" w:hAnsi="宋体" w:eastAsia="仿宋_GB2312" w:cs="宋体"/>
          <w:sz w:val="30"/>
          <w:szCs w:val="30"/>
        </w:rPr>
        <w:t>东至版等社会治理经验，有利于我县向改革要动力，加快破除深层次体制机制障碍，更好发挥有效市场和有为政府</w:t>
      </w:r>
      <w:r>
        <w:rPr>
          <w:rFonts w:hint="eastAsia" w:ascii="仿宋_GB2312" w:hAnsi="??_GB2312" w:eastAsia="仿宋_GB2312" w:cs="??_GB2312"/>
          <w:sz w:val="30"/>
          <w:szCs w:val="30"/>
        </w:rPr>
        <w:t>“</w:t>
      </w:r>
      <w:r>
        <w:rPr>
          <w:rFonts w:hint="eastAsia" w:ascii="仿宋_GB2312" w:hAnsi="宋体" w:eastAsia="仿宋_GB2312" w:cs="宋体"/>
          <w:sz w:val="30"/>
          <w:szCs w:val="30"/>
        </w:rPr>
        <w:t>两只手</w:t>
      </w:r>
      <w:r>
        <w:rPr>
          <w:rFonts w:hint="eastAsia" w:ascii="仿宋_GB2312" w:hAnsi="??_GB2312" w:eastAsia="仿宋_GB2312" w:cs="??_GB2312"/>
          <w:sz w:val="30"/>
          <w:szCs w:val="30"/>
        </w:rPr>
        <w:t>”</w:t>
      </w:r>
      <w:r>
        <w:rPr>
          <w:rFonts w:hint="eastAsia" w:ascii="仿宋_GB2312" w:hAnsi="宋体" w:eastAsia="仿宋_GB2312" w:cs="宋体"/>
          <w:sz w:val="30"/>
          <w:szCs w:val="30"/>
        </w:rPr>
        <w:t>作用。</w:t>
      </w:r>
    </w:p>
    <w:p>
      <w:pPr>
        <w:spacing w:line="570" w:lineRule="exact"/>
        <w:ind w:firstLine="600" w:firstLineChars="200"/>
        <w:rPr>
          <w:rFonts w:ascii="仿宋_GB2312" w:hAnsi="??_GB2312" w:eastAsia="仿宋_GB2312" w:cs="??_GB2312"/>
          <w:sz w:val="30"/>
          <w:szCs w:val="30"/>
        </w:rPr>
      </w:pPr>
      <w:r>
        <w:rPr>
          <w:rFonts w:hint="eastAsia" w:ascii="仿宋_GB2312" w:hAnsi="宋体" w:eastAsia="仿宋_GB2312" w:cs="宋体"/>
          <w:sz w:val="30"/>
          <w:szCs w:val="30"/>
        </w:rPr>
        <w:t>同时发展不平衡不充分问题仍然突出，机遇和挑战都有新的发展变化。从复杂的外部环境看，当前国际环境不稳定性不确定性明显增加，保护主义上升、世界经济低迷、全球市场萎缩，受此影响国内经济顶压前行，县域经济发展也不能独善其身。从激烈的区域竞争看，在</w:t>
      </w:r>
      <w:r>
        <w:rPr>
          <w:rFonts w:hint="eastAsia" w:ascii="仿宋_GB2312" w:hAnsi="??_GB2312" w:eastAsia="仿宋_GB2312" w:cs="??_GB2312"/>
          <w:sz w:val="30"/>
          <w:szCs w:val="30"/>
        </w:rPr>
        <w:t>“</w:t>
      </w:r>
      <w:r>
        <w:rPr>
          <w:rFonts w:hint="eastAsia" w:ascii="仿宋_GB2312" w:hAnsi="宋体" w:eastAsia="仿宋_GB2312" w:cs="宋体"/>
          <w:sz w:val="30"/>
          <w:szCs w:val="30"/>
        </w:rPr>
        <w:t>十三五</w:t>
      </w:r>
      <w:r>
        <w:rPr>
          <w:rFonts w:hint="eastAsia" w:ascii="仿宋_GB2312" w:hAnsi="??_GB2312" w:eastAsia="仿宋_GB2312" w:cs="??_GB2312"/>
          <w:sz w:val="30"/>
          <w:szCs w:val="30"/>
        </w:rPr>
        <w:t>”</w:t>
      </w:r>
      <w:r>
        <w:rPr>
          <w:rFonts w:hint="eastAsia" w:ascii="仿宋_GB2312" w:hAnsi="宋体" w:eastAsia="仿宋_GB2312" w:cs="宋体"/>
          <w:sz w:val="30"/>
          <w:szCs w:val="30"/>
        </w:rPr>
        <w:t>竞争中，我县受到了环保、汛情、疫情等多轮考验，虽然纵向比成绩可观，但横向看，我县已经落入</w:t>
      </w:r>
      <w:r>
        <w:rPr>
          <w:rFonts w:hint="eastAsia" w:ascii="仿宋_GB2312" w:hAnsi="??_GB2312" w:eastAsia="仿宋_GB2312" w:cs="??_GB2312"/>
          <w:sz w:val="30"/>
          <w:szCs w:val="30"/>
        </w:rPr>
        <w:t>“</w:t>
      </w:r>
      <w:r>
        <w:rPr>
          <w:rFonts w:hint="eastAsia" w:ascii="仿宋_GB2312" w:hAnsi="宋体" w:eastAsia="仿宋_GB2312" w:cs="宋体"/>
          <w:sz w:val="30"/>
          <w:szCs w:val="30"/>
        </w:rPr>
        <w:t>前有标兵、后无追兵</w:t>
      </w:r>
      <w:r>
        <w:rPr>
          <w:rFonts w:hint="eastAsia" w:ascii="仿宋_GB2312" w:hAnsi="??_GB2312" w:eastAsia="仿宋_GB2312" w:cs="??_GB2312"/>
          <w:sz w:val="30"/>
          <w:szCs w:val="30"/>
        </w:rPr>
        <w:t>”</w:t>
      </w:r>
      <w:r>
        <w:rPr>
          <w:rFonts w:hint="eastAsia" w:ascii="仿宋_GB2312" w:hAnsi="宋体" w:eastAsia="仿宋_GB2312" w:cs="宋体"/>
          <w:sz w:val="30"/>
          <w:szCs w:val="30"/>
        </w:rPr>
        <w:t>的窘境。新一轮发展大幕已经拉开，周围县区均你追我赶，在这种情况下不进则退、慢进亦是退。从突出的自身短板看，近年来，我县发展虽然取得一定进步，但还烙着</w:t>
      </w:r>
      <w:r>
        <w:rPr>
          <w:rFonts w:hint="eastAsia" w:ascii="仿宋_GB2312" w:hAnsi="??_GB2312" w:eastAsia="仿宋_GB2312" w:cs="??_GB2312"/>
          <w:sz w:val="30"/>
          <w:szCs w:val="30"/>
        </w:rPr>
        <w:t>“</w:t>
      </w:r>
      <w:r>
        <w:rPr>
          <w:rFonts w:hint="eastAsia" w:ascii="仿宋_GB2312" w:hAnsi="宋体" w:eastAsia="仿宋_GB2312" w:cs="宋体"/>
          <w:sz w:val="30"/>
          <w:szCs w:val="30"/>
        </w:rPr>
        <w:t>资源大县、产业弱县、财政穷县</w:t>
      </w:r>
      <w:r>
        <w:rPr>
          <w:rFonts w:hint="eastAsia" w:ascii="仿宋_GB2312" w:hAnsi="??_GB2312" w:eastAsia="仿宋_GB2312" w:cs="??_GB2312"/>
          <w:sz w:val="30"/>
          <w:szCs w:val="30"/>
        </w:rPr>
        <w:t>”</w:t>
      </w:r>
      <w:r>
        <w:rPr>
          <w:rFonts w:hint="eastAsia" w:ascii="仿宋_GB2312" w:hAnsi="宋体" w:eastAsia="仿宋_GB2312" w:cs="宋体"/>
          <w:sz w:val="30"/>
          <w:szCs w:val="30"/>
        </w:rPr>
        <w:t>的标签。园区尚未挑起大梁，镇域经济实力整体较弱。绿色发展意识还树得不牢、高质量发展的成色不足。对这些问题，必须坚持底线思维，保持清醒头脑，既要破除乱局之扰、困局之难，更要抓住布局之时、破局之机，集中力量办好自己的事，在危机中育先机，于变局中开新局。</w:t>
      </w:r>
    </w:p>
    <w:p>
      <w:pPr>
        <w:pStyle w:val="3"/>
        <w:spacing w:before="0" w:after="0" w:line="600" w:lineRule="exact"/>
        <w:jc w:val="center"/>
        <w:rPr>
          <w:rFonts w:ascii="方正小标宋简体" w:eastAsia="方正小标宋简体"/>
          <w:sz w:val="36"/>
          <w:szCs w:val="36"/>
        </w:rPr>
      </w:pPr>
      <w:bookmarkStart w:id="10" w:name="_Toc522"/>
      <w:r>
        <w:rPr>
          <w:rFonts w:ascii="华文楷体" w:eastAsia="华文楷体"/>
          <w:spacing w:val="-20"/>
        </w:rPr>
        <w:br w:type="page"/>
      </w:r>
      <w:r>
        <w:rPr>
          <w:rFonts w:hint="eastAsia" w:ascii="方正小标宋简体" w:eastAsia="方正小标宋简体"/>
          <w:sz w:val="36"/>
          <w:szCs w:val="36"/>
        </w:rPr>
        <w:t>第二篇聚焦县域竞争力提升，描绘新阶段</w:t>
      </w:r>
    </w:p>
    <w:p>
      <w:pPr>
        <w:pStyle w:val="3"/>
        <w:spacing w:before="0" w:after="0" w:line="600" w:lineRule="exact"/>
        <w:jc w:val="center"/>
        <w:rPr>
          <w:rFonts w:ascii="方正小标宋简体" w:eastAsia="方正小标宋简体"/>
          <w:sz w:val="36"/>
          <w:szCs w:val="36"/>
        </w:rPr>
      </w:pPr>
      <w:r>
        <w:rPr>
          <w:rFonts w:hint="eastAsia" w:ascii="方正小标宋简体" w:eastAsia="方正小标宋简体"/>
          <w:sz w:val="36"/>
          <w:szCs w:val="36"/>
        </w:rPr>
        <w:t>新时代新蓝图</w:t>
      </w:r>
      <w:bookmarkEnd w:id="10"/>
      <w:bookmarkStart w:id="11" w:name="_Toc4301"/>
      <w:bookmarkStart w:id="12" w:name="_Toc185"/>
    </w:p>
    <w:p>
      <w:pPr>
        <w:pStyle w:val="3"/>
        <w:spacing w:beforeLines="80" w:afterLines="80" w:line="570" w:lineRule="exact"/>
        <w:jc w:val="center"/>
        <w:rPr>
          <w:rFonts w:ascii="黑体" w:eastAsia="黑体"/>
          <w:sz w:val="30"/>
          <w:szCs w:val="30"/>
        </w:rPr>
      </w:pPr>
      <w:r>
        <w:rPr>
          <w:rFonts w:hint="eastAsia" w:ascii="黑体" w:hAnsi="楷体" w:eastAsia="黑体" w:cs="楷体"/>
          <w:sz w:val="30"/>
          <w:szCs w:val="30"/>
        </w:rPr>
        <w:t>第一章指导思想</w:t>
      </w:r>
      <w:bookmarkEnd w:id="11"/>
      <w:bookmarkEnd w:id="12"/>
    </w:p>
    <w:p>
      <w:pPr>
        <w:spacing w:line="570" w:lineRule="exact"/>
        <w:ind w:firstLine="600" w:firstLineChars="200"/>
        <w:rPr>
          <w:rFonts w:ascii="仿宋_GB2312" w:hAnsi="??_GB2312" w:eastAsia="仿宋_GB2312" w:cs="??_GB2312"/>
          <w:bCs/>
          <w:sz w:val="30"/>
          <w:szCs w:val="30"/>
        </w:rPr>
      </w:pPr>
      <w:bookmarkStart w:id="13" w:name="_Toc13642"/>
      <w:r>
        <w:rPr>
          <w:rFonts w:hint="eastAsia" w:ascii="仿宋_GB2312" w:hAnsi="宋体" w:eastAsia="仿宋_GB2312" w:cs="宋体"/>
          <w:bCs/>
          <w:sz w:val="30"/>
          <w:szCs w:val="30"/>
        </w:rPr>
        <w:t>高举中国特色社会主义伟大旗帜，深入贯彻党的十九大和十九届二中、三中、四中、五中全会精神，坚持以马克思列宁主义、毛泽东思想、邓小平理论、</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三个代表</w:t>
      </w:r>
      <w:r>
        <w:rPr>
          <w:rFonts w:hint="eastAsia" w:ascii="仿宋_GB2312" w:hAnsi="??_GB2312" w:eastAsia="仿宋_GB2312" w:cs="??_GB2312"/>
          <w:bCs/>
          <w:sz w:val="30"/>
          <w:szCs w:val="30"/>
        </w:rPr>
        <w:t>”</w:t>
      </w:r>
      <w:r>
        <w:rPr>
          <w:rFonts w:hint="eastAsia" w:ascii="仿宋_GB2312" w:hAnsi="宋体" w:eastAsia="仿宋_GB2312" w:cs="宋体"/>
          <w:bCs/>
          <w:sz w:val="30"/>
          <w:szCs w:val="30"/>
        </w:rPr>
        <w:t>重要思想、科学发展观、习近平新时代中国特色社会主义思想为指导，认真贯彻落实习近平总书记考察安徽重要讲话指示精神，全面贯彻党的基本理论、基本路线、基本方略，统筹推进</w:t>
      </w:r>
      <w:r>
        <w:rPr>
          <w:rFonts w:hint="eastAsia" w:ascii="仿宋_GB2312" w:hAnsi="??_GB2312" w:eastAsia="仿宋_GB2312" w:cs="??_GB2312"/>
          <w:bCs/>
          <w:sz w:val="30"/>
          <w:szCs w:val="30"/>
        </w:rPr>
        <w:t>“</w:t>
      </w:r>
      <w:r>
        <w:rPr>
          <w:rFonts w:hint="eastAsia" w:ascii="仿宋_GB2312" w:hAnsi="宋体" w:eastAsia="仿宋_GB2312" w:cs="宋体"/>
          <w:bCs/>
          <w:sz w:val="30"/>
          <w:szCs w:val="30"/>
        </w:rPr>
        <w:t>五位一体</w:t>
      </w:r>
      <w:r>
        <w:rPr>
          <w:rFonts w:hint="eastAsia" w:ascii="仿宋_GB2312" w:hAnsi="??_GB2312" w:eastAsia="仿宋_GB2312" w:cs="??_GB2312"/>
          <w:bCs/>
          <w:sz w:val="30"/>
          <w:szCs w:val="30"/>
        </w:rPr>
        <w:t>”</w:t>
      </w:r>
      <w:r>
        <w:rPr>
          <w:rFonts w:hint="eastAsia" w:ascii="仿宋_GB2312" w:hAnsi="宋体" w:eastAsia="仿宋_GB2312" w:cs="宋体"/>
          <w:bCs/>
          <w:sz w:val="30"/>
          <w:szCs w:val="30"/>
        </w:rPr>
        <w:t>总体布局和协调推进</w:t>
      </w:r>
      <w:r>
        <w:rPr>
          <w:rFonts w:hint="eastAsia" w:ascii="仿宋_GB2312" w:hAnsi="??_GB2312" w:eastAsia="仿宋_GB2312" w:cs="??_GB2312"/>
          <w:bCs/>
          <w:sz w:val="30"/>
          <w:szCs w:val="30"/>
        </w:rPr>
        <w:t>“</w:t>
      </w:r>
      <w:r>
        <w:rPr>
          <w:rFonts w:hint="eastAsia" w:ascii="仿宋_GB2312" w:hAnsi="宋体" w:eastAsia="仿宋_GB2312" w:cs="宋体"/>
          <w:bCs/>
          <w:sz w:val="30"/>
          <w:szCs w:val="30"/>
        </w:rPr>
        <w:t>四个全面</w:t>
      </w:r>
      <w:r>
        <w:rPr>
          <w:rFonts w:hint="eastAsia" w:ascii="仿宋_GB2312" w:hAnsi="??_GB2312" w:eastAsia="仿宋_GB2312" w:cs="??_GB2312"/>
          <w:bCs/>
          <w:sz w:val="30"/>
          <w:szCs w:val="30"/>
        </w:rPr>
        <w:t>”</w:t>
      </w:r>
      <w:r>
        <w:rPr>
          <w:rFonts w:hint="eastAsia" w:ascii="仿宋_GB2312" w:hAnsi="宋体" w:eastAsia="仿宋_GB2312" w:cs="宋体"/>
          <w:bCs/>
          <w:sz w:val="30"/>
          <w:szCs w:val="30"/>
        </w:rPr>
        <w:t>战略布局，科学把握新发展阶段，坚决贯彻新发展理念，服务构建新发展格局，坚持稳中求进工作总基调，以推动高质量发展为主题，以深化供给侧结构性改革为主线，以改革创新为根本动力，以满足人民日益增长的美好生活需要为根本目的，统筹发展和安全，持续实施五大发展行动，抢抓</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一带一路</w:t>
      </w:r>
      <w:r>
        <w:rPr>
          <w:rFonts w:hint="eastAsia" w:ascii="仿宋_GB2312" w:hAnsi="??_GB2312" w:eastAsia="仿宋_GB2312" w:cs="??_GB2312"/>
          <w:bCs/>
          <w:sz w:val="30"/>
          <w:szCs w:val="30"/>
        </w:rPr>
        <w:t>”</w:t>
      </w:r>
      <w:r>
        <w:rPr>
          <w:rFonts w:hint="eastAsia" w:ascii="仿宋_GB2312" w:hAnsi="宋体" w:eastAsia="仿宋_GB2312" w:cs="宋体"/>
          <w:bCs/>
          <w:sz w:val="30"/>
          <w:szCs w:val="30"/>
        </w:rPr>
        <w:t>、长江经济带、长三角一体化、中部崛起等国家战略机遇，大力实施</w:t>
      </w:r>
      <w:r>
        <w:rPr>
          <w:rFonts w:hint="eastAsia" w:ascii="仿宋_GB2312" w:hAnsi="??_GB2312" w:eastAsia="仿宋_GB2312" w:cs="??_GB2312"/>
          <w:bCs/>
          <w:sz w:val="30"/>
          <w:szCs w:val="30"/>
        </w:rPr>
        <w:t>“</w:t>
      </w:r>
      <w:r>
        <w:rPr>
          <w:rFonts w:hint="eastAsia" w:ascii="仿宋_GB2312" w:hAnsi="宋体" w:eastAsia="仿宋_GB2312" w:cs="宋体"/>
          <w:bCs/>
          <w:sz w:val="30"/>
          <w:szCs w:val="30"/>
        </w:rPr>
        <w:t>生态立县、产业强县、创新驱动、开放发展</w:t>
      </w:r>
      <w:r>
        <w:rPr>
          <w:rFonts w:hint="eastAsia" w:ascii="仿宋_GB2312" w:hAnsi="??_GB2312" w:eastAsia="仿宋_GB2312" w:cs="??_GB2312"/>
          <w:bCs/>
          <w:sz w:val="30"/>
          <w:szCs w:val="30"/>
        </w:rPr>
        <w:t>”</w:t>
      </w:r>
      <w:r>
        <w:rPr>
          <w:rFonts w:hint="eastAsia" w:ascii="仿宋_GB2312" w:hAnsi="宋体" w:eastAsia="仿宋_GB2312" w:cs="宋体"/>
          <w:bCs/>
          <w:sz w:val="30"/>
          <w:szCs w:val="30"/>
        </w:rPr>
        <w:t>四大战略，协调推进城区、园区、山区发展，加快推动</w:t>
      </w:r>
      <w:r>
        <w:rPr>
          <w:rFonts w:hint="eastAsia" w:ascii="仿宋_GB2312" w:hAnsi="??_GB2312" w:eastAsia="仿宋_GB2312" w:cs="??_GB2312"/>
          <w:bCs/>
          <w:sz w:val="30"/>
          <w:szCs w:val="30"/>
        </w:rPr>
        <w:t>“</w:t>
      </w:r>
      <w:r>
        <w:rPr>
          <w:rFonts w:hint="eastAsia" w:ascii="仿宋_GB2312" w:hAnsi="宋体" w:eastAsia="仿宋_GB2312" w:cs="宋体"/>
          <w:bCs/>
          <w:sz w:val="30"/>
          <w:szCs w:val="30"/>
        </w:rPr>
        <w:t>山城</w:t>
      </w:r>
      <w:r>
        <w:rPr>
          <w:rFonts w:hint="eastAsia" w:ascii="仿宋_GB2312" w:hAnsi="??_GB2312" w:eastAsia="仿宋_GB2312" w:cs="??_GB2312"/>
          <w:bCs/>
          <w:sz w:val="30"/>
          <w:szCs w:val="30"/>
        </w:rPr>
        <w:t>”</w:t>
      </w:r>
      <w:r>
        <w:rPr>
          <w:rFonts w:hint="eastAsia" w:ascii="仿宋_GB2312" w:hAnsi="宋体" w:eastAsia="仿宋_GB2312" w:cs="宋体"/>
          <w:bCs/>
          <w:sz w:val="30"/>
          <w:szCs w:val="30"/>
        </w:rPr>
        <w:t>向</w:t>
      </w:r>
      <w:r>
        <w:rPr>
          <w:rFonts w:hint="eastAsia" w:ascii="仿宋_GB2312" w:hAnsi="??_GB2312" w:eastAsia="仿宋_GB2312" w:cs="??_GB2312"/>
          <w:bCs/>
          <w:sz w:val="30"/>
          <w:szCs w:val="30"/>
        </w:rPr>
        <w:t>“</w:t>
      </w:r>
      <w:r>
        <w:rPr>
          <w:rFonts w:hint="eastAsia" w:ascii="仿宋_GB2312" w:hAnsi="宋体" w:eastAsia="仿宋_GB2312" w:cs="宋体"/>
          <w:bCs/>
          <w:sz w:val="30"/>
          <w:szCs w:val="30"/>
        </w:rPr>
        <w:t>滨江城市</w:t>
      </w:r>
      <w:r>
        <w:rPr>
          <w:rFonts w:hint="eastAsia" w:ascii="仿宋_GB2312" w:hAnsi="??_GB2312" w:eastAsia="仿宋_GB2312" w:cs="??_GB2312"/>
          <w:bCs/>
          <w:sz w:val="30"/>
          <w:szCs w:val="30"/>
        </w:rPr>
        <w:t>”</w:t>
      </w:r>
      <w:r>
        <w:rPr>
          <w:rFonts w:hint="eastAsia" w:ascii="仿宋_GB2312" w:hAnsi="宋体" w:eastAsia="仿宋_GB2312" w:cs="宋体"/>
          <w:bCs/>
          <w:sz w:val="30"/>
          <w:szCs w:val="30"/>
        </w:rPr>
        <w:t>转型发展，打造</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一极三地一门户</w:t>
      </w:r>
      <w:r>
        <w:rPr>
          <w:rFonts w:hint="eastAsia" w:ascii="仿宋_GB2312" w:hAnsi="??_GB2312" w:eastAsia="仿宋_GB2312" w:cs="??_GB2312"/>
          <w:bCs/>
          <w:sz w:val="30"/>
          <w:szCs w:val="30"/>
        </w:rPr>
        <w:t>”</w:t>
      </w:r>
      <w:r>
        <w:rPr>
          <w:rStyle w:val="18"/>
          <w:rFonts w:ascii="仿宋_GB2312" w:hAnsi="??_GB2312" w:eastAsia="仿宋_GB2312" w:cs="??_GB2312"/>
          <w:sz w:val="30"/>
          <w:szCs w:val="30"/>
        </w:rPr>
        <w:footnoteReference w:id="0"/>
      </w:r>
      <w:r>
        <w:rPr>
          <w:rFonts w:hint="eastAsia" w:ascii="仿宋_GB2312" w:hAnsi="宋体" w:eastAsia="仿宋_GB2312" w:cs="宋体"/>
          <w:bCs/>
          <w:sz w:val="30"/>
          <w:szCs w:val="30"/>
        </w:rPr>
        <w:t>，加快建设现代化经济体系，推进治理体系和治理能力现代化，实现经济跨越崛起、社会安定和谐，在融入以国内大循环为主体、国内国际双循环相互促进的新发展格局中实现更大作为，在加快建设经济强、百姓富、生态美的新阶段现代化</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三美东至</w:t>
      </w:r>
      <w:r>
        <w:rPr>
          <w:rFonts w:hint="eastAsia" w:ascii="仿宋_GB2312" w:hAnsi="??_GB2312" w:eastAsia="仿宋_GB2312" w:cs="??_GB2312"/>
          <w:bCs/>
          <w:sz w:val="30"/>
          <w:szCs w:val="30"/>
        </w:rPr>
        <w:t>”</w:t>
      </w:r>
      <w:r>
        <w:rPr>
          <w:rFonts w:hint="eastAsia" w:ascii="仿宋_GB2312" w:hAnsi="宋体" w:eastAsia="仿宋_GB2312" w:cs="宋体"/>
          <w:bCs/>
          <w:sz w:val="30"/>
          <w:szCs w:val="30"/>
        </w:rPr>
        <w:t>上取得新的更大进展，为我县社会主义现代化建设开好局、起好步。</w:t>
      </w:r>
    </w:p>
    <w:p>
      <w:pPr>
        <w:pStyle w:val="4"/>
        <w:spacing w:beforeLines="50" w:afterLines="50" w:line="570" w:lineRule="exact"/>
        <w:jc w:val="center"/>
        <w:rPr>
          <w:rFonts w:ascii="黑体" w:hAnsi="楷体" w:cs="楷体"/>
          <w:sz w:val="30"/>
          <w:szCs w:val="30"/>
        </w:rPr>
      </w:pPr>
      <w:bookmarkStart w:id="14" w:name="_Toc17709"/>
      <w:r>
        <w:rPr>
          <w:rFonts w:hint="eastAsia" w:ascii="黑体" w:hAnsi="楷体" w:cs="楷体"/>
          <w:sz w:val="30"/>
          <w:szCs w:val="30"/>
        </w:rPr>
        <w:t>第二章基本原则</w:t>
      </w:r>
      <w:bookmarkEnd w:id="13"/>
      <w:bookmarkEnd w:id="14"/>
    </w:p>
    <w:p>
      <w:pPr>
        <w:spacing w:line="570" w:lineRule="exact"/>
        <w:ind w:firstLine="602" w:firstLineChars="200"/>
        <w:rPr>
          <w:rFonts w:ascii="仿宋_GB2312" w:hAnsi="??_GB2312" w:eastAsia="仿宋_GB2312" w:cs="??_GB2312"/>
          <w:sz w:val="30"/>
          <w:szCs w:val="30"/>
        </w:rPr>
      </w:pPr>
      <w:bookmarkStart w:id="15" w:name="_Toc23823"/>
      <w:bookmarkStart w:id="16" w:name="_Toc17037"/>
      <w:r>
        <w:rPr>
          <w:rFonts w:ascii="宋体" w:hAnsi="宋体" w:cs="楷体"/>
          <w:b/>
          <w:bCs/>
          <w:sz w:val="30"/>
          <w:szCs w:val="30"/>
        </w:rPr>
        <w:t>——</w:t>
      </w:r>
      <w:r>
        <w:rPr>
          <w:rFonts w:hint="eastAsia" w:ascii="楷体_GB2312" w:hAnsi="楷体" w:eastAsia="楷体_GB2312" w:cs="楷体"/>
          <w:b/>
          <w:bCs/>
          <w:sz w:val="30"/>
          <w:szCs w:val="30"/>
        </w:rPr>
        <w:t>坚持党的全面领导。</w:t>
      </w:r>
      <w:r>
        <w:rPr>
          <w:rFonts w:hint="eastAsia" w:ascii="仿宋_GB2312" w:hAnsi="宋体" w:eastAsia="仿宋_GB2312" w:cs="宋体"/>
          <w:sz w:val="30"/>
          <w:szCs w:val="30"/>
        </w:rPr>
        <w:t>增强</w:t>
      </w:r>
      <w:r>
        <w:rPr>
          <w:rFonts w:hint="eastAsia" w:ascii="仿宋_GB2312" w:hAnsi="??_GB2312" w:eastAsia="仿宋_GB2312" w:cs="??_GB2312"/>
          <w:sz w:val="30"/>
          <w:szCs w:val="30"/>
        </w:rPr>
        <w:t>“</w:t>
      </w:r>
      <w:r>
        <w:rPr>
          <w:rFonts w:hint="eastAsia" w:ascii="仿宋_GB2312" w:hAnsi="宋体" w:eastAsia="仿宋_GB2312" w:cs="宋体"/>
          <w:sz w:val="30"/>
          <w:szCs w:val="30"/>
        </w:rPr>
        <w:t>四个意识</w:t>
      </w:r>
      <w:r>
        <w:rPr>
          <w:rFonts w:hint="eastAsia" w:ascii="仿宋_GB2312" w:hAnsi="??_GB2312" w:eastAsia="仿宋_GB2312" w:cs="??_GB2312"/>
          <w:sz w:val="30"/>
          <w:szCs w:val="30"/>
        </w:rPr>
        <w:t>”</w:t>
      </w:r>
      <w:r>
        <w:rPr>
          <w:rFonts w:hint="eastAsia" w:ascii="仿宋_GB2312" w:hAnsi="宋体" w:eastAsia="仿宋_GB2312" w:cs="宋体"/>
          <w:sz w:val="30"/>
          <w:szCs w:val="30"/>
        </w:rPr>
        <w:t>、坚定</w:t>
      </w:r>
      <w:r>
        <w:rPr>
          <w:rFonts w:hint="eastAsia" w:ascii="仿宋_GB2312" w:hAnsi="??_GB2312" w:eastAsia="仿宋_GB2312" w:cs="??_GB2312"/>
          <w:sz w:val="30"/>
          <w:szCs w:val="30"/>
        </w:rPr>
        <w:t>“</w:t>
      </w:r>
      <w:r>
        <w:rPr>
          <w:rFonts w:hint="eastAsia" w:ascii="仿宋_GB2312" w:hAnsi="宋体" w:eastAsia="仿宋_GB2312" w:cs="宋体"/>
          <w:sz w:val="30"/>
          <w:szCs w:val="30"/>
        </w:rPr>
        <w:t>四个自信</w:t>
      </w:r>
      <w:r>
        <w:rPr>
          <w:rFonts w:hint="eastAsia" w:ascii="仿宋_GB2312" w:hAnsi="??_GB2312" w:eastAsia="仿宋_GB2312" w:cs="??_GB2312"/>
          <w:sz w:val="30"/>
          <w:szCs w:val="30"/>
        </w:rPr>
        <w:t>”</w:t>
      </w:r>
      <w:r>
        <w:rPr>
          <w:rFonts w:hint="eastAsia" w:ascii="仿宋_GB2312" w:hAnsi="宋体" w:eastAsia="仿宋_GB2312" w:cs="宋体"/>
          <w:sz w:val="30"/>
          <w:szCs w:val="30"/>
        </w:rPr>
        <w:t>、做到</w:t>
      </w:r>
      <w:r>
        <w:rPr>
          <w:rFonts w:hint="eastAsia" w:ascii="仿宋_GB2312" w:hAnsi="??_GB2312" w:eastAsia="仿宋_GB2312" w:cs="??_GB2312"/>
          <w:sz w:val="30"/>
          <w:szCs w:val="30"/>
        </w:rPr>
        <w:t>“</w:t>
      </w:r>
      <w:r>
        <w:rPr>
          <w:rFonts w:hint="eastAsia" w:ascii="仿宋_GB2312" w:hAnsi="宋体" w:eastAsia="仿宋_GB2312" w:cs="宋体"/>
          <w:sz w:val="30"/>
          <w:szCs w:val="30"/>
        </w:rPr>
        <w:t>两个维护</w:t>
      </w:r>
      <w:r>
        <w:rPr>
          <w:rFonts w:hint="eastAsia" w:ascii="仿宋_GB2312" w:hAnsi="??_GB2312" w:eastAsia="仿宋_GB2312" w:cs="??_GB2312"/>
          <w:sz w:val="30"/>
          <w:szCs w:val="30"/>
        </w:rPr>
        <w:t>”</w:t>
      </w:r>
      <w:r>
        <w:rPr>
          <w:rFonts w:hint="eastAsia" w:ascii="仿宋_GB2312" w:hAnsi="宋体" w:eastAsia="仿宋_GB2312" w:cs="宋体"/>
          <w:sz w:val="30"/>
          <w:szCs w:val="30"/>
        </w:rPr>
        <w:t>，切实加强党对经济社会发展的全面领导，不断提高贯彻新发展理念、构建新发展格局能力和水平，为新阶段现代化</w:t>
      </w:r>
      <w:r>
        <w:rPr>
          <w:rFonts w:hint="eastAsia" w:ascii="仿宋_GB2312" w:hAnsi="??_GB2312" w:eastAsia="仿宋_GB2312" w:cs="??_GB2312"/>
          <w:sz w:val="30"/>
          <w:szCs w:val="30"/>
        </w:rPr>
        <w:t>“</w:t>
      </w:r>
      <w:r>
        <w:rPr>
          <w:rFonts w:hint="eastAsia" w:ascii="仿宋_GB2312" w:hAnsi="宋体" w:eastAsia="仿宋_GB2312" w:cs="宋体"/>
          <w:sz w:val="30"/>
          <w:szCs w:val="30"/>
        </w:rPr>
        <w:t>三美东至</w:t>
      </w:r>
      <w:r>
        <w:rPr>
          <w:rFonts w:hint="eastAsia" w:ascii="仿宋_GB2312" w:hAnsi="??_GB2312" w:eastAsia="仿宋_GB2312" w:cs="??_GB2312"/>
          <w:sz w:val="30"/>
          <w:szCs w:val="30"/>
        </w:rPr>
        <w:t>”</w:t>
      </w:r>
      <w:r>
        <w:rPr>
          <w:rFonts w:hint="eastAsia" w:ascii="仿宋_GB2312" w:hAnsi="宋体" w:eastAsia="仿宋_GB2312" w:cs="宋体"/>
          <w:sz w:val="30"/>
          <w:szCs w:val="30"/>
        </w:rPr>
        <w:t>建设提供根本保证。</w:t>
      </w:r>
    </w:p>
    <w:p>
      <w:pPr>
        <w:spacing w:line="570" w:lineRule="exact"/>
        <w:ind w:firstLine="602" w:firstLineChars="200"/>
        <w:rPr>
          <w:rFonts w:ascii="仿宋_GB2312" w:hAnsi="??_GB2312" w:eastAsia="仿宋_GB2312" w:cs="??_GB2312"/>
          <w:sz w:val="30"/>
          <w:szCs w:val="30"/>
        </w:rPr>
      </w:pPr>
      <w:r>
        <w:rPr>
          <w:rFonts w:ascii="宋体" w:hAnsi="宋体"/>
          <w:b/>
          <w:bCs/>
          <w:sz w:val="30"/>
          <w:szCs w:val="30"/>
        </w:rPr>
        <w:t>——</w:t>
      </w:r>
      <w:r>
        <w:rPr>
          <w:rFonts w:hint="eastAsia" w:ascii="楷体_GB2312" w:hAnsi="宋体" w:eastAsia="楷体_GB2312"/>
          <w:b/>
          <w:bCs/>
          <w:sz w:val="30"/>
          <w:szCs w:val="30"/>
        </w:rPr>
        <w:t>坚持以人民为中心。</w:t>
      </w:r>
      <w:r>
        <w:rPr>
          <w:rFonts w:hint="eastAsia" w:ascii="仿宋_GB2312" w:hAnsi="宋体" w:eastAsia="仿宋_GB2312" w:cs="宋体"/>
          <w:sz w:val="30"/>
          <w:szCs w:val="30"/>
        </w:rPr>
        <w:t>始终做到发展为了人民、发展依靠人民、发展成果由人民共享，坚持共同富裕方向，切实保障和改善民生，促进社会公平，持续增进民生福祉，不断实现人民对美好生活的向往。</w:t>
      </w:r>
    </w:p>
    <w:p>
      <w:pPr>
        <w:tabs>
          <w:tab w:val="left" w:pos="3420"/>
        </w:tabs>
        <w:spacing w:line="570" w:lineRule="exact"/>
        <w:ind w:firstLine="602" w:firstLineChars="200"/>
        <w:rPr>
          <w:rFonts w:ascii="仿宋_GB2312" w:hAnsi="??_GB2312" w:eastAsia="仿宋_GB2312" w:cs="??_GB2312"/>
          <w:sz w:val="30"/>
          <w:szCs w:val="30"/>
        </w:rPr>
      </w:pPr>
      <w:r>
        <w:rPr>
          <w:rFonts w:ascii="宋体" w:hAnsi="宋体" w:cs="楷体"/>
          <w:b/>
          <w:bCs/>
          <w:sz w:val="30"/>
          <w:szCs w:val="30"/>
        </w:rPr>
        <w:t>——</w:t>
      </w:r>
      <w:r>
        <w:rPr>
          <w:rFonts w:hint="eastAsia" w:ascii="楷体_GB2312" w:hAnsi="宋体" w:eastAsia="楷体_GB2312" w:cs="楷体"/>
          <w:b/>
          <w:bCs/>
          <w:sz w:val="30"/>
          <w:szCs w:val="30"/>
        </w:rPr>
        <w:t>坚持新发展理念。</w:t>
      </w:r>
      <w:r>
        <w:rPr>
          <w:rFonts w:hint="eastAsia" w:ascii="仿宋_GB2312" w:hAnsi="宋体" w:eastAsia="仿宋_GB2312" w:cs="宋体"/>
          <w:sz w:val="30"/>
          <w:szCs w:val="30"/>
        </w:rPr>
        <w:t>把新发展理念贯穿新阶段现代化</w:t>
      </w:r>
      <w:r>
        <w:rPr>
          <w:rFonts w:hint="eastAsia" w:ascii="仿宋_GB2312" w:hAnsi="??_GB2312" w:eastAsia="仿宋_GB2312" w:cs="??_GB2312"/>
          <w:sz w:val="30"/>
          <w:szCs w:val="30"/>
        </w:rPr>
        <w:t>“</w:t>
      </w:r>
      <w:r>
        <w:rPr>
          <w:rFonts w:hint="eastAsia" w:ascii="仿宋_GB2312" w:hAnsi="宋体" w:eastAsia="仿宋_GB2312" w:cs="宋体"/>
          <w:sz w:val="30"/>
          <w:szCs w:val="30"/>
        </w:rPr>
        <w:t>三美东至</w:t>
      </w:r>
      <w:r>
        <w:rPr>
          <w:rFonts w:hint="eastAsia" w:ascii="仿宋_GB2312" w:hAnsi="??_GB2312" w:eastAsia="仿宋_GB2312" w:cs="??_GB2312"/>
          <w:sz w:val="30"/>
          <w:szCs w:val="30"/>
        </w:rPr>
        <w:t>”</w:t>
      </w:r>
      <w:r>
        <w:rPr>
          <w:rFonts w:hint="eastAsia" w:ascii="仿宋_GB2312" w:hAnsi="宋体" w:eastAsia="仿宋_GB2312" w:cs="宋体"/>
          <w:sz w:val="30"/>
          <w:szCs w:val="30"/>
        </w:rPr>
        <w:t>建设全过程和各领域，加快质量变革、效率变革、动力变革，实现更高质量、更有效率、更加公平、更可持续、更为安全的发展，奋力在跨越崛起上</w:t>
      </w:r>
      <w:r>
        <w:rPr>
          <w:rFonts w:hint="eastAsia" w:ascii="仿宋" w:hAnsi="仿宋" w:eastAsia="仿宋" w:cs="宋体"/>
          <w:sz w:val="30"/>
          <w:szCs w:val="30"/>
        </w:rPr>
        <w:t>蹚</w:t>
      </w:r>
      <w:r>
        <w:rPr>
          <w:rFonts w:hint="eastAsia" w:ascii="仿宋_GB2312" w:hAnsi="宋体" w:eastAsia="仿宋_GB2312" w:cs="宋体"/>
          <w:sz w:val="30"/>
          <w:szCs w:val="30"/>
        </w:rPr>
        <w:t>出一条新路。</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宋体" w:eastAsia="楷体_GB2312" w:cs="楷体"/>
          <w:b/>
          <w:bCs/>
          <w:sz w:val="30"/>
          <w:szCs w:val="30"/>
        </w:rPr>
        <w:t>坚持产业强县。</w:t>
      </w:r>
      <w:r>
        <w:rPr>
          <w:rFonts w:hint="eastAsia" w:ascii="仿宋_GB2312" w:hAnsi="宋体" w:eastAsia="仿宋_GB2312" w:cs="宋体"/>
          <w:sz w:val="30"/>
          <w:szCs w:val="30"/>
        </w:rPr>
        <w:t>把发展经济着力点放在实体经济上，把发展基点放在创新上，坚定不移抓产业、抓项目、抓投入，谋深谋实特色产业发展路径，持续推进首位产业，不断壮大产业集群，提升产业链供应链现代化水平，提升经济质量效益和核心竞争力。</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宋体" w:eastAsia="楷体_GB2312" w:cs="楷体"/>
          <w:b/>
          <w:bCs/>
          <w:sz w:val="30"/>
          <w:szCs w:val="30"/>
        </w:rPr>
        <w:t>坚持深化改革开放。</w:t>
      </w:r>
      <w:r>
        <w:rPr>
          <w:rFonts w:hint="eastAsia" w:ascii="仿宋_GB2312" w:hAnsi="宋体" w:eastAsia="仿宋_GB2312" w:cs="宋体"/>
          <w:sz w:val="30"/>
          <w:szCs w:val="30"/>
        </w:rPr>
        <w:t>以更大力度解放思想、更新观念，破除制约高质量发展、高品质生活的体制机制障碍，强化有利于提高资源配置效率、有利于调动各方面积极性的重大改革开放举措，持续增强发展动力和活力。</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宋体" w:eastAsia="楷体_GB2312" w:cs="楷体"/>
          <w:b/>
          <w:bCs/>
          <w:sz w:val="30"/>
          <w:szCs w:val="30"/>
        </w:rPr>
        <w:t>坚持系统观念。</w:t>
      </w:r>
      <w:r>
        <w:rPr>
          <w:rFonts w:hint="eastAsia" w:ascii="仿宋_GB2312" w:hAnsi="宋体" w:eastAsia="仿宋_GB2312" w:cs="宋体"/>
          <w:sz w:val="30"/>
          <w:szCs w:val="30"/>
        </w:rPr>
        <w:t>加强对各领域发展的前瞻性思考、全局性谋划、战略性布局、整体性推进，强化政策协同，统筹稳增长、促改革、调结构、惠民生、防风险、保稳定，着力固根基、扬优势、补短板、强弱项，实现发展质量、结构、规模、速度、效益、安全相统一。</w:t>
      </w:r>
    </w:p>
    <w:p>
      <w:pPr>
        <w:pStyle w:val="4"/>
        <w:spacing w:before="100" w:after="100" w:line="570" w:lineRule="exact"/>
        <w:jc w:val="center"/>
        <w:rPr>
          <w:rFonts w:ascii="黑体" w:hAnsi="楷体" w:cs="楷体"/>
          <w:sz w:val="30"/>
          <w:szCs w:val="30"/>
        </w:rPr>
      </w:pPr>
      <w:bookmarkStart w:id="17" w:name="_Toc15107"/>
      <w:r>
        <w:rPr>
          <w:rFonts w:hint="eastAsia" w:ascii="黑体" w:hAnsi="楷体" w:cs="楷体"/>
          <w:sz w:val="30"/>
          <w:szCs w:val="30"/>
        </w:rPr>
        <w:t>第三章发展定位</w:t>
      </w:r>
      <w:bookmarkEnd w:id="15"/>
      <w:bookmarkEnd w:id="17"/>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宋体" w:eastAsia="楷体_GB2312" w:cs="楷体"/>
          <w:b/>
          <w:bCs/>
          <w:sz w:val="30"/>
          <w:szCs w:val="30"/>
        </w:rPr>
        <w:t>承接产业转移示范区的重要增长极。</w:t>
      </w:r>
      <w:r>
        <w:rPr>
          <w:rFonts w:hint="eastAsia" w:ascii="仿宋_GB2312" w:hAnsi="宋体" w:eastAsia="仿宋_GB2312" w:cs="宋体"/>
          <w:sz w:val="30"/>
          <w:szCs w:val="30"/>
        </w:rPr>
        <w:t>依托两个省级开发区，全面承接长三角产业转移，以推进实施化学药品与原料药制造重大新兴产业工程为契机，积极参与长三角优势产业分工，围绕现代化工、钙产业、绿色食品进一步建强、补齐、延伸产业配套链条，构建切合东至发展实际的现代产业新体系，着力打造承接长三角产业转移示范区的重要增长极。</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长三角重要旅游目的地、重要休闲康养基地、绿色有机农产品生产供应基地。</w:t>
      </w:r>
      <w:r>
        <w:rPr>
          <w:rFonts w:hint="eastAsia" w:ascii="仿宋_GB2312" w:hAnsi="宋体" w:eastAsia="仿宋_GB2312" w:cs="宋体"/>
          <w:sz w:val="30"/>
          <w:szCs w:val="30"/>
        </w:rPr>
        <w:t>大力发展文旅大健康产业，深化长三角养老一体化试点，打造一批“度假式养老”基地。大力发展“旅游</w:t>
      </w:r>
      <w:r>
        <w:rPr>
          <w:rFonts w:ascii="仿宋_GB2312" w:hAnsi="宋体" w:eastAsia="仿宋_GB2312" w:cs="宋体"/>
          <w:sz w:val="30"/>
          <w:szCs w:val="30"/>
        </w:rPr>
        <w:t>+</w:t>
      </w:r>
      <w:r>
        <w:rPr>
          <w:rFonts w:hint="eastAsia" w:ascii="仿宋_GB2312" w:hAnsi="宋体" w:eastAsia="仿宋_GB2312" w:cs="宋体"/>
          <w:sz w:val="30"/>
          <w:szCs w:val="30"/>
        </w:rPr>
        <w:t>”新业态，深入推进皖南国际文化旅游示范区建设，加强与杭黄国际旅游廊道对接，加快创成国家全域旅游示范区。依托北纬</w:t>
      </w:r>
      <w:r>
        <w:rPr>
          <w:rFonts w:ascii="仿宋_GB2312" w:hAnsi="宋体" w:eastAsia="仿宋_GB2312" w:cs="宋体"/>
          <w:sz w:val="30"/>
          <w:szCs w:val="30"/>
        </w:rPr>
        <w:t>30</w:t>
      </w:r>
      <w:r>
        <w:rPr>
          <w:rFonts w:hint="eastAsia" w:ascii="仿宋_GB2312" w:hAnsi="宋体" w:eastAsia="仿宋_GB2312" w:cs="宋体"/>
          <w:sz w:val="30"/>
          <w:szCs w:val="30"/>
        </w:rPr>
        <w:t>°优越地理位置，大力发展“东至特色”高效农业，引导支持农业经营主体与长三角品牌农产品交易市场对接，推进东至优质农产品进入长三角居民的“菜篮子”，着力打造长三角重要旅游目的地、重要休闲康养基地、绿色有机农产品生产供应基地。</w:t>
      </w:r>
    </w:p>
    <w:p>
      <w:pPr>
        <w:pStyle w:val="7"/>
        <w:snapToGrid/>
        <w:spacing w:line="570" w:lineRule="exact"/>
        <w:ind w:firstLine="602" w:firstLineChars="200"/>
        <w:rPr>
          <w:rFonts w:ascii="仿宋_GB2312" w:eastAsia="仿宋_GB2312"/>
          <w:sz w:val="30"/>
          <w:szCs w:val="30"/>
        </w:rPr>
      </w:pPr>
      <w:r>
        <w:rPr>
          <w:rFonts w:ascii="宋体" w:hAnsi="宋体" w:cs="楷体"/>
          <w:b/>
          <w:bCs/>
          <w:sz w:val="30"/>
          <w:szCs w:val="30"/>
        </w:rPr>
        <w:t>——</w:t>
      </w:r>
      <w:r>
        <w:rPr>
          <w:rFonts w:hint="eastAsia" w:ascii="楷体_GB2312" w:hAnsi="楷体" w:eastAsia="楷体_GB2312" w:cs="楷体"/>
          <w:b/>
          <w:bCs/>
          <w:sz w:val="30"/>
          <w:szCs w:val="30"/>
        </w:rPr>
        <w:t>长三角有影响力的省际边界县。</w:t>
      </w:r>
      <w:r>
        <w:rPr>
          <w:rFonts w:hint="eastAsia" w:ascii="仿宋_GB2312" w:hAnsi="宋体" w:eastAsia="仿宋_GB2312" w:cs="宋体"/>
          <w:sz w:val="30"/>
          <w:szCs w:val="30"/>
        </w:rPr>
        <w:t>积极呼应长江经济带与长三角一体化战略，积极对接沪苏浙，重点接轨合肥都市圈和</w:t>
      </w:r>
      <w:r>
        <w:rPr>
          <w:rFonts w:ascii="仿宋_GB2312" w:hAnsi="宋体" w:eastAsia="仿宋_GB2312" w:cs="宋体"/>
          <w:sz w:val="30"/>
          <w:szCs w:val="30"/>
        </w:rPr>
        <w:t>G50</w:t>
      </w:r>
      <w:r>
        <w:rPr>
          <w:rFonts w:hint="eastAsia" w:ascii="仿宋_GB2312" w:hAnsi="宋体" w:eastAsia="仿宋_GB2312" w:cs="宋体"/>
          <w:sz w:val="30"/>
          <w:szCs w:val="30"/>
        </w:rPr>
        <w:t>绿色发展走廊，坚持双创带动与双轮驱动，坚持开放合作一盘棋，进一步优化营商环境，推动贸易便利化与外资外贸外经联动发展，努力在更高水平、更广范围内与长三角区域实现基础设施互联互通、重大产业协同发展、公共服务共建共享，打造长三角绿色能源供应基地，全力打造长三角有影响力的省际边界县，展现安徽省边际大县“门户”担当。</w:t>
      </w:r>
    </w:p>
    <w:p>
      <w:pPr>
        <w:pStyle w:val="4"/>
        <w:spacing w:before="100" w:after="100" w:line="570" w:lineRule="exact"/>
        <w:jc w:val="center"/>
        <w:rPr>
          <w:rFonts w:ascii="黑体" w:hAnsi="楷体" w:cs="楷体"/>
          <w:sz w:val="30"/>
          <w:szCs w:val="30"/>
        </w:rPr>
      </w:pPr>
      <w:bookmarkStart w:id="18" w:name="_Toc16847"/>
      <w:r>
        <w:rPr>
          <w:rFonts w:hint="eastAsia" w:ascii="黑体" w:hAnsi="楷体" w:cs="楷体"/>
          <w:sz w:val="30"/>
          <w:szCs w:val="30"/>
        </w:rPr>
        <w:t>第四章发展</w:t>
      </w:r>
      <w:bookmarkEnd w:id="16"/>
      <w:r>
        <w:rPr>
          <w:rFonts w:hint="eastAsia" w:ascii="黑体" w:hAnsi="楷体" w:cs="楷体"/>
          <w:sz w:val="30"/>
          <w:szCs w:val="30"/>
        </w:rPr>
        <w:t>战略</w:t>
      </w:r>
      <w:bookmarkEnd w:id="18"/>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生态立县战略。</w:t>
      </w:r>
      <w:r>
        <w:rPr>
          <w:rFonts w:hint="eastAsia" w:ascii="仿宋_GB2312" w:hAnsi="宋体" w:eastAsia="仿宋_GB2312" w:cs="宋体"/>
          <w:sz w:val="30"/>
          <w:szCs w:val="30"/>
        </w:rPr>
        <w:t>以优化生态环境、推进绿色发展为主线，以国家级生态县建设为抓手，深入推进重点生态功能区建设，持续打造水清岸绿产业优美丽长江经济带（东至段），大力开展国家生态文明建设示范县、实践创新基地、全域旅游示范区创建工作，基本形成三产融合、“三生”（生产生活生态）协调的绿色发展新格局。</w:t>
      </w:r>
    </w:p>
    <w:p>
      <w:pPr>
        <w:spacing w:line="570" w:lineRule="exact"/>
        <w:ind w:firstLine="602" w:firstLineChars="200"/>
        <w:rPr>
          <w:rFonts w:ascii="??_GB2312" w:hAnsi="宋体" w:eastAsia="Times New Roman" w:cs="宋体"/>
          <w:sz w:val="30"/>
          <w:szCs w:val="30"/>
        </w:rPr>
      </w:pPr>
      <w:r>
        <w:rPr>
          <w:rFonts w:ascii="宋体" w:hAnsi="宋体" w:cs="楷体"/>
          <w:b/>
          <w:bCs/>
          <w:sz w:val="30"/>
          <w:szCs w:val="30"/>
        </w:rPr>
        <w:t>——</w:t>
      </w:r>
      <w:r>
        <w:rPr>
          <w:rFonts w:hint="eastAsia" w:ascii="楷体_GB2312" w:hAnsi="楷体" w:eastAsia="楷体_GB2312" w:cs="楷体"/>
          <w:b/>
          <w:bCs/>
          <w:sz w:val="30"/>
          <w:szCs w:val="30"/>
        </w:rPr>
        <w:t>产业强县战略。</w:t>
      </w:r>
      <w:r>
        <w:rPr>
          <w:rFonts w:hint="eastAsia" w:ascii="仿宋_GB2312" w:hAnsi="宋体" w:eastAsia="仿宋_GB2312" w:cs="宋体"/>
          <w:sz w:val="30"/>
          <w:szCs w:val="30"/>
        </w:rPr>
        <w:t>聚焦高质量发展，聚力打好产业基础高质化和产业链高端化攻坚战，全力培育现代化工、钙产业、绿色食品等特色产业集群，壮大战略性新兴产业、高新技术产业，突出发展先进制造业，着力发展现代服务业、现代农业，不断催生新产业、新业态、新模式，确保经济增长的速度、质量和效益的有机统一。</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创新驱动战略。</w:t>
      </w:r>
      <w:r>
        <w:rPr>
          <w:rFonts w:hint="eastAsia" w:ascii="仿宋_GB2312" w:hAnsi="宋体" w:eastAsia="仿宋_GB2312" w:cs="宋体"/>
          <w:sz w:val="30"/>
          <w:szCs w:val="30"/>
        </w:rPr>
        <w:t>把创新作为引领发展的第一动力，协同推进内源提升和外源引进，坚持科技创新和制度创新“双轮驱动”，集聚产业发展优质资源，优化科技创新资源布局，提升科技创新平台，持续激发企业主体创新活力，改善科技创新生态，构建高质量科技创新产业体系，推动东至制造向更大规模、更优质量、更高层次迈进，实现国家级科技企业孵化器、省级技术创新中心、省级农业科技园区和省级高新技术产业园区新突破。</w:t>
      </w:r>
    </w:p>
    <w:p>
      <w:pPr>
        <w:pStyle w:val="5"/>
        <w:spacing w:line="570" w:lineRule="exact"/>
        <w:ind w:left="0" w:right="283" w:firstLine="602" w:firstLineChars="200"/>
        <w:jc w:val="both"/>
        <w:rPr>
          <w:rFonts w:hAnsi="宋体" w:eastAsia="Times New Roman" w:cs="宋体"/>
          <w:kern w:val="2"/>
          <w:sz w:val="30"/>
          <w:szCs w:val="30"/>
          <w:lang w:val="en-US"/>
        </w:rPr>
      </w:pPr>
      <w:r>
        <w:rPr>
          <w:rFonts w:ascii="宋体" w:hAnsi="宋体" w:cs="楷体"/>
          <w:b/>
          <w:bCs/>
          <w:kern w:val="2"/>
          <w:sz w:val="30"/>
          <w:szCs w:val="30"/>
          <w:lang w:val="en-US"/>
        </w:rPr>
        <w:t>——</w:t>
      </w:r>
      <w:r>
        <w:rPr>
          <w:rFonts w:hint="eastAsia" w:ascii="楷体_GB2312" w:hAnsi="楷体" w:eastAsia="楷体_GB2312" w:cs="楷体"/>
          <w:b/>
          <w:bCs/>
          <w:kern w:val="2"/>
          <w:sz w:val="30"/>
          <w:szCs w:val="30"/>
          <w:lang w:val="en-US"/>
        </w:rPr>
        <w:t>开放发展战略。</w:t>
      </w:r>
      <w:r>
        <w:rPr>
          <w:rFonts w:hint="eastAsia" w:ascii="仿宋_GB2312" w:hAnsi="宋体" w:eastAsia="仿宋_GB2312" w:cs="宋体"/>
          <w:kern w:val="2"/>
          <w:sz w:val="30"/>
          <w:szCs w:val="30"/>
          <w:lang w:val="en-US"/>
        </w:rPr>
        <w:t>立足区位优势，全面深度融入长三角一体化和长江中游城市群发展，以交通基础设施建设完善为先导，“东进西联，南接北融”，进一步深化外联合作，加强政策对接、产业对接、项目对接，努力实现市场相通、交通相连、人才互通、产业互补，打通优质资源要素流动通道，努力打造省际交界地区高质量发展样板区。全方位升级开放型经济，营造最优营商环境，提高县域开放度和经济外向度，多渠道沟通、宽领域合作，高水平承接产业转移，精准招商，借力发展，努力拓展经济社会发展的空间和领域。</w:t>
      </w:r>
    </w:p>
    <w:p>
      <w:pPr>
        <w:pStyle w:val="4"/>
        <w:spacing w:before="100" w:after="100" w:line="570" w:lineRule="exact"/>
        <w:jc w:val="center"/>
        <w:rPr>
          <w:rFonts w:ascii="黑体" w:hAnsi="楷体" w:cs="楷体"/>
          <w:sz w:val="30"/>
          <w:szCs w:val="30"/>
        </w:rPr>
      </w:pPr>
      <w:bookmarkStart w:id="19" w:name="_Toc15641"/>
      <w:bookmarkStart w:id="20" w:name="_Toc20726"/>
      <w:r>
        <w:rPr>
          <w:rFonts w:hint="eastAsia" w:ascii="黑体" w:hAnsi="楷体" w:cs="楷体"/>
          <w:sz w:val="30"/>
          <w:szCs w:val="30"/>
        </w:rPr>
        <w:t>第五章发展目标</w:t>
      </w:r>
      <w:bookmarkEnd w:id="19"/>
      <w:bookmarkEnd w:id="20"/>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到二○三五年基本实现社会主义现代化远景目标。</w:t>
      </w:r>
      <w:r>
        <w:rPr>
          <w:rFonts w:hint="eastAsia" w:ascii="仿宋_GB2312" w:hAnsi="宋体" w:eastAsia="仿宋_GB2312" w:cs="宋体"/>
          <w:sz w:val="30"/>
          <w:szCs w:val="30"/>
        </w:rPr>
        <w:t>按照党的十九大对实现第二个百年奋斗目标作出分两个阶段推进的战略安排，按照省委十届六次全会“一建设三同步”的决策部署，展望二○三五年，经济总量和城乡居民人均收入较二○二○年翻一番以上，人均地区生产总值与长三角地区平均水平差距进一步缩小，综合实力保持在全省同类县第一方阵，基本实现新型工业化、信息化、城镇化、农业现代化，基本建成现代产业体系、现代城镇体系、现代基础设施体系，形成具有东至特点的现代化经济体系；社会治理体系和治理能力现代化实现新提升，人民平等参与、平等发展权利得到充分保障，基本建成法治东至、法治政府、法治社会；国民素质和社会文明程度达到新高度，建成教育强县、文化名县和健康东至；广泛形成绿色生产生活方式，绿色成为发展新优势，建成生态强县、旅游名县，奋力争当绿水青山和金山银山有机统一的排头兵；对外开放形成新格局，基础设施和公共服务互联互通基本实现，现代化综合交通体系和现代流通体系基本形成，现代化工等特色产业影响力更加凸显，参与长三角一体化合作和竞争优势明显增强；城乡南北发展差距显著缩小，基本公共服务实现均等化，平安东至建设达到新水平；人民美好生活谱写新篇章，人的全面发展、全县人民共同富裕取得更为明显的实质性进展。</w:t>
      </w:r>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锚定二○三五年远景目标，认真贯彻落实习近平总书记考察安徽提出的强化“两个坚持”、实现“两个更大”的目标要求，坚定不移以新发展理念加速发展，努力打造区域协调发展新样板、谱写全面绿色转型新篇章、构筑改革开放新高地、绘就山水人城和谐相融新画卷，紧紧围绕“一极三地一门户”的定位，坚定地朝着经济强、百姓富、生态美的新阶段现代化“三美东至”进军，努力实现“总量进位、增速居前、人均争先”，进入全省同类县第一方阵，为</w:t>
      </w:r>
      <w:r>
        <w:rPr>
          <w:rFonts w:ascii="仿宋_GB2312" w:hAnsi="宋体" w:eastAsia="仿宋_GB2312" w:cs="宋体"/>
          <w:sz w:val="30"/>
          <w:szCs w:val="30"/>
        </w:rPr>
        <w:t>2035</w:t>
      </w:r>
      <w:r>
        <w:rPr>
          <w:rFonts w:hint="eastAsia" w:ascii="仿宋_GB2312" w:hAnsi="宋体" w:eastAsia="仿宋_GB2312" w:cs="宋体"/>
          <w:sz w:val="30"/>
          <w:szCs w:val="30"/>
        </w:rPr>
        <w:t>年基本实现现代化奠定坚实基础。“十四五”时期我县经济社会发展要努力实现以下主要目标。</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综合实力实现新跨越。</w:t>
      </w:r>
      <w:r>
        <w:rPr>
          <w:rFonts w:hint="eastAsia" w:ascii="仿宋_GB2312" w:hAnsi="宋体" w:eastAsia="仿宋_GB2312" w:cs="宋体"/>
          <w:sz w:val="30"/>
          <w:szCs w:val="30"/>
        </w:rPr>
        <w:t>经济总量在全市的比重进一步提升，地区生产总值达到</w:t>
      </w:r>
      <w:r>
        <w:rPr>
          <w:rFonts w:ascii="仿宋_GB2312" w:hAnsi="宋体" w:eastAsia="仿宋_GB2312" w:cs="宋体"/>
          <w:sz w:val="30"/>
          <w:szCs w:val="30"/>
        </w:rPr>
        <w:t>350</w:t>
      </w:r>
      <w:r>
        <w:rPr>
          <w:rFonts w:hint="eastAsia" w:ascii="仿宋_GB2312" w:hAnsi="宋体" w:eastAsia="仿宋_GB2312" w:cs="宋体"/>
          <w:sz w:val="30"/>
          <w:szCs w:val="30"/>
        </w:rPr>
        <w:t>亿元以上，在全省同类县进位次，人均地区生产总值与全省和长三角的差距持续缩小。规上工业主营业务收入超过</w:t>
      </w:r>
      <w:r>
        <w:rPr>
          <w:rFonts w:ascii="仿宋_GB2312" w:hAnsi="宋体" w:eastAsia="仿宋_GB2312" w:cs="宋体"/>
          <w:sz w:val="30"/>
          <w:szCs w:val="30"/>
        </w:rPr>
        <w:t>300</w:t>
      </w:r>
      <w:r>
        <w:rPr>
          <w:rFonts w:hint="eastAsia" w:ascii="仿宋_GB2312" w:hAnsi="宋体" w:eastAsia="仿宋_GB2312" w:cs="宋体"/>
          <w:sz w:val="30"/>
          <w:szCs w:val="30"/>
        </w:rPr>
        <w:t>亿元，一般公共预算收入与经济增长相匹配，收入质量进一步提高，主要经济指标增幅高于全省平均水平。现代化产业体系建设取得重大进展。</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经济结构实现新优化。</w:t>
      </w:r>
      <w:r>
        <w:rPr>
          <w:rFonts w:hint="eastAsia" w:ascii="仿宋_GB2312" w:hAnsi="宋体" w:eastAsia="仿宋_GB2312" w:cs="宋体"/>
          <w:sz w:val="30"/>
          <w:szCs w:val="30"/>
        </w:rPr>
        <w:t>三次产业结构优化调整为</w:t>
      </w:r>
      <w:r>
        <w:rPr>
          <w:rFonts w:ascii="仿宋_GB2312" w:hAnsi="宋体" w:eastAsia="仿宋_GB2312" w:cs="宋体"/>
          <w:sz w:val="30"/>
          <w:szCs w:val="30"/>
        </w:rPr>
        <w:t>12</w:t>
      </w:r>
      <w:r>
        <w:rPr>
          <w:rFonts w:hint="eastAsia" w:ascii="仿宋_GB2312" w:hAnsi="宋体" w:eastAsia="仿宋_GB2312" w:cs="宋体"/>
          <w:sz w:val="30"/>
          <w:szCs w:val="30"/>
        </w:rPr>
        <w:t>：</w:t>
      </w:r>
      <w:r>
        <w:rPr>
          <w:rFonts w:ascii="仿宋_GB2312" w:hAnsi="宋体" w:eastAsia="仿宋_GB2312" w:cs="宋体"/>
          <w:sz w:val="30"/>
          <w:szCs w:val="30"/>
        </w:rPr>
        <w:t>46</w:t>
      </w:r>
      <w:r>
        <w:rPr>
          <w:rFonts w:hint="eastAsia" w:ascii="仿宋_GB2312" w:hAnsi="宋体" w:eastAsia="仿宋_GB2312" w:cs="宋体"/>
          <w:sz w:val="30"/>
          <w:szCs w:val="30"/>
        </w:rPr>
        <w:t>：</w:t>
      </w:r>
      <w:r>
        <w:rPr>
          <w:rFonts w:ascii="仿宋_GB2312" w:hAnsi="宋体" w:eastAsia="仿宋_GB2312" w:cs="宋体"/>
          <w:sz w:val="30"/>
          <w:szCs w:val="30"/>
        </w:rPr>
        <w:t>42</w:t>
      </w:r>
      <w:r>
        <w:rPr>
          <w:rFonts w:hint="eastAsia" w:ascii="仿宋_GB2312" w:hAnsi="宋体" w:eastAsia="仿宋_GB2312" w:cs="宋体"/>
          <w:sz w:val="30"/>
          <w:szCs w:val="30"/>
        </w:rPr>
        <w:t>，工业实力显著增强、质量效率提高，制造业比重保持</w:t>
      </w:r>
      <w:r>
        <w:rPr>
          <w:rFonts w:ascii="仿宋_GB2312" w:hAnsi="宋体" w:eastAsia="仿宋_GB2312" w:cs="宋体"/>
          <w:sz w:val="30"/>
          <w:szCs w:val="30"/>
        </w:rPr>
        <w:t>35%</w:t>
      </w:r>
      <w:r>
        <w:rPr>
          <w:rFonts w:hint="eastAsia" w:ascii="仿宋_GB2312" w:hAnsi="宋体" w:eastAsia="仿宋_GB2312" w:cs="宋体"/>
          <w:sz w:val="30"/>
          <w:szCs w:val="30"/>
        </w:rPr>
        <w:t>以上，新增规模以上企业</w:t>
      </w:r>
      <w:r>
        <w:rPr>
          <w:rFonts w:ascii="仿宋_GB2312" w:hAnsi="宋体" w:eastAsia="仿宋_GB2312" w:cs="宋体"/>
          <w:sz w:val="30"/>
          <w:szCs w:val="30"/>
        </w:rPr>
        <w:t>60</w:t>
      </w:r>
      <w:r>
        <w:rPr>
          <w:rFonts w:hint="eastAsia" w:ascii="仿宋_GB2312" w:hAnsi="宋体" w:eastAsia="仿宋_GB2312" w:cs="宋体"/>
          <w:sz w:val="30"/>
          <w:szCs w:val="30"/>
        </w:rPr>
        <w:t>家以上，规上农产品加工业产值占农业总产值比重明显上升，战略性新兴产业企业达到</w:t>
      </w:r>
      <w:r>
        <w:rPr>
          <w:rFonts w:ascii="仿宋_GB2312" w:hAnsi="宋体" w:eastAsia="仿宋_GB2312" w:cs="宋体"/>
          <w:sz w:val="30"/>
          <w:szCs w:val="30"/>
        </w:rPr>
        <w:t>50</w:t>
      </w:r>
      <w:r>
        <w:rPr>
          <w:rFonts w:hint="eastAsia" w:ascii="仿宋_GB2312" w:hAnsi="宋体" w:eastAsia="仿宋_GB2312" w:cs="宋体"/>
          <w:sz w:val="30"/>
          <w:szCs w:val="30"/>
        </w:rPr>
        <w:t>家，战略性新兴产业产值、高新技术产业增加值增速保持全市前列，数字经济发展形成一定的规模。</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改革开放实现新突破。</w:t>
      </w:r>
      <w:r>
        <w:rPr>
          <w:rFonts w:hint="eastAsia" w:ascii="仿宋_GB2312" w:hAnsi="宋体" w:eastAsia="仿宋_GB2312" w:cs="宋体"/>
          <w:sz w:val="30"/>
          <w:szCs w:val="30"/>
        </w:rPr>
        <w:t>重要领域和关键环节改革取得明显进展，部分改革走在全省前列，市场化机制更活，民营经济增加值占</w:t>
      </w:r>
      <w:r>
        <w:rPr>
          <w:rFonts w:ascii="仿宋_GB2312" w:hAnsi="宋体" w:eastAsia="仿宋_GB2312" w:cs="宋体"/>
          <w:sz w:val="30"/>
          <w:szCs w:val="30"/>
        </w:rPr>
        <w:t>GDP</w:t>
      </w:r>
      <w:r>
        <w:rPr>
          <w:rFonts w:hint="eastAsia" w:ascii="仿宋_GB2312" w:hAnsi="宋体" w:eastAsia="仿宋_GB2312" w:cs="宋体"/>
          <w:sz w:val="30"/>
          <w:szCs w:val="30"/>
        </w:rPr>
        <w:t>比重达到</w:t>
      </w:r>
      <w:r>
        <w:rPr>
          <w:rFonts w:ascii="仿宋_GB2312" w:hAnsi="宋体" w:eastAsia="仿宋_GB2312" w:cs="宋体"/>
          <w:sz w:val="30"/>
          <w:szCs w:val="30"/>
        </w:rPr>
        <w:t>70%</w:t>
      </w:r>
      <w:r>
        <w:rPr>
          <w:rFonts w:hint="eastAsia" w:ascii="仿宋_GB2312" w:hAnsi="宋体" w:eastAsia="仿宋_GB2312" w:cs="宋体"/>
          <w:sz w:val="30"/>
          <w:szCs w:val="30"/>
        </w:rPr>
        <w:t>以上。对内对外开放广度和深度不断拓展，与长三角互动交流趋于紧密，实际利用外资年均增长</w:t>
      </w:r>
      <w:r>
        <w:rPr>
          <w:rFonts w:ascii="仿宋_GB2312" w:hAnsi="宋体" w:eastAsia="仿宋_GB2312" w:cs="宋体"/>
          <w:sz w:val="30"/>
          <w:szCs w:val="30"/>
        </w:rPr>
        <w:t>10%</w:t>
      </w:r>
      <w:r>
        <w:rPr>
          <w:rFonts w:hint="eastAsia" w:ascii="仿宋_GB2312" w:hAnsi="宋体" w:eastAsia="仿宋_GB2312" w:cs="宋体"/>
          <w:sz w:val="30"/>
          <w:szCs w:val="30"/>
        </w:rPr>
        <w:t>以上，承接产业转移水平显著提高，安徽西南门户形象大幅提升。</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生态优势实现新彰显。</w:t>
      </w:r>
      <w:r>
        <w:rPr>
          <w:rFonts w:hint="eastAsia" w:ascii="仿宋_GB2312" w:hAnsi="宋体" w:eastAsia="仿宋_GB2312" w:cs="宋体"/>
          <w:sz w:val="30"/>
          <w:szCs w:val="30"/>
        </w:rPr>
        <w:t>生态文明理念深入人心，生产空间、生活空间、生态空间布局更为科学，生态质量明显改善，绿色发展水平明显提升，绿色发展指数居全省前列，森林覆盖率力争达到</w:t>
      </w:r>
      <w:r>
        <w:rPr>
          <w:rFonts w:ascii="仿宋_GB2312" w:hAnsi="宋体" w:eastAsia="仿宋_GB2312" w:cs="宋体"/>
          <w:sz w:val="30"/>
          <w:szCs w:val="30"/>
        </w:rPr>
        <w:t>59%</w:t>
      </w:r>
      <w:r>
        <w:rPr>
          <w:rFonts w:hint="eastAsia" w:ascii="仿宋_GB2312" w:hAnsi="宋体" w:eastAsia="仿宋_GB2312" w:cs="宋体"/>
          <w:sz w:val="30"/>
          <w:szCs w:val="30"/>
        </w:rPr>
        <w:t>，主要污染物排放、单位</w:t>
      </w:r>
      <w:r>
        <w:rPr>
          <w:rFonts w:ascii="仿宋_GB2312" w:hAnsi="宋体" w:eastAsia="仿宋_GB2312" w:cs="宋体"/>
          <w:sz w:val="30"/>
          <w:szCs w:val="30"/>
        </w:rPr>
        <w:t>GDP</w:t>
      </w:r>
      <w:r>
        <w:rPr>
          <w:rFonts w:hint="eastAsia" w:ascii="仿宋_GB2312" w:hAnsi="宋体" w:eastAsia="仿宋_GB2312" w:cs="宋体"/>
          <w:sz w:val="30"/>
          <w:szCs w:val="30"/>
        </w:rPr>
        <w:t>能耗完成省、市下达目标，农业面源污染有效控制，空气质量不断改善、水质水资源达到考核要求、土壤环境有效管控，绿色生态屏障更加巩固。</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民生福祉实现新跃升。</w:t>
      </w:r>
      <w:r>
        <w:rPr>
          <w:rFonts w:hint="eastAsia" w:ascii="仿宋_GB2312" w:hAnsi="宋体" w:eastAsia="仿宋_GB2312" w:cs="宋体"/>
          <w:sz w:val="30"/>
          <w:szCs w:val="30"/>
        </w:rPr>
        <w:t>民生投入力度持续加大，实现更加充分更高质量的就业，居民收入增长高于经济增长，城乡常住居民人均可支配收入分别超过</w:t>
      </w:r>
      <w:r>
        <w:rPr>
          <w:rFonts w:ascii="仿宋_GB2312" w:hAnsi="宋体" w:eastAsia="仿宋_GB2312" w:cs="宋体"/>
          <w:sz w:val="30"/>
          <w:szCs w:val="30"/>
        </w:rPr>
        <w:t>5</w:t>
      </w:r>
      <w:r>
        <w:rPr>
          <w:rFonts w:hint="eastAsia" w:ascii="仿宋_GB2312" w:hAnsi="宋体" w:eastAsia="仿宋_GB2312" w:cs="宋体"/>
          <w:sz w:val="30"/>
          <w:szCs w:val="30"/>
        </w:rPr>
        <w:t>万元和</w:t>
      </w:r>
      <w:r>
        <w:rPr>
          <w:rFonts w:ascii="仿宋_GB2312" w:hAnsi="宋体" w:eastAsia="仿宋_GB2312" w:cs="宋体"/>
          <w:sz w:val="30"/>
          <w:szCs w:val="30"/>
        </w:rPr>
        <w:t>3</w:t>
      </w:r>
      <w:r>
        <w:rPr>
          <w:rFonts w:hint="eastAsia" w:ascii="仿宋_GB2312" w:hAnsi="宋体" w:eastAsia="仿宋_GB2312" w:cs="宋体"/>
          <w:sz w:val="30"/>
          <w:szCs w:val="30"/>
        </w:rPr>
        <w:t>万元，人民受教育程度不断提升，社会保障体系更加健全，卫生健康体系更加完善，脱贫攻坚成果巩固拓展，乡村振兴战略全面推进，人民群众生活质量明显提高。</w:t>
      </w:r>
    </w:p>
    <w:p>
      <w:pPr>
        <w:spacing w:line="570" w:lineRule="exact"/>
        <w:ind w:firstLine="602" w:firstLineChars="200"/>
        <w:rPr>
          <w:rFonts w:ascii="仿宋_GB2312" w:hAnsi="宋体" w:eastAsia="仿宋_GB2312" w:cs="宋体"/>
          <w:sz w:val="30"/>
          <w:szCs w:val="30"/>
        </w:rPr>
      </w:pPr>
      <w:r>
        <w:rPr>
          <w:rFonts w:ascii="宋体" w:hAnsi="宋体" w:cs="楷体"/>
          <w:b/>
          <w:bCs/>
          <w:sz w:val="30"/>
          <w:szCs w:val="30"/>
        </w:rPr>
        <w:t>——</w:t>
      </w:r>
      <w:r>
        <w:rPr>
          <w:rFonts w:hint="eastAsia" w:ascii="楷体_GB2312" w:hAnsi="楷体" w:eastAsia="楷体_GB2312" w:cs="楷体"/>
          <w:b/>
          <w:bCs/>
          <w:sz w:val="30"/>
          <w:szCs w:val="30"/>
        </w:rPr>
        <w:t>治理能力实现新提升。</w:t>
      </w:r>
      <w:r>
        <w:rPr>
          <w:rFonts w:hint="eastAsia" w:ascii="仿宋_GB2312" w:hAnsi="宋体" w:eastAsia="仿宋_GB2312" w:cs="宋体"/>
          <w:sz w:val="30"/>
          <w:szCs w:val="30"/>
        </w:rPr>
        <w:t>法治东至、法治政府、法治社会建设取得积极进展，共建共治共享的社会治理新格局基本形成。平安东至建设不断深化，防范化解重大风险体制机制有效健全，突发公共事件应急能力显著增强，自然灾害防御水平明显提升，统筹发展和安全更加有力。</w:t>
      </w:r>
    </w:p>
    <w:p>
      <w:pPr>
        <w:spacing w:line="570" w:lineRule="exact"/>
        <w:jc w:val="center"/>
        <w:rPr>
          <w:rFonts w:ascii="黑体" w:hAnsi="黑体" w:eastAsia="黑体" w:cs="黑体"/>
          <w:sz w:val="28"/>
          <w:szCs w:val="28"/>
        </w:rPr>
      </w:pPr>
      <w:r>
        <w:rPr>
          <w:rFonts w:hint="eastAsia" w:ascii="黑体" w:hAnsi="黑体" w:eastAsia="黑体" w:cs="黑体"/>
          <w:sz w:val="28"/>
          <w:szCs w:val="28"/>
        </w:rPr>
        <w:t>专栏</w:t>
      </w:r>
      <w:r>
        <w:rPr>
          <w:rFonts w:ascii="黑体" w:hAnsi="黑体" w:eastAsia="黑体" w:cs="黑体"/>
          <w:sz w:val="28"/>
          <w:szCs w:val="28"/>
        </w:rPr>
        <w:t xml:space="preserve">2  </w:t>
      </w:r>
      <w:r>
        <w:rPr>
          <w:rFonts w:hint="eastAsia" w:ascii="黑体" w:hAnsi="黑体" w:eastAsia="黑体" w:cs="黑体"/>
          <w:sz w:val="28"/>
          <w:szCs w:val="28"/>
        </w:rPr>
        <w:t>“十四五”时期经济社会发展的主要目标</w:t>
      </w:r>
    </w:p>
    <w:p>
      <w:pPr>
        <w:pStyle w:val="2"/>
      </w:pPr>
    </w:p>
    <w:tbl>
      <w:tblPr>
        <w:tblStyle w:val="13"/>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8"/>
        <w:gridCol w:w="1815"/>
        <w:gridCol w:w="1491"/>
        <w:gridCol w:w="1311"/>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blHeader/>
          <w:jc w:val="center"/>
        </w:trPr>
        <w:tc>
          <w:tcPr>
            <w:tcW w:w="4088" w:type="dxa"/>
            <w:vAlign w:val="center"/>
          </w:tcPr>
          <w:p>
            <w:pPr>
              <w:widowControl/>
              <w:spacing w:line="400" w:lineRule="exact"/>
              <w:jc w:val="center"/>
              <w:rPr>
                <w:rFonts w:ascii="黑体" w:hAnsi="仿宋" w:eastAsia="黑体" w:cs="仿宋"/>
                <w:bCs/>
                <w:kern w:val="0"/>
                <w:sz w:val="24"/>
                <w:szCs w:val="24"/>
              </w:rPr>
            </w:pPr>
            <w:r>
              <w:rPr>
                <w:rFonts w:hint="eastAsia" w:ascii="黑体" w:hAnsi="仿宋" w:eastAsia="黑体" w:cs="仿宋"/>
                <w:bCs/>
                <w:kern w:val="0"/>
                <w:sz w:val="24"/>
                <w:szCs w:val="24"/>
              </w:rPr>
              <w:t>指标名称</w:t>
            </w:r>
          </w:p>
        </w:tc>
        <w:tc>
          <w:tcPr>
            <w:tcW w:w="1815" w:type="dxa"/>
            <w:vAlign w:val="center"/>
          </w:tcPr>
          <w:p>
            <w:pPr>
              <w:widowControl/>
              <w:spacing w:line="400" w:lineRule="exact"/>
              <w:jc w:val="center"/>
              <w:rPr>
                <w:rFonts w:ascii="黑体" w:hAnsi="仿宋" w:eastAsia="黑体" w:cs="仿宋"/>
                <w:bCs/>
                <w:kern w:val="0"/>
                <w:sz w:val="24"/>
                <w:szCs w:val="24"/>
              </w:rPr>
            </w:pPr>
            <w:r>
              <w:rPr>
                <w:rFonts w:ascii="黑体" w:hAnsi="仿宋" w:eastAsia="黑体" w:cs="仿宋"/>
                <w:bCs/>
                <w:kern w:val="0"/>
                <w:sz w:val="24"/>
                <w:szCs w:val="24"/>
              </w:rPr>
              <w:t>2020</w:t>
            </w:r>
            <w:r>
              <w:rPr>
                <w:rFonts w:hint="eastAsia" w:ascii="黑体" w:hAnsi="仿宋" w:eastAsia="黑体" w:cs="仿宋"/>
                <w:bCs/>
                <w:kern w:val="0"/>
                <w:sz w:val="24"/>
                <w:szCs w:val="24"/>
              </w:rPr>
              <w:t>年完成数</w:t>
            </w:r>
          </w:p>
        </w:tc>
        <w:tc>
          <w:tcPr>
            <w:tcW w:w="1491" w:type="dxa"/>
            <w:vAlign w:val="center"/>
          </w:tcPr>
          <w:p>
            <w:pPr>
              <w:widowControl/>
              <w:spacing w:line="400" w:lineRule="exact"/>
              <w:jc w:val="center"/>
              <w:rPr>
                <w:rFonts w:ascii="黑体" w:hAnsi="仿宋" w:eastAsia="黑体" w:cs="仿宋"/>
                <w:bCs/>
                <w:kern w:val="0"/>
                <w:sz w:val="24"/>
                <w:szCs w:val="24"/>
              </w:rPr>
            </w:pPr>
            <w:r>
              <w:rPr>
                <w:rFonts w:ascii="黑体" w:hAnsi="仿宋" w:eastAsia="黑体" w:cs="仿宋"/>
                <w:bCs/>
                <w:kern w:val="0"/>
                <w:sz w:val="24"/>
                <w:szCs w:val="24"/>
              </w:rPr>
              <w:t>2025</w:t>
            </w:r>
            <w:r>
              <w:rPr>
                <w:rFonts w:hint="eastAsia" w:ascii="黑体" w:hAnsi="仿宋" w:eastAsia="黑体" w:cs="仿宋"/>
                <w:bCs/>
                <w:kern w:val="0"/>
                <w:sz w:val="24"/>
                <w:szCs w:val="24"/>
              </w:rPr>
              <w:t>年目标</w:t>
            </w:r>
          </w:p>
        </w:tc>
        <w:tc>
          <w:tcPr>
            <w:tcW w:w="1311" w:type="dxa"/>
            <w:vAlign w:val="center"/>
          </w:tcPr>
          <w:p>
            <w:pPr>
              <w:widowControl/>
              <w:spacing w:line="300" w:lineRule="exact"/>
              <w:jc w:val="center"/>
              <w:rPr>
                <w:rFonts w:ascii="黑体" w:hAnsi="仿宋" w:eastAsia="黑体" w:cs="仿宋"/>
                <w:bCs/>
                <w:kern w:val="0"/>
                <w:sz w:val="24"/>
                <w:szCs w:val="24"/>
              </w:rPr>
            </w:pPr>
            <w:r>
              <w:rPr>
                <w:rFonts w:hint="eastAsia" w:ascii="黑体" w:hAnsi="仿宋" w:eastAsia="黑体" w:cs="仿宋"/>
                <w:bCs/>
                <w:kern w:val="0"/>
                <w:sz w:val="24"/>
                <w:szCs w:val="24"/>
              </w:rPr>
              <w:t>年均增速（</w:t>
            </w:r>
            <w:r>
              <w:rPr>
                <w:rFonts w:ascii="黑体" w:hAnsi="仿宋" w:eastAsia="黑体" w:cs="仿宋"/>
                <w:bCs/>
                <w:kern w:val="0"/>
                <w:sz w:val="24"/>
                <w:szCs w:val="24"/>
              </w:rPr>
              <w:t>%</w:t>
            </w:r>
            <w:r>
              <w:rPr>
                <w:rFonts w:hint="eastAsia" w:ascii="黑体" w:hAnsi="仿宋" w:eastAsia="黑体" w:cs="仿宋"/>
                <w:bCs/>
                <w:kern w:val="0"/>
                <w:sz w:val="24"/>
                <w:szCs w:val="24"/>
              </w:rPr>
              <w:t>）</w:t>
            </w:r>
          </w:p>
        </w:tc>
        <w:tc>
          <w:tcPr>
            <w:tcW w:w="955" w:type="dxa"/>
            <w:vAlign w:val="center"/>
          </w:tcPr>
          <w:p>
            <w:pPr>
              <w:widowControl/>
              <w:spacing w:line="300" w:lineRule="exact"/>
              <w:jc w:val="center"/>
              <w:rPr>
                <w:rFonts w:ascii="黑体" w:hAnsi="仿宋" w:eastAsia="黑体" w:cs="仿宋"/>
                <w:bCs/>
                <w:kern w:val="0"/>
                <w:sz w:val="24"/>
                <w:szCs w:val="24"/>
              </w:rPr>
            </w:pPr>
            <w:r>
              <w:rPr>
                <w:rFonts w:hint="eastAsia" w:ascii="黑体" w:hAnsi="仿宋" w:eastAsia="黑体" w:cs="仿宋"/>
                <w:bCs/>
                <w:kern w:val="0"/>
                <w:sz w:val="24"/>
                <w:szCs w:val="24"/>
              </w:rPr>
              <w:t>指标</w:t>
            </w:r>
          </w:p>
          <w:p>
            <w:pPr>
              <w:widowControl/>
              <w:spacing w:line="300" w:lineRule="exact"/>
              <w:jc w:val="center"/>
              <w:rPr>
                <w:rFonts w:ascii="黑体" w:hAnsi="仿宋" w:eastAsia="黑体" w:cs="仿宋"/>
                <w:bCs/>
                <w:kern w:val="0"/>
                <w:sz w:val="24"/>
                <w:szCs w:val="24"/>
              </w:rPr>
            </w:pPr>
            <w:r>
              <w:rPr>
                <w:rFonts w:hint="eastAsia" w:ascii="黑体" w:hAnsi="仿宋" w:eastAsia="黑体" w:cs="仿宋"/>
                <w:bCs/>
                <w:kern w:val="0"/>
                <w:sz w:val="24"/>
                <w:szCs w:val="24"/>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660" w:type="dxa"/>
            <w:gridSpan w:val="5"/>
            <w:vAlign w:val="center"/>
          </w:tcPr>
          <w:p>
            <w:pPr>
              <w:widowControl/>
              <w:spacing w:line="400" w:lineRule="exact"/>
              <w:jc w:val="center"/>
              <w:rPr>
                <w:rFonts w:ascii="仿宋_GB2312" w:hAnsi="仿宋" w:eastAsia="仿宋_GB2312" w:cs="仿宋"/>
                <w:b/>
                <w:kern w:val="0"/>
                <w:sz w:val="24"/>
                <w:szCs w:val="24"/>
              </w:rPr>
            </w:pPr>
            <w:r>
              <w:rPr>
                <w:rFonts w:hint="eastAsia" w:ascii="仿宋_GB2312" w:hAnsi="黑体" w:eastAsia="仿宋_GB2312" w:cs="黑体"/>
                <w:b/>
                <w:kern w:val="0"/>
                <w:sz w:val="24"/>
                <w:szCs w:val="24"/>
              </w:rPr>
              <w:t>经济发展（</w:t>
            </w:r>
            <w:r>
              <w:rPr>
                <w:rFonts w:ascii="仿宋_GB2312" w:hAnsi="黑体" w:eastAsia="仿宋_GB2312" w:cs="黑体"/>
                <w:b/>
                <w:kern w:val="0"/>
                <w:sz w:val="24"/>
                <w:szCs w:val="24"/>
              </w:rPr>
              <w:t>11</w:t>
            </w:r>
            <w:r>
              <w:rPr>
                <w:rFonts w:hint="eastAsia" w:ascii="仿宋_GB2312" w:hAnsi="黑体" w:eastAsia="仿宋_GB2312" w:cs="黑体"/>
                <w:b/>
                <w:kern w:val="0"/>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地区生产总值（亿元）</w:t>
            </w:r>
          </w:p>
        </w:tc>
        <w:tc>
          <w:tcPr>
            <w:tcW w:w="1815" w:type="dxa"/>
            <w:vAlign w:val="center"/>
          </w:tcPr>
          <w:p>
            <w:pPr>
              <w:spacing w:line="500" w:lineRule="exact"/>
              <w:jc w:val="center"/>
              <w:rPr>
                <w:rFonts w:ascii="仿宋_GB2312" w:hAnsi="仿宋" w:eastAsia="仿宋_GB2312" w:cs="仿宋"/>
                <w:color w:val="000000" w:themeColor="text1"/>
                <w:kern w:val="0"/>
                <w:sz w:val="24"/>
                <w:szCs w:val="24"/>
              </w:rPr>
            </w:pPr>
            <w:r>
              <w:rPr>
                <w:rFonts w:hint="eastAsia" w:ascii="仿宋_GB2312" w:hAnsi="仿宋" w:eastAsia="仿宋_GB2312"/>
                <w:color w:val="000000" w:themeColor="text1"/>
                <w:sz w:val="24"/>
                <w:szCs w:val="24"/>
              </w:rPr>
              <w:t>211.4</w:t>
            </w:r>
          </w:p>
        </w:tc>
        <w:tc>
          <w:tcPr>
            <w:tcW w:w="1491" w:type="dxa"/>
            <w:vAlign w:val="center"/>
          </w:tcPr>
          <w:p>
            <w:pPr>
              <w:widowControl/>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350</w:t>
            </w:r>
            <w:r>
              <w:rPr>
                <w:rFonts w:hint="eastAsia" w:ascii="仿宋_GB2312" w:hAnsi="仿宋" w:eastAsia="仿宋_GB2312" w:cs="仿宋"/>
                <w:sz w:val="24"/>
                <w:szCs w:val="24"/>
              </w:rPr>
              <w:t>以上</w:t>
            </w:r>
          </w:p>
        </w:tc>
        <w:tc>
          <w:tcPr>
            <w:tcW w:w="1311" w:type="dxa"/>
            <w:vAlign w:val="center"/>
          </w:tcPr>
          <w:p>
            <w:pPr>
              <w:widowControl/>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7.5</w:t>
            </w:r>
            <w:r>
              <w:rPr>
                <w:rFonts w:hint="eastAsia" w:ascii="仿宋_GB2312" w:hAnsi="仿宋" w:eastAsia="仿宋_GB2312" w:cs="仿宋"/>
                <w:sz w:val="24"/>
                <w:szCs w:val="24"/>
              </w:rPr>
              <w:t>以上</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全员劳动生产率（万元</w:t>
            </w:r>
            <w:r>
              <w:rPr>
                <w:rFonts w:ascii="仿宋_GB2312" w:hAnsi="仿宋" w:eastAsia="仿宋_GB2312" w:cs="仿宋"/>
                <w:kern w:val="0"/>
                <w:sz w:val="24"/>
                <w:szCs w:val="24"/>
              </w:rPr>
              <w:t>/</w:t>
            </w:r>
            <w:r>
              <w:rPr>
                <w:rFonts w:hint="eastAsia" w:ascii="仿宋_GB2312" w:hAnsi="仿宋" w:eastAsia="仿宋_GB2312" w:cs="仿宋"/>
                <w:kern w:val="0"/>
                <w:sz w:val="24"/>
                <w:szCs w:val="24"/>
              </w:rPr>
              <w:t>人）</w:t>
            </w:r>
          </w:p>
        </w:tc>
        <w:tc>
          <w:tcPr>
            <w:tcW w:w="1815" w:type="dxa"/>
            <w:vAlign w:val="center"/>
          </w:tcPr>
          <w:p>
            <w:pPr>
              <w:spacing w:line="500" w:lineRule="exact"/>
              <w:jc w:val="center"/>
              <w:rPr>
                <w:rFonts w:ascii="仿宋_GB2312" w:hAnsi="仿宋" w:eastAsia="仿宋_GB2312" w:cs="仿宋"/>
                <w:color w:val="000000" w:themeColor="text1"/>
                <w:sz w:val="24"/>
                <w:szCs w:val="24"/>
              </w:rPr>
            </w:pPr>
            <w:r>
              <w:rPr>
                <w:rFonts w:hint="eastAsia" w:ascii="仿宋_GB2312" w:hAnsi="仿宋" w:eastAsia="仿宋_GB2312"/>
                <w:color w:val="000000" w:themeColor="text1"/>
                <w:sz w:val="24"/>
                <w:szCs w:val="24"/>
              </w:rPr>
              <w:t>56428</w:t>
            </w:r>
          </w:p>
        </w:tc>
        <w:tc>
          <w:tcPr>
            <w:tcW w:w="149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70000</w:t>
            </w:r>
          </w:p>
        </w:tc>
        <w:tc>
          <w:tcPr>
            <w:tcW w:w="131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7.5</w:t>
            </w:r>
            <w:r>
              <w:rPr>
                <w:rFonts w:hint="eastAsia" w:ascii="仿宋_GB2312" w:hAnsi="仿宋" w:eastAsia="仿宋_GB2312" w:cs="仿宋"/>
                <w:sz w:val="24"/>
                <w:szCs w:val="24"/>
              </w:rPr>
              <w:t>以上</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一般公共预算收入（亿元）</w:t>
            </w:r>
          </w:p>
        </w:tc>
        <w:tc>
          <w:tcPr>
            <w:tcW w:w="1815" w:type="dxa"/>
            <w:vAlign w:val="center"/>
          </w:tcPr>
          <w:p>
            <w:pPr>
              <w:spacing w:line="500" w:lineRule="exact"/>
              <w:jc w:val="center"/>
              <w:rPr>
                <w:rFonts w:ascii="仿宋_GB2312" w:hAnsi="仿宋" w:eastAsia="仿宋_GB2312" w:cs="仿宋"/>
                <w:color w:val="000000" w:themeColor="text1"/>
                <w:sz w:val="24"/>
                <w:szCs w:val="24"/>
              </w:rPr>
            </w:pPr>
            <w:r>
              <w:rPr>
                <w:rFonts w:ascii="仿宋_GB2312" w:hAnsi="仿宋" w:eastAsia="仿宋_GB2312" w:cs="仿宋"/>
                <w:color w:val="000000" w:themeColor="text1"/>
                <w:sz w:val="24"/>
                <w:szCs w:val="24"/>
              </w:rPr>
              <w:t>18</w:t>
            </w:r>
          </w:p>
        </w:tc>
        <w:tc>
          <w:tcPr>
            <w:tcW w:w="149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30</w:t>
            </w:r>
          </w:p>
        </w:tc>
        <w:tc>
          <w:tcPr>
            <w:tcW w:w="131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固定资产投资（</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color w:val="000000" w:themeColor="text1"/>
                <w:sz w:val="24"/>
                <w:szCs w:val="24"/>
              </w:rPr>
            </w:pPr>
            <w:r>
              <w:rPr>
                <w:rFonts w:ascii="仿宋_GB2312" w:hAnsi="仿宋" w:eastAsia="仿宋_GB2312" w:cs="仿宋"/>
                <w:color w:val="000000" w:themeColor="text1"/>
                <w:sz w:val="24"/>
                <w:szCs w:val="24"/>
              </w:rPr>
              <w:t>11</w:t>
            </w:r>
          </w:p>
        </w:tc>
        <w:tc>
          <w:tcPr>
            <w:tcW w:w="149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w:t>
            </w:r>
          </w:p>
        </w:tc>
        <w:tc>
          <w:tcPr>
            <w:tcW w:w="131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9</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服务业增加值占GDP比重（</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color w:val="000000" w:themeColor="text1"/>
                <w:sz w:val="24"/>
                <w:szCs w:val="24"/>
              </w:rPr>
            </w:pPr>
            <w:r>
              <w:rPr>
                <w:rFonts w:hint="eastAsia" w:ascii="仿宋_GB2312" w:hAnsi="仿宋" w:eastAsia="仿宋_GB2312" w:cs="仿宋"/>
                <w:color w:val="000000" w:themeColor="text1"/>
                <w:sz w:val="24"/>
                <w:szCs w:val="24"/>
              </w:rPr>
              <w:t>42</w:t>
            </w:r>
          </w:p>
        </w:tc>
        <w:tc>
          <w:tcPr>
            <w:tcW w:w="149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42</w:t>
            </w:r>
          </w:p>
        </w:tc>
        <w:tc>
          <w:tcPr>
            <w:tcW w:w="1311" w:type="dxa"/>
            <w:vAlign w:val="center"/>
          </w:tcPr>
          <w:p>
            <w:pPr>
              <w:widowControl/>
              <w:spacing w:line="500" w:lineRule="exact"/>
              <w:jc w:val="center"/>
              <w:rPr>
                <w:rFonts w:ascii="仿宋_GB2312" w:hAnsi="仿宋" w:eastAsia="仿宋_GB2312" w:cs="仿宋"/>
                <w:sz w:val="24"/>
                <w:szCs w:val="24"/>
              </w:rPr>
            </w:pP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制造业增加值占</w:t>
            </w:r>
            <w:r>
              <w:rPr>
                <w:rFonts w:ascii="仿宋_GB2312" w:hAnsi="仿宋" w:eastAsia="仿宋_GB2312" w:cs="仿宋"/>
                <w:kern w:val="0"/>
                <w:sz w:val="24"/>
                <w:szCs w:val="24"/>
              </w:rPr>
              <w:t>GDP</w:t>
            </w:r>
            <w:r>
              <w:rPr>
                <w:rFonts w:hint="eastAsia" w:ascii="仿宋_GB2312" w:hAnsi="仿宋" w:eastAsia="仿宋_GB2312" w:cs="仿宋"/>
                <w:kern w:val="0"/>
                <w:sz w:val="24"/>
                <w:szCs w:val="24"/>
              </w:rPr>
              <w:t>比重（</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olor w:val="000000" w:themeColor="text1"/>
                <w:sz w:val="24"/>
                <w:szCs w:val="24"/>
              </w:rPr>
            </w:pPr>
            <w:r>
              <w:rPr>
                <w:rFonts w:hint="eastAsia" w:ascii="仿宋_GB2312" w:hAnsi="仿宋" w:eastAsia="仿宋_GB2312"/>
                <w:color w:val="000000" w:themeColor="text1"/>
                <w:sz w:val="24"/>
                <w:szCs w:val="24"/>
              </w:rPr>
              <w:t>31</w:t>
            </w:r>
          </w:p>
        </w:tc>
        <w:tc>
          <w:tcPr>
            <w:tcW w:w="149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35</w:t>
            </w:r>
            <w:r>
              <w:rPr>
                <w:rFonts w:hint="eastAsia" w:ascii="仿宋_GB2312" w:hAnsi="仿宋" w:eastAsia="仿宋_GB2312" w:cs="仿宋"/>
                <w:sz w:val="24"/>
                <w:szCs w:val="24"/>
              </w:rPr>
              <w:t>以上</w:t>
            </w:r>
          </w:p>
        </w:tc>
        <w:tc>
          <w:tcPr>
            <w:tcW w:w="1311" w:type="dxa"/>
            <w:vAlign w:val="center"/>
          </w:tcPr>
          <w:p>
            <w:pPr>
              <w:widowControl/>
              <w:spacing w:line="500" w:lineRule="exact"/>
              <w:jc w:val="center"/>
              <w:rPr>
                <w:rFonts w:ascii="仿宋_GB2312" w:hAnsi="仿宋" w:eastAsia="仿宋_GB2312" w:cs="仿宋"/>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常住人口城镇化率（</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color w:val="000000" w:themeColor="text1"/>
                <w:kern w:val="0"/>
                <w:sz w:val="24"/>
                <w:szCs w:val="24"/>
              </w:rPr>
            </w:pPr>
            <w:r>
              <w:rPr>
                <w:rFonts w:ascii="仿宋_GB2312" w:hAnsi="仿宋" w:eastAsia="仿宋_GB2312" w:cs="仿宋"/>
                <w:color w:val="000000" w:themeColor="text1"/>
                <w:kern w:val="0"/>
                <w:sz w:val="24"/>
                <w:szCs w:val="24"/>
              </w:rPr>
              <w:t>50</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60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农产品加工业产值与农业总产值之比</w:t>
            </w:r>
          </w:p>
        </w:tc>
        <w:tc>
          <w:tcPr>
            <w:tcW w:w="1815" w:type="dxa"/>
            <w:vAlign w:val="center"/>
          </w:tcPr>
          <w:p>
            <w:pPr>
              <w:spacing w:line="500" w:lineRule="exact"/>
              <w:jc w:val="center"/>
              <w:rPr>
                <w:rFonts w:ascii="仿宋_GB2312" w:hAnsi="仿宋" w:eastAsia="仿宋_GB2312" w:cs="仿宋"/>
                <w:color w:val="000000" w:themeColor="text1"/>
                <w:kern w:val="0"/>
                <w:sz w:val="24"/>
                <w:szCs w:val="24"/>
              </w:rPr>
            </w:pPr>
            <w:r>
              <w:rPr>
                <w:rFonts w:hint="eastAsia" w:ascii="仿宋_GB2312" w:hAnsi="仿宋" w:eastAsia="仿宋_GB2312" w:cs="仿宋"/>
                <w:color w:val="000000" w:themeColor="text1"/>
                <w:kern w:val="0"/>
                <w:sz w:val="24"/>
                <w:szCs w:val="24"/>
              </w:rPr>
              <w:t>1.8：</w:t>
            </w:r>
            <w:r>
              <w:rPr>
                <w:rFonts w:ascii="仿宋_GB2312" w:hAnsi="仿宋" w:eastAsia="仿宋_GB2312" w:cs="仿宋"/>
                <w:color w:val="000000" w:themeColor="text1"/>
                <w:kern w:val="0"/>
                <w:sz w:val="24"/>
                <w:szCs w:val="24"/>
              </w:rPr>
              <w:t>1</w:t>
            </w:r>
          </w:p>
        </w:tc>
        <w:tc>
          <w:tcPr>
            <w:tcW w:w="1491" w:type="dxa"/>
            <w:vAlign w:val="center"/>
          </w:tcPr>
          <w:p>
            <w:pPr>
              <w:spacing w:line="500" w:lineRule="exact"/>
              <w:jc w:val="center"/>
              <w:rPr>
                <w:rFonts w:ascii="仿宋_GB2312" w:hAnsi="仿宋" w:eastAsia="仿宋_GB2312" w:cs="仿宋"/>
                <w:color w:val="FF0000"/>
                <w:kern w:val="0"/>
                <w:sz w:val="24"/>
                <w:szCs w:val="24"/>
              </w:rPr>
            </w:pPr>
            <w:r>
              <w:rPr>
                <w:rFonts w:hint="eastAsia" w:ascii="仿宋_GB2312" w:hAnsi="仿宋" w:eastAsia="仿宋_GB2312" w:cs="仿宋"/>
                <w:color w:val="000000" w:themeColor="text1"/>
                <w:sz w:val="24"/>
                <w:szCs w:val="24"/>
              </w:rPr>
              <w:t>2</w:t>
            </w:r>
            <w:r>
              <w:rPr>
                <w:rFonts w:ascii="仿宋_GB2312" w:hAnsi="仿宋" w:eastAsia="仿宋_GB2312" w:cs="仿宋"/>
                <w:color w:val="000000" w:themeColor="text1"/>
                <w:sz w:val="24"/>
                <w:szCs w:val="24"/>
              </w:rPr>
              <w:t>.8</w:t>
            </w:r>
            <w:r>
              <w:rPr>
                <w:rFonts w:hint="eastAsia" w:ascii="仿宋_GB2312" w:hAnsi="仿宋" w:eastAsia="仿宋_GB2312" w:cs="仿宋"/>
                <w:color w:val="000000" w:themeColor="text1"/>
                <w:sz w:val="24"/>
                <w:szCs w:val="24"/>
              </w:rPr>
              <w:t>：</w:t>
            </w:r>
            <w:r>
              <w:rPr>
                <w:rFonts w:ascii="仿宋_GB2312" w:hAnsi="仿宋" w:eastAsia="仿宋_GB2312" w:cs="仿宋"/>
                <w:color w:val="000000" w:themeColor="text1"/>
                <w:sz w:val="24"/>
                <w:szCs w:val="24"/>
              </w:rPr>
              <w:t>1</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进出口总额（亿美元）</w:t>
            </w:r>
          </w:p>
        </w:tc>
        <w:tc>
          <w:tcPr>
            <w:tcW w:w="1815" w:type="dxa"/>
            <w:vAlign w:val="center"/>
          </w:tcPr>
          <w:p>
            <w:pPr>
              <w:spacing w:line="500" w:lineRule="exact"/>
              <w:jc w:val="center"/>
              <w:rPr>
                <w:rFonts w:ascii="仿宋_GB2312" w:hAnsi="仿宋" w:eastAsia="仿宋_GB2312" w:cs="仿宋"/>
                <w:color w:val="000000" w:themeColor="text1"/>
                <w:sz w:val="24"/>
                <w:szCs w:val="24"/>
              </w:rPr>
            </w:pPr>
            <w:r>
              <w:rPr>
                <w:rFonts w:ascii="仿宋_GB2312" w:hAnsi="仿宋" w:eastAsia="仿宋_GB2312" w:cs="仿宋"/>
                <w:color w:val="000000" w:themeColor="text1"/>
                <w:sz w:val="24"/>
                <w:szCs w:val="24"/>
              </w:rPr>
              <w:t>1.2</w:t>
            </w:r>
          </w:p>
        </w:tc>
        <w:tc>
          <w:tcPr>
            <w:tcW w:w="1491" w:type="dxa"/>
            <w:vAlign w:val="center"/>
          </w:tcPr>
          <w:p>
            <w:pPr>
              <w:spacing w:line="500" w:lineRule="exact"/>
              <w:jc w:val="center"/>
              <w:rPr>
                <w:rFonts w:ascii="仿宋_GB2312" w:hAnsi="仿宋" w:eastAsia="仿宋_GB2312" w:cs="仿宋"/>
                <w:sz w:val="24"/>
                <w:szCs w:val="24"/>
              </w:rPr>
            </w:pPr>
            <w:r>
              <w:rPr>
                <w:rFonts w:ascii="仿宋_GB2312" w:hAnsi="仿宋" w:eastAsia="仿宋_GB2312" w:cs="仿宋"/>
                <w:sz w:val="24"/>
                <w:szCs w:val="24"/>
              </w:rPr>
              <w:t>2.0</w:t>
            </w:r>
          </w:p>
        </w:tc>
        <w:tc>
          <w:tcPr>
            <w:tcW w:w="1311" w:type="dxa"/>
            <w:vAlign w:val="center"/>
          </w:tcPr>
          <w:p>
            <w:pPr>
              <w:spacing w:line="500" w:lineRule="exact"/>
              <w:jc w:val="center"/>
              <w:rPr>
                <w:rFonts w:ascii="仿宋_GB2312" w:hAnsi="仿宋" w:eastAsia="仿宋_GB2312" w:cs="仿宋"/>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rPr>
                <w:rFonts w:ascii="仿宋_GB2312" w:hAnsi="仿宋" w:eastAsia="仿宋_GB2312" w:cs="仿宋"/>
                <w:kern w:val="0"/>
                <w:sz w:val="24"/>
                <w:szCs w:val="24"/>
              </w:rPr>
            </w:pPr>
            <w:r>
              <w:rPr>
                <w:rFonts w:hint="eastAsia" w:ascii="仿宋_GB2312" w:hAnsi="仿宋" w:eastAsia="仿宋_GB2312" w:cs="仿宋"/>
                <w:kern w:val="0"/>
                <w:sz w:val="24"/>
                <w:szCs w:val="24"/>
              </w:rPr>
              <w:t>社会消费品零售总额（亿元）</w:t>
            </w:r>
          </w:p>
        </w:tc>
        <w:tc>
          <w:tcPr>
            <w:tcW w:w="1815" w:type="dxa"/>
            <w:vAlign w:val="center"/>
          </w:tcPr>
          <w:p>
            <w:pPr>
              <w:spacing w:line="500" w:lineRule="exact"/>
              <w:jc w:val="center"/>
              <w:rPr>
                <w:rFonts w:ascii="仿宋_GB2312" w:hAnsi="仿宋" w:eastAsia="仿宋_GB2312" w:cs="仿宋"/>
                <w:color w:val="000000" w:themeColor="text1"/>
                <w:kern w:val="0"/>
                <w:sz w:val="24"/>
                <w:szCs w:val="24"/>
              </w:rPr>
            </w:pPr>
            <w:r>
              <w:rPr>
                <w:rFonts w:hint="eastAsia" w:ascii="仿宋_GB2312" w:hAnsi="仿宋" w:eastAsia="仿宋_GB2312" w:cs="仿宋"/>
                <w:color w:val="000000" w:themeColor="text1"/>
                <w:kern w:val="0"/>
                <w:sz w:val="24"/>
                <w:szCs w:val="24"/>
              </w:rPr>
              <w:t>88.7</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140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10</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三次产业结构</w:t>
            </w:r>
          </w:p>
        </w:tc>
        <w:tc>
          <w:tcPr>
            <w:tcW w:w="1815" w:type="dxa"/>
            <w:vAlign w:val="center"/>
          </w:tcPr>
          <w:p>
            <w:pPr>
              <w:spacing w:line="500" w:lineRule="exact"/>
              <w:jc w:val="center"/>
              <w:rPr>
                <w:rFonts w:ascii="仿宋_GB2312" w:hAnsi="仿宋" w:eastAsia="仿宋_GB2312" w:cs="仿宋"/>
                <w:color w:val="000000" w:themeColor="text1"/>
                <w:kern w:val="0"/>
                <w:sz w:val="24"/>
                <w:szCs w:val="24"/>
              </w:rPr>
            </w:pPr>
            <w:r>
              <w:rPr>
                <w:rFonts w:hint="eastAsia" w:ascii="仿宋_GB2312" w:hAnsi="仿宋" w:eastAsia="仿宋_GB2312" w:cs="仿宋"/>
                <w:color w:val="000000" w:themeColor="text1"/>
                <w:kern w:val="0"/>
                <w:sz w:val="24"/>
                <w:szCs w:val="24"/>
              </w:rPr>
              <w:t>16:42:42</w:t>
            </w:r>
          </w:p>
        </w:tc>
        <w:tc>
          <w:tcPr>
            <w:tcW w:w="1491" w:type="dxa"/>
            <w:vAlign w:val="center"/>
          </w:tcPr>
          <w:p>
            <w:pPr>
              <w:widowControl/>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12</w:t>
            </w:r>
            <w:r>
              <w:rPr>
                <w:rFonts w:hint="eastAsia" w:ascii="仿宋_GB2312" w:hAnsi="仿宋" w:eastAsia="仿宋_GB2312" w:cs="仿宋"/>
                <w:kern w:val="0"/>
                <w:sz w:val="24"/>
                <w:szCs w:val="24"/>
              </w:rPr>
              <w:t>：</w:t>
            </w:r>
            <w:r>
              <w:rPr>
                <w:rFonts w:ascii="仿宋_GB2312" w:hAnsi="仿宋" w:eastAsia="仿宋_GB2312" w:cs="仿宋"/>
                <w:kern w:val="0"/>
                <w:sz w:val="24"/>
                <w:szCs w:val="24"/>
              </w:rPr>
              <w:t>46</w:t>
            </w:r>
            <w:r>
              <w:rPr>
                <w:rFonts w:hint="eastAsia" w:ascii="仿宋_GB2312" w:hAnsi="仿宋" w:eastAsia="仿宋_GB2312" w:cs="仿宋"/>
                <w:kern w:val="0"/>
                <w:sz w:val="24"/>
                <w:szCs w:val="24"/>
              </w:rPr>
              <w:t>：</w:t>
            </w:r>
            <w:r>
              <w:rPr>
                <w:rFonts w:ascii="仿宋_GB2312" w:hAnsi="仿宋" w:eastAsia="仿宋_GB2312" w:cs="仿宋"/>
                <w:kern w:val="0"/>
                <w:sz w:val="24"/>
                <w:szCs w:val="24"/>
              </w:rPr>
              <w:t>42</w:t>
            </w:r>
          </w:p>
        </w:tc>
        <w:tc>
          <w:tcPr>
            <w:tcW w:w="1311" w:type="dxa"/>
            <w:vAlign w:val="center"/>
          </w:tcPr>
          <w:p>
            <w:pPr>
              <w:widowControl/>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660" w:type="dxa"/>
            <w:gridSpan w:val="5"/>
            <w:vAlign w:val="center"/>
          </w:tcPr>
          <w:p>
            <w:pPr>
              <w:widowControl/>
              <w:spacing w:line="300" w:lineRule="exact"/>
              <w:jc w:val="center"/>
              <w:rPr>
                <w:rFonts w:ascii="仿宋_GB2312" w:hAnsi="黑体" w:eastAsia="仿宋_GB2312" w:cs="黑体"/>
                <w:b/>
                <w:kern w:val="0"/>
                <w:sz w:val="24"/>
                <w:szCs w:val="24"/>
              </w:rPr>
            </w:pPr>
            <w:r>
              <w:rPr>
                <w:rFonts w:hint="eastAsia" w:ascii="仿宋_GB2312" w:hAnsi="黑体" w:eastAsia="仿宋_GB2312" w:cs="黑体"/>
                <w:b/>
                <w:kern w:val="0"/>
                <w:sz w:val="24"/>
                <w:szCs w:val="24"/>
              </w:rPr>
              <w:t>创新驱动（</w:t>
            </w:r>
            <w:r>
              <w:rPr>
                <w:rFonts w:ascii="仿宋_GB2312" w:hAnsi="黑体" w:eastAsia="仿宋_GB2312" w:cs="黑体"/>
                <w:b/>
                <w:kern w:val="0"/>
                <w:sz w:val="24"/>
                <w:szCs w:val="24"/>
              </w:rPr>
              <w:t>5</w:t>
            </w:r>
            <w:r>
              <w:rPr>
                <w:rFonts w:hint="eastAsia" w:ascii="仿宋_GB2312" w:hAnsi="黑体" w:eastAsia="仿宋_GB2312" w:cs="黑体"/>
                <w:b/>
                <w:kern w:val="0"/>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研究与试验发展经费投入强度（</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1.5</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2.0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3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战略性新兴产业产值占规模以上工业产值比重（</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color w:val="000000" w:themeColor="text1"/>
                <w:kern w:val="0"/>
                <w:sz w:val="24"/>
                <w:szCs w:val="24"/>
              </w:rPr>
              <w:t>39</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40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每百万人口发明专利拥有量（件）</w:t>
            </w:r>
          </w:p>
        </w:tc>
        <w:tc>
          <w:tcPr>
            <w:tcW w:w="1815"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sz w:val="24"/>
                <w:szCs w:val="24"/>
              </w:rPr>
              <w:t>447</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600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4088" w:type="dxa"/>
            <w:vAlign w:val="center"/>
          </w:tcPr>
          <w:p>
            <w:pPr>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数字经济增加值占</w:t>
            </w:r>
            <w:r>
              <w:rPr>
                <w:rFonts w:ascii="仿宋_GB2312" w:hAnsi="仿宋" w:eastAsia="仿宋_GB2312" w:cs="仿宋"/>
                <w:kern w:val="0"/>
                <w:sz w:val="24"/>
                <w:szCs w:val="24"/>
              </w:rPr>
              <w:t>GDP</w:t>
            </w:r>
            <w:r>
              <w:rPr>
                <w:rFonts w:hint="eastAsia" w:ascii="仿宋_GB2312" w:hAnsi="仿宋" w:eastAsia="仿宋_GB2312" w:cs="仿宋"/>
                <w:kern w:val="0"/>
                <w:sz w:val="24"/>
                <w:szCs w:val="24"/>
              </w:rPr>
              <w:t>比重（</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149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35</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4088" w:type="dxa"/>
            <w:vAlign w:val="center"/>
          </w:tcPr>
          <w:p>
            <w:pPr>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高新技术企业数（个）</w:t>
            </w:r>
          </w:p>
        </w:tc>
        <w:tc>
          <w:tcPr>
            <w:tcW w:w="1815" w:type="dxa"/>
            <w:vAlign w:val="center"/>
          </w:tcPr>
          <w:p>
            <w:pPr>
              <w:spacing w:line="500" w:lineRule="exact"/>
              <w:jc w:val="center"/>
              <w:rPr>
                <w:rFonts w:ascii="仿宋_GB2312" w:hAnsi="仿宋" w:eastAsia="仿宋_GB2312"/>
                <w:sz w:val="24"/>
                <w:szCs w:val="24"/>
              </w:rPr>
            </w:pPr>
            <w:r>
              <w:rPr>
                <w:rFonts w:ascii="仿宋_GB2312" w:hAnsi="仿宋" w:eastAsia="仿宋_GB2312"/>
                <w:sz w:val="24"/>
                <w:szCs w:val="24"/>
              </w:rPr>
              <w:t>24</w:t>
            </w:r>
          </w:p>
        </w:tc>
        <w:tc>
          <w:tcPr>
            <w:tcW w:w="1491" w:type="dxa"/>
            <w:vAlign w:val="center"/>
          </w:tcPr>
          <w:p>
            <w:pPr>
              <w:spacing w:line="500" w:lineRule="exact"/>
              <w:jc w:val="center"/>
              <w:rPr>
                <w:rFonts w:ascii="仿宋_GB2312" w:hAnsi="仿宋" w:eastAsia="仿宋_GB2312"/>
                <w:sz w:val="24"/>
                <w:szCs w:val="24"/>
              </w:rPr>
            </w:pPr>
            <w:r>
              <w:rPr>
                <w:rFonts w:ascii="仿宋_GB2312" w:hAnsi="仿宋" w:eastAsia="仿宋_GB2312"/>
                <w:sz w:val="24"/>
                <w:szCs w:val="24"/>
              </w:rPr>
              <w:t>40</w:t>
            </w:r>
          </w:p>
        </w:tc>
        <w:tc>
          <w:tcPr>
            <w:tcW w:w="1311" w:type="dxa"/>
            <w:vAlign w:val="center"/>
          </w:tcPr>
          <w:p>
            <w:pPr>
              <w:spacing w:line="500" w:lineRule="exact"/>
              <w:jc w:val="center"/>
              <w:rPr>
                <w:rFonts w:ascii="仿宋_GB2312" w:hAnsi="仿宋" w:eastAsia="仿宋_GB2312"/>
                <w:sz w:val="24"/>
                <w:szCs w:val="24"/>
              </w:rPr>
            </w:pPr>
            <w:r>
              <w:rPr>
                <w:rFonts w:ascii="仿宋_GB2312" w:hAnsi="仿宋" w:eastAsia="仿宋_GB2312"/>
                <w:sz w:val="24"/>
                <w:szCs w:val="24"/>
              </w:rPr>
              <w:t>/</w:t>
            </w:r>
          </w:p>
        </w:tc>
        <w:tc>
          <w:tcPr>
            <w:tcW w:w="955" w:type="dxa"/>
            <w:vAlign w:val="center"/>
          </w:tcPr>
          <w:p>
            <w:pPr>
              <w:spacing w:line="3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660" w:type="dxa"/>
            <w:gridSpan w:val="5"/>
            <w:vAlign w:val="center"/>
          </w:tcPr>
          <w:p>
            <w:pPr>
              <w:widowControl/>
              <w:spacing w:line="300" w:lineRule="exact"/>
              <w:jc w:val="center"/>
              <w:rPr>
                <w:rFonts w:ascii="仿宋_GB2312" w:hAnsi="黑体" w:eastAsia="仿宋_GB2312" w:cs="黑体"/>
                <w:b/>
                <w:kern w:val="0"/>
                <w:sz w:val="24"/>
                <w:szCs w:val="24"/>
              </w:rPr>
            </w:pPr>
            <w:r>
              <w:rPr>
                <w:rFonts w:hint="eastAsia" w:ascii="仿宋_GB2312" w:hAnsi="黑体" w:eastAsia="仿宋_GB2312" w:cs="黑体"/>
                <w:b/>
                <w:kern w:val="0"/>
                <w:sz w:val="24"/>
                <w:szCs w:val="24"/>
              </w:rPr>
              <w:t>民生福祉（</w:t>
            </w:r>
            <w:r>
              <w:rPr>
                <w:rFonts w:ascii="仿宋_GB2312" w:hAnsi="黑体" w:eastAsia="仿宋_GB2312" w:cs="黑体"/>
                <w:b/>
                <w:kern w:val="0"/>
                <w:sz w:val="24"/>
                <w:szCs w:val="24"/>
              </w:rPr>
              <w:t>5</w:t>
            </w:r>
            <w:r>
              <w:rPr>
                <w:rFonts w:hint="eastAsia" w:ascii="仿宋_GB2312" w:hAnsi="黑体" w:eastAsia="仿宋_GB2312" w:cs="黑体"/>
                <w:b/>
                <w:kern w:val="0"/>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居民人均可支配收入增长（</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color w:val="000000" w:themeColor="text1"/>
                <w:kern w:val="0"/>
                <w:sz w:val="24"/>
                <w:szCs w:val="24"/>
              </w:rPr>
            </w:pPr>
            <w:r>
              <w:rPr>
                <w:rFonts w:hint="eastAsia" w:ascii="仿宋_GB2312" w:hAnsi="仿宋" w:eastAsia="仿宋_GB2312"/>
                <w:color w:val="000000" w:themeColor="text1"/>
                <w:sz w:val="24"/>
                <w:szCs w:val="24"/>
              </w:rPr>
              <w:t>5.6</w:t>
            </w:r>
            <w:r>
              <w:rPr>
                <w:rFonts w:ascii="仿宋_GB2312" w:hAnsi="仿宋" w:eastAsia="仿宋_GB2312"/>
                <w:color w:val="000000" w:themeColor="text1"/>
                <w:sz w:val="24"/>
                <w:szCs w:val="24"/>
              </w:rPr>
              <w:t>/</w:t>
            </w:r>
            <w:r>
              <w:rPr>
                <w:rFonts w:hint="eastAsia" w:ascii="仿宋_GB2312" w:hAnsi="仿宋" w:eastAsia="仿宋_GB2312"/>
                <w:color w:val="000000" w:themeColor="text1"/>
                <w:sz w:val="24"/>
                <w:szCs w:val="24"/>
              </w:rPr>
              <w:t>8.2</w:t>
            </w:r>
          </w:p>
        </w:tc>
        <w:tc>
          <w:tcPr>
            <w:tcW w:w="1491" w:type="dxa"/>
            <w:shd w:val="clear" w:color="000000" w:fill="auto"/>
            <w:vAlign w:val="center"/>
          </w:tcPr>
          <w:p>
            <w:pPr>
              <w:spacing w:line="500" w:lineRule="exact"/>
              <w:jc w:val="center"/>
              <w:rPr>
                <w:rFonts w:ascii="仿宋_GB2312" w:hAnsi="仿宋" w:eastAsia="仿宋_GB2312" w:cs="仿宋"/>
                <w:color w:val="000000" w:themeColor="text1"/>
                <w:kern w:val="0"/>
                <w:sz w:val="24"/>
                <w:szCs w:val="24"/>
              </w:rPr>
            </w:pPr>
            <w:r>
              <w:rPr>
                <w:rFonts w:ascii="仿宋_GB2312" w:hAnsi="仿宋" w:eastAsia="仿宋_GB2312" w:cs="仿宋"/>
                <w:color w:val="000000" w:themeColor="text1"/>
                <w:kern w:val="0"/>
                <w:sz w:val="24"/>
                <w:szCs w:val="24"/>
              </w:rPr>
              <w:t>8.0/8.5</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城镇调查失业率（</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sz w:val="24"/>
                <w:szCs w:val="24"/>
              </w:rPr>
              <w:t>≤</w:t>
            </w:r>
            <w:r>
              <w:rPr>
                <w:rFonts w:ascii="仿宋_GB2312" w:hAnsi="仿宋" w:eastAsia="仿宋_GB2312" w:cs="仿宋"/>
                <w:kern w:val="0"/>
                <w:sz w:val="24"/>
                <w:szCs w:val="24"/>
              </w:rPr>
              <w:t>3</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sz w:val="24"/>
                <w:szCs w:val="24"/>
              </w:rPr>
              <w:t>≤</w:t>
            </w:r>
            <w:r>
              <w:rPr>
                <w:rFonts w:ascii="仿宋_GB2312" w:hAnsi="仿宋" w:eastAsia="仿宋_GB2312" w:cs="仿宋"/>
                <w:kern w:val="0"/>
                <w:sz w:val="24"/>
                <w:szCs w:val="24"/>
              </w:rPr>
              <w:t>6</w:t>
            </w:r>
          </w:p>
        </w:tc>
        <w:tc>
          <w:tcPr>
            <w:tcW w:w="1311" w:type="dxa"/>
            <w:vAlign w:val="center"/>
          </w:tcPr>
          <w:p>
            <w:pPr>
              <w:spacing w:line="500" w:lineRule="exact"/>
              <w:jc w:val="center"/>
              <w:rPr>
                <w:rFonts w:ascii="仿宋_GB2312" w:hAnsi="仿宋" w:eastAsia="仿宋_GB2312"/>
                <w:sz w:val="24"/>
                <w:szCs w:val="24"/>
              </w:rPr>
            </w:pPr>
            <w:r>
              <w:rPr>
                <w:rFonts w:ascii="仿宋_GB2312" w:hAnsi="仿宋" w:eastAsia="仿宋_GB2312"/>
                <w:sz w:val="24"/>
                <w:szCs w:val="24"/>
              </w:rPr>
              <w:t>/</w:t>
            </w:r>
          </w:p>
        </w:tc>
        <w:tc>
          <w:tcPr>
            <w:tcW w:w="955" w:type="dxa"/>
            <w:vAlign w:val="center"/>
          </w:tcPr>
          <w:p>
            <w:pPr>
              <w:spacing w:line="300" w:lineRule="exact"/>
              <w:jc w:val="center"/>
              <w:rPr>
                <w:rFonts w:ascii="仿宋_GB2312" w:hAnsi="仿宋" w:eastAsia="仿宋_GB2312"/>
                <w:sz w:val="24"/>
                <w:szCs w:val="24"/>
              </w:rPr>
            </w:pPr>
            <w:r>
              <w:rPr>
                <w:rFonts w:hint="eastAsia" w:ascii="仿宋_GB2312" w:hAnsi="仿宋" w:eastAsia="仿宋_GB2312"/>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劳动年龄人口平均受教育年限（</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sz w:val="24"/>
                <w:szCs w:val="24"/>
              </w:rPr>
              <w:t>/</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11.2</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每千人口拥有执业（助理）医师数（个）</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2.49</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2.5</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每千人口拥有</w:t>
            </w:r>
            <w:r>
              <w:rPr>
                <w:rFonts w:ascii="仿宋_GB2312" w:hAnsi="仿宋" w:eastAsia="仿宋_GB2312" w:cs="仿宋"/>
                <w:kern w:val="0"/>
                <w:sz w:val="24"/>
                <w:szCs w:val="24"/>
              </w:rPr>
              <w:t>0-3</w:t>
            </w:r>
            <w:r>
              <w:rPr>
                <w:rFonts w:hint="eastAsia" w:ascii="仿宋_GB2312" w:hAnsi="仿宋" w:eastAsia="仿宋_GB2312" w:cs="仿宋"/>
                <w:kern w:val="0"/>
                <w:sz w:val="24"/>
                <w:szCs w:val="24"/>
              </w:rPr>
              <w:t>岁婴幼儿托位数（个）</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sz w:val="24"/>
                <w:szCs w:val="24"/>
              </w:rPr>
              <w:t>/</w:t>
            </w:r>
          </w:p>
        </w:tc>
        <w:tc>
          <w:tcPr>
            <w:tcW w:w="1491" w:type="dxa"/>
            <w:shd w:val="clear" w:color="000000" w:fill="auto"/>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不低于全市平均水平</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widowControl/>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60" w:type="dxa"/>
            <w:gridSpan w:val="5"/>
            <w:vAlign w:val="center"/>
          </w:tcPr>
          <w:p>
            <w:pPr>
              <w:widowControl/>
              <w:spacing w:line="300" w:lineRule="exact"/>
              <w:jc w:val="center"/>
              <w:rPr>
                <w:rFonts w:ascii="仿宋_GB2312" w:hAnsi="黑体" w:eastAsia="仿宋_GB2312" w:cs="黑体"/>
                <w:b/>
                <w:kern w:val="0"/>
                <w:sz w:val="24"/>
                <w:szCs w:val="24"/>
              </w:rPr>
            </w:pPr>
            <w:r>
              <w:rPr>
                <w:rFonts w:hint="eastAsia" w:ascii="仿宋_GB2312" w:hAnsi="黑体" w:eastAsia="仿宋_GB2312" w:cs="黑体"/>
                <w:b/>
                <w:kern w:val="0"/>
                <w:sz w:val="24"/>
                <w:szCs w:val="24"/>
              </w:rPr>
              <w:t>绿色生态（</w:t>
            </w:r>
            <w:r>
              <w:rPr>
                <w:rFonts w:ascii="仿宋_GB2312" w:hAnsi="黑体" w:eastAsia="仿宋_GB2312" w:cs="黑体"/>
                <w:b/>
                <w:kern w:val="0"/>
                <w:sz w:val="24"/>
                <w:szCs w:val="24"/>
              </w:rPr>
              <w:t>5</w:t>
            </w:r>
            <w:r>
              <w:rPr>
                <w:rFonts w:hint="eastAsia" w:ascii="仿宋_GB2312" w:hAnsi="黑体" w:eastAsia="仿宋_GB2312" w:cs="黑体"/>
                <w:b/>
                <w:kern w:val="0"/>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单位国内生产总值能源消耗降低（</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达市控目标</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达市控目标</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单位</w:t>
            </w:r>
            <w:r>
              <w:rPr>
                <w:rFonts w:ascii="仿宋_GB2312" w:hAnsi="仿宋" w:eastAsia="仿宋_GB2312" w:cs="仿宋"/>
                <w:kern w:val="0"/>
                <w:sz w:val="24"/>
                <w:szCs w:val="24"/>
              </w:rPr>
              <w:t>GDP</w:t>
            </w:r>
            <w:r>
              <w:rPr>
                <w:rFonts w:hint="eastAsia" w:ascii="仿宋_GB2312" w:hAnsi="仿宋" w:eastAsia="仿宋_GB2312" w:cs="仿宋"/>
                <w:kern w:val="0"/>
                <w:sz w:val="24"/>
                <w:szCs w:val="24"/>
              </w:rPr>
              <w:t>二氧化碳排放降低（</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达省控目标</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达省控目标</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空气环境质量优良天数比例（</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达省控目标</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达省控目标</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地表水达到或好于Ш类水体比例（</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sz w:val="24"/>
                <w:szCs w:val="24"/>
              </w:rPr>
              <w:t>/</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100</w:t>
            </w:r>
          </w:p>
        </w:tc>
        <w:tc>
          <w:tcPr>
            <w:tcW w:w="1311" w:type="dxa"/>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088" w:type="dxa"/>
            <w:vAlign w:val="center"/>
          </w:tcPr>
          <w:p>
            <w:pPr>
              <w:widowControl/>
              <w:spacing w:line="500" w:lineRule="exact"/>
              <w:jc w:val="left"/>
              <w:rPr>
                <w:rFonts w:ascii="仿宋_GB2312" w:hAnsi="仿宋" w:eastAsia="仿宋_GB2312" w:cs="仿宋"/>
                <w:kern w:val="0"/>
                <w:sz w:val="24"/>
                <w:szCs w:val="24"/>
              </w:rPr>
            </w:pPr>
            <w:r>
              <w:rPr>
                <w:rFonts w:hint="eastAsia" w:ascii="仿宋_GB2312" w:hAnsi="仿宋" w:eastAsia="仿宋_GB2312" w:cs="仿宋"/>
                <w:kern w:val="0"/>
                <w:sz w:val="24"/>
                <w:szCs w:val="24"/>
              </w:rPr>
              <w:t>森林覆盖率（</w:t>
            </w:r>
            <w:r>
              <w:rPr>
                <w:rFonts w:ascii="仿宋_GB2312" w:hAnsi="仿宋" w:eastAsia="仿宋_GB2312" w:cs="仿宋"/>
                <w:kern w:val="0"/>
                <w:sz w:val="24"/>
                <w:szCs w:val="24"/>
              </w:rPr>
              <w:t>%</w:t>
            </w:r>
            <w:r>
              <w:rPr>
                <w:rFonts w:hint="eastAsia" w:ascii="仿宋_GB2312" w:hAnsi="仿宋" w:eastAsia="仿宋_GB2312" w:cs="仿宋"/>
                <w:kern w:val="0"/>
                <w:sz w:val="24"/>
                <w:szCs w:val="24"/>
              </w:rPr>
              <w:t>）</w:t>
            </w:r>
          </w:p>
        </w:tc>
        <w:tc>
          <w:tcPr>
            <w:tcW w:w="1815"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58.3</w:t>
            </w:r>
          </w:p>
        </w:tc>
        <w:tc>
          <w:tcPr>
            <w:tcW w:w="1491" w:type="dxa"/>
            <w:shd w:val="clear" w:color="000000" w:fill="auto"/>
            <w:vAlign w:val="center"/>
          </w:tcPr>
          <w:p>
            <w:pPr>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59</w:t>
            </w:r>
          </w:p>
        </w:tc>
        <w:tc>
          <w:tcPr>
            <w:tcW w:w="1311" w:type="dxa"/>
            <w:vAlign w:val="center"/>
          </w:tcPr>
          <w:p>
            <w:pPr>
              <w:widowControl/>
              <w:spacing w:line="500" w:lineRule="exact"/>
              <w:jc w:val="center"/>
              <w:rPr>
                <w:rFonts w:ascii="仿宋_GB2312" w:hAnsi="仿宋" w:eastAsia="仿宋_GB2312" w:cs="仿宋"/>
                <w:kern w:val="0"/>
                <w:sz w:val="24"/>
                <w:szCs w:val="24"/>
              </w:rPr>
            </w:pPr>
            <w:r>
              <w:rPr>
                <w:rFonts w:ascii="仿宋_GB2312" w:hAnsi="仿宋" w:eastAsia="仿宋_GB2312" w:cs="仿宋"/>
                <w:kern w:val="0"/>
                <w:sz w:val="24"/>
                <w:szCs w:val="24"/>
              </w:rPr>
              <w:t>/</w:t>
            </w:r>
          </w:p>
        </w:tc>
        <w:tc>
          <w:tcPr>
            <w:tcW w:w="955" w:type="dxa"/>
            <w:vAlign w:val="center"/>
          </w:tcPr>
          <w:p>
            <w:pPr>
              <w:spacing w:line="30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约束性</w:t>
            </w:r>
          </w:p>
        </w:tc>
      </w:tr>
    </w:tbl>
    <w:p>
      <w:pPr>
        <w:pStyle w:val="3"/>
        <w:spacing w:before="220" w:after="100" w:line="600" w:lineRule="exact"/>
        <w:jc w:val="center"/>
        <w:rPr>
          <w:rFonts w:ascii="华文楷体" w:hAnsi="华文楷体" w:eastAsia="华文楷体" w:cs="华文楷体"/>
          <w:sz w:val="36"/>
          <w:szCs w:val="36"/>
        </w:rPr>
      </w:pPr>
      <w:bookmarkStart w:id="21" w:name="_Toc25222"/>
      <w:bookmarkStart w:id="22" w:name="_Toc58430106"/>
      <w:bookmarkStart w:id="23" w:name="_Toc25486"/>
      <w:bookmarkStart w:id="24" w:name="_Toc58430133"/>
      <w:bookmarkStart w:id="25" w:name="_Toc4878"/>
      <w:bookmarkStart w:id="26" w:name="_Toc25165"/>
    </w:p>
    <w:p>
      <w:pPr>
        <w:pStyle w:val="3"/>
        <w:spacing w:before="0" w:after="0" w:line="600" w:lineRule="exact"/>
        <w:jc w:val="center"/>
        <w:rPr>
          <w:rFonts w:ascii="方正小标宋简体" w:hAnsi="华文楷体" w:eastAsia="方正小标宋简体" w:cs="华文楷体"/>
          <w:sz w:val="36"/>
          <w:szCs w:val="36"/>
        </w:rPr>
      </w:pPr>
      <w:r>
        <w:rPr>
          <w:rFonts w:ascii="华文楷体" w:hAnsi="华文楷体" w:eastAsia="华文楷体" w:cs="华文楷体"/>
          <w:sz w:val="36"/>
          <w:szCs w:val="36"/>
        </w:rPr>
        <w:br w:type="page"/>
      </w:r>
      <w:r>
        <w:rPr>
          <w:rFonts w:hint="eastAsia" w:ascii="方正小标宋简体" w:hAnsi="华文楷体" w:eastAsia="方正小标宋简体" w:cs="华文楷体"/>
          <w:sz w:val="36"/>
          <w:szCs w:val="36"/>
        </w:rPr>
        <w:t>第三篇坚持产业强县，建设现代产业</w:t>
      </w:r>
      <w:bookmarkEnd w:id="21"/>
      <w:bookmarkEnd w:id="22"/>
      <w:r>
        <w:rPr>
          <w:rFonts w:hint="eastAsia" w:ascii="方正小标宋简体" w:hAnsi="华文楷体" w:eastAsia="方正小标宋简体" w:cs="华文楷体"/>
          <w:sz w:val="36"/>
          <w:szCs w:val="36"/>
        </w:rPr>
        <w:t>体系</w:t>
      </w:r>
      <w:bookmarkEnd w:id="23"/>
    </w:p>
    <w:p>
      <w:pPr>
        <w:spacing w:line="600" w:lineRule="exact"/>
        <w:ind w:firstLine="640" w:firstLineChars="200"/>
        <w:rPr>
          <w:rFonts w:ascii="??_GB2312" w:hAnsi="宋体" w:cs="宋体"/>
          <w:sz w:val="32"/>
          <w:szCs w:val="32"/>
        </w:rPr>
      </w:pPr>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把做实做强做优实体经济作为主攻方向，坚持创新驱动，大力发展战略性新兴产业，转型升级传统产业，提质发展现代服务业，推进制造强县、质量强县、科技强县、数字东至建设，一手抓传统产业转型升级，一手抓新兴产业发展壮大，打好产业基础高级化和产业链现代化攻坚战，实施“</w:t>
      </w:r>
      <w:r>
        <w:rPr>
          <w:rFonts w:ascii="仿宋_GB2312" w:hAnsi="宋体" w:eastAsia="仿宋_GB2312" w:cs="宋体"/>
          <w:sz w:val="30"/>
          <w:szCs w:val="30"/>
        </w:rPr>
        <w:t>1122</w:t>
      </w:r>
      <w:r>
        <w:rPr>
          <w:rFonts w:hint="eastAsia" w:ascii="仿宋_GB2312" w:hAnsi="宋体" w:eastAsia="仿宋_GB2312" w:cs="宋体"/>
          <w:sz w:val="30"/>
          <w:szCs w:val="30"/>
        </w:rPr>
        <w:t>”产业提质工程</w:t>
      </w:r>
      <w:r>
        <w:rPr>
          <w:rFonts w:ascii="仿宋_GB2312" w:hAnsi="宋体" w:eastAsia="仿宋_GB2312" w:cs="宋体"/>
          <w:sz w:val="30"/>
          <w:szCs w:val="30"/>
          <w:vertAlign w:val="superscript"/>
        </w:rPr>
        <w:footnoteReference w:id="1"/>
      </w:r>
      <w:r>
        <w:rPr>
          <w:rFonts w:hint="eastAsia" w:ascii="仿宋_GB2312" w:hAnsi="宋体" w:eastAsia="仿宋_GB2312" w:cs="宋体"/>
          <w:sz w:val="30"/>
          <w:szCs w:val="30"/>
        </w:rPr>
        <w:t>，推动全产业链、产业集群的优化升级，加快形成以现代化工为首位，以袜业服装箱包、绿色食品加工、智能装备制造、钙产业为主导，以大健康、大旅游、大数据产业为支撑的“</w:t>
      </w:r>
      <w:r>
        <w:rPr>
          <w:rFonts w:ascii="仿宋_GB2312" w:hAnsi="宋体" w:eastAsia="仿宋_GB2312" w:cs="宋体"/>
          <w:sz w:val="30"/>
          <w:szCs w:val="30"/>
        </w:rPr>
        <w:t>1+4+3</w:t>
      </w:r>
      <w:r>
        <w:rPr>
          <w:rFonts w:hint="eastAsia" w:ascii="仿宋_GB2312" w:hAnsi="宋体" w:eastAsia="仿宋_GB2312" w:cs="宋体"/>
          <w:sz w:val="30"/>
          <w:szCs w:val="30"/>
        </w:rPr>
        <w:t>”现代产业体系。</w:t>
      </w:r>
    </w:p>
    <w:p>
      <w:pPr>
        <w:pStyle w:val="4"/>
        <w:spacing w:beforeLines="80" w:afterLines="80" w:line="570" w:lineRule="exact"/>
        <w:jc w:val="center"/>
        <w:rPr>
          <w:rFonts w:ascii="黑体" w:hAnsi="楷体" w:cs="楷体"/>
          <w:sz w:val="30"/>
          <w:szCs w:val="30"/>
        </w:rPr>
      </w:pPr>
      <w:bookmarkStart w:id="27" w:name="_Toc20952"/>
      <w:bookmarkStart w:id="28" w:name="_Toc11146"/>
      <w:bookmarkStart w:id="29" w:name="_Toc58430107"/>
      <w:bookmarkStart w:id="30" w:name="_Toc54004363"/>
      <w:r>
        <w:rPr>
          <w:rFonts w:hint="eastAsia" w:ascii="黑体" w:hAnsi="楷体" w:cs="楷体"/>
          <w:sz w:val="30"/>
          <w:szCs w:val="30"/>
        </w:rPr>
        <w:t>第一章大力发展战略性新兴产业</w:t>
      </w:r>
      <w:bookmarkEnd w:id="27"/>
      <w:bookmarkEnd w:id="28"/>
      <w:bookmarkEnd w:id="29"/>
      <w:bookmarkEnd w:id="30"/>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加快推进战新产业集聚发展。</w:t>
      </w:r>
      <w:r>
        <w:rPr>
          <w:rFonts w:hint="eastAsia" w:ascii="仿宋_GB2312" w:hAnsi="宋体" w:eastAsia="仿宋_GB2312" w:cs="宋体"/>
          <w:sz w:val="30"/>
          <w:szCs w:val="30"/>
        </w:rPr>
        <w:t>深入推进“三重一创”建设，积极发展生物医药、化工新材料、智能装备制造、新能源、生命健康等战略性新兴产业，力争在技术研发、主导产品、重点项目、龙头企业、产业基地建设上实现新的突破，打造一批工业互联网平台，将东至经开区建成省级战略性新兴产业基地，创建省级高新开发区，将大渡口经开区建成装备制造基地、绿色食品基地。实施未来产业培育工程，布局谋划建设灾备中心。提高战略性新兴产业在全县经济中的比重，加快形成先导性和支柱性产业，着力打造工业经济发展新的增长极。</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sz w:val="30"/>
          <w:szCs w:val="30"/>
        </w:rPr>
        <w:t>聚力发展特色产业。</w:t>
      </w:r>
      <w:r>
        <w:rPr>
          <w:rFonts w:hint="eastAsia" w:ascii="仿宋_GB2312" w:hAnsi="宋体" w:eastAsia="仿宋_GB2312" w:cs="宋体"/>
          <w:sz w:val="30"/>
          <w:szCs w:val="30"/>
        </w:rPr>
        <w:t>突出优势特色产业，谋深谋实特色产业发展路径，聚力打好产业基础高级化和产业链现代化攻坚战，提高产业链供应链稳定性和现代化水平，打造现代化工、钙产业与绿色食品三大特色产业。实施现代化工首位产业推进工程，规划发展高附加值精细化工产业链，扩大产业集群规模，力争</w:t>
      </w:r>
      <w:r>
        <w:rPr>
          <w:rFonts w:ascii="仿宋_GB2312" w:hAnsi="宋体" w:eastAsia="仿宋_GB2312" w:cs="宋体"/>
          <w:sz w:val="30"/>
          <w:szCs w:val="30"/>
        </w:rPr>
        <w:t>2025</w:t>
      </w:r>
      <w:r>
        <w:rPr>
          <w:rFonts w:hint="eastAsia" w:ascii="仿宋_GB2312" w:hAnsi="宋体" w:eastAsia="仿宋_GB2312" w:cs="宋体"/>
          <w:sz w:val="30"/>
          <w:szCs w:val="30"/>
        </w:rPr>
        <w:t>年实现全产业链</w:t>
      </w:r>
      <w:r>
        <w:rPr>
          <w:rFonts w:ascii="仿宋_GB2312" w:hAnsi="宋体" w:eastAsia="仿宋_GB2312" w:cs="宋体"/>
          <w:sz w:val="30"/>
          <w:szCs w:val="30"/>
        </w:rPr>
        <w:t>300</w:t>
      </w:r>
      <w:r>
        <w:rPr>
          <w:rFonts w:hint="eastAsia" w:ascii="仿宋_GB2312" w:hAnsi="宋体" w:eastAsia="仿宋_GB2312" w:cs="宋体"/>
          <w:sz w:val="30"/>
          <w:szCs w:val="30"/>
        </w:rPr>
        <w:t>亿产值。依托丰富优质矿产资源，坚持优矿优用，积极打造国内知名钙产业加工基地。充分利用生态绿色优势，做精做优做强做大绿色有机食品加工产业。</w:t>
      </w:r>
    </w:p>
    <w:p>
      <w:pPr>
        <w:pStyle w:val="2"/>
        <w:ind w:left="0" w:leftChars="0"/>
        <w:jc w:val="center"/>
        <w:rPr>
          <w:rFonts w:ascii="黑体" w:eastAsia="黑体"/>
        </w:rPr>
      </w:pPr>
      <w:r>
        <w:rPr>
          <w:rFonts w:hint="eastAsia" w:ascii="黑体" w:hAnsi="??" w:eastAsia="黑体"/>
          <w:bCs/>
          <w:kern w:val="0"/>
          <w:sz w:val="28"/>
          <w:szCs w:val="28"/>
        </w:rPr>
        <w:t>专栏</w:t>
      </w:r>
      <w:r>
        <w:rPr>
          <w:rFonts w:ascii="黑体" w:hAnsi="??" w:eastAsia="黑体"/>
          <w:bCs/>
          <w:kern w:val="0"/>
          <w:sz w:val="28"/>
          <w:szCs w:val="28"/>
        </w:rPr>
        <w:t xml:space="preserve">3  </w:t>
      </w:r>
      <w:r>
        <w:rPr>
          <w:rFonts w:hint="eastAsia" w:ascii="黑体" w:hAnsi="黑体" w:eastAsia="黑体" w:cs="黑体"/>
          <w:bCs/>
          <w:kern w:val="0"/>
          <w:sz w:val="28"/>
          <w:szCs w:val="28"/>
        </w:rPr>
        <w:t>战略性新兴产业重点项目</w:t>
      </w:r>
    </w:p>
    <w:tbl>
      <w:tblPr>
        <w:tblStyle w:val="1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8" w:type="dxa"/>
          </w:tcPr>
          <w:p>
            <w:pPr>
              <w:spacing w:line="530" w:lineRule="exact"/>
              <w:ind w:firstLine="562" w:firstLineChars="200"/>
              <w:rPr>
                <w:rFonts w:ascii="仿宋" w:hAnsi="仿宋" w:eastAsia="仿宋" w:cs="仿宋"/>
                <w:kern w:val="0"/>
                <w:sz w:val="28"/>
                <w:szCs w:val="28"/>
                <w:shd w:val="clear" w:color="auto" w:fill="FFFFFF"/>
              </w:rPr>
            </w:pPr>
            <w:r>
              <w:rPr>
                <w:rFonts w:hint="eastAsia" w:ascii="楷体_GB2312" w:hAnsi="仿宋" w:eastAsia="楷体_GB2312" w:cs="黑体"/>
                <w:b/>
                <w:bCs/>
                <w:kern w:val="0"/>
                <w:sz w:val="28"/>
                <w:szCs w:val="28"/>
              </w:rPr>
              <w:t>化学原料药：</w:t>
            </w:r>
            <w:r>
              <w:rPr>
                <w:rFonts w:hint="eastAsia" w:ascii="仿宋_GB2312" w:hAnsi="仿宋" w:eastAsia="仿宋_GB2312" w:cs="仿宋"/>
                <w:kern w:val="0"/>
                <w:sz w:val="28"/>
                <w:szCs w:val="28"/>
                <w:shd w:val="clear" w:color="auto" w:fill="FFFFFF"/>
              </w:rPr>
              <w:t>广信农化甲基硫菌灵、对氨基苯酚，众望制药替尼类医药中间体、原药、原料药，新北卡化学医药中间体，国药集团上海血液制品有限公司人血白蛋白生产研发，徽泰福制药奥氮平、盐酸曲唑酮等原料药，恒升化工邻氯苯腈等医药中间体等项目。</w:t>
            </w:r>
          </w:p>
          <w:p>
            <w:pPr>
              <w:spacing w:line="530" w:lineRule="exact"/>
              <w:ind w:firstLine="562" w:firstLineChars="200"/>
              <w:rPr>
                <w:rFonts w:ascii="仿宋_GB2312" w:hAnsi="仿宋" w:eastAsia="仿宋_GB2312" w:cs="仿宋"/>
                <w:kern w:val="0"/>
                <w:sz w:val="28"/>
                <w:szCs w:val="28"/>
                <w:shd w:val="clear" w:color="auto" w:fill="FFFFFF"/>
              </w:rPr>
            </w:pPr>
            <w:r>
              <w:rPr>
                <w:rFonts w:hint="eastAsia" w:ascii="楷体_GB2312" w:hAnsi="??_GB2312" w:eastAsia="楷体_GB2312" w:cs="??_GB2312"/>
                <w:b/>
                <w:sz w:val="28"/>
                <w:szCs w:val="28"/>
              </w:rPr>
              <w:t>化工新材料：</w:t>
            </w:r>
            <w:r>
              <w:rPr>
                <w:rFonts w:hint="eastAsia" w:ascii="仿宋_GB2312" w:hAnsi="仿宋" w:eastAsia="仿宋_GB2312" w:cs="仿宋"/>
                <w:kern w:val="0"/>
                <w:sz w:val="28"/>
                <w:szCs w:val="28"/>
                <w:shd w:val="clear" w:color="auto" w:fill="FFFFFF"/>
              </w:rPr>
              <w:t>广信农化聚碳酸酯（</w:t>
            </w:r>
            <w:r>
              <w:rPr>
                <w:rFonts w:ascii="仿宋_GB2312" w:hAnsi="仿宋" w:eastAsia="仿宋_GB2312" w:cs="仿宋"/>
                <w:kern w:val="0"/>
                <w:sz w:val="28"/>
                <w:szCs w:val="28"/>
                <w:shd w:val="clear" w:color="auto" w:fill="FFFFFF"/>
              </w:rPr>
              <w:t>PC</w:t>
            </w:r>
            <w:r>
              <w:rPr>
                <w:rFonts w:hint="eastAsia" w:ascii="仿宋_GB2312" w:hAnsi="仿宋" w:eastAsia="仿宋_GB2312" w:cs="仿宋"/>
                <w:kern w:val="0"/>
                <w:sz w:val="28"/>
                <w:szCs w:val="28"/>
                <w:shd w:val="clear" w:color="auto" w:fill="FFFFFF"/>
              </w:rPr>
              <w:t>）、甲苯二异氰酸酯（</w:t>
            </w:r>
            <w:r>
              <w:rPr>
                <w:rFonts w:ascii="仿宋_GB2312" w:hAnsi="仿宋" w:eastAsia="仿宋_GB2312" w:cs="仿宋"/>
                <w:kern w:val="0"/>
                <w:sz w:val="28"/>
                <w:szCs w:val="28"/>
                <w:shd w:val="clear" w:color="auto" w:fill="FFFFFF"/>
              </w:rPr>
              <w:t>TDI</w:t>
            </w:r>
            <w:r>
              <w:rPr>
                <w:rFonts w:hint="eastAsia" w:ascii="仿宋_GB2312" w:hAnsi="仿宋" w:eastAsia="仿宋_GB2312" w:cs="仿宋"/>
                <w:kern w:val="0"/>
                <w:sz w:val="28"/>
                <w:szCs w:val="28"/>
                <w:shd w:val="clear" w:color="auto" w:fill="FFFFFF"/>
              </w:rPr>
              <w:t>），华尔泰化工电子级双氧水、电子级氨水、苯二胺，华伦化工</w:t>
            </w:r>
            <w:r>
              <w:rPr>
                <w:rFonts w:ascii="仿宋_GB2312" w:hAnsi="仿宋" w:eastAsia="仿宋_GB2312" w:cs="仿宋"/>
                <w:kern w:val="0"/>
                <w:sz w:val="28"/>
                <w:szCs w:val="28"/>
                <w:shd w:val="clear" w:color="auto" w:fill="FFFFFF"/>
              </w:rPr>
              <w:t>C9</w:t>
            </w:r>
            <w:r>
              <w:rPr>
                <w:rFonts w:hint="eastAsia" w:ascii="仿宋_GB2312" w:hAnsi="仿宋" w:eastAsia="仿宋_GB2312" w:cs="仿宋"/>
                <w:kern w:val="0"/>
                <w:sz w:val="28"/>
                <w:szCs w:val="28"/>
                <w:shd w:val="clear" w:color="auto" w:fill="FFFFFF"/>
              </w:rPr>
              <w:t>重芳烃综合利用，德川化学电子化学新材料，博纳新材料特种环保助剂及特种功能高分子材料，恒光聚氨酯高新材料，雅圣氨基膜塑料，一帆离子交换和吸附功能材料，鑫泰联苯醇，安聚合成粉末涂料专用聚酯树脂，东淮新材料</w:t>
            </w:r>
            <w:r>
              <w:rPr>
                <w:rFonts w:ascii="仿宋_GB2312" w:hAnsi="仿宋" w:eastAsia="仿宋_GB2312" w:cs="仿宋"/>
                <w:kern w:val="0"/>
                <w:sz w:val="28"/>
                <w:szCs w:val="28"/>
                <w:shd w:val="clear" w:color="auto" w:fill="FFFFFF"/>
              </w:rPr>
              <w:t>5G</w:t>
            </w:r>
            <w:r>
              <w:rPr>
                <w:rFonts w:hint="eastAsia" w:ascii="仿宋_GB2312" w:hAnsi="仿宋" w:eastAsia="仿宋_GB2312" w:cs="仿宋"/>
                <w:kern w:val="0"/>
                <w:sz w:val="28"/>
                <w:szCs w:val="28"/>
                <w:shd w:val="clear" w:color="auto" w:fill="FFFFFF"/>
              </w:rPr>
              <w:t>高频高速</w:t>
            </w:r>
            <w:r>
              <w:rPr>
                <w:rFonts w:ascii="仿宋_GB2312" w:hAnsi="仿宋" w:eastAsia="仿宋_GB2312" w:cs="仿宋"/>
                <w:kern w:val="0"/>
                <w:sz w:val="28"/>
                <w:szCs w:val="28"/>
                <w:shd w:val="clear" w:color="auto" w:fill="FFFFFF"/>
              </w:rPr>
              <w:t>PCB</w:t>
            </w:r>
            <w:r>
              <w:rPr>
                <w:rFonts w:hint="eastAsia" w:ascii="仿宋_GB2312" w:hAnsi="仿宋" w:eastAsia="仿宋_GB2312" w:cs="仿宋"/>
                <w:kern w:val="0"/>
                <w:sz w:val="28"/>
                <w:szCs w:val="28"/>
                <w:shd w:val="clear" w:color="auto" w:fill="FFFFFF"/>
              </w:rPr>
              <w:t>板基材专用有机磷阻燃剂</w:t>
            </w:r>
            <w:r>
              <w:rPr>
                <w:rFonts w:ascii="仿宋_GB2312" w:hAnsi="仿宋" w:eastAsia="仿宋_GB2312" w:cs="仿宋"/>
                <w:kern w:val="0"/>
                <w:sz w:val="28"/>
                <w:szCs w:val="28"/>
                <w:shd w:val="clear" w:color="auto" w:fill="FFFFFF"/>
              </w:rPr>
              <w:t>SPDO</w:t>
            </w:r>
            <w:r>
              <w:rPr>
                <w:rFonts w:hint="eastAsia" w:ascii="仿宋_GB2312" w:hAnsi="仿宋" w:eastAsia="仿宋_GB2312" w:cs="仿宋"/>
                <w:kern w:val="0"/>
                <w:sz w:val="28"/>
                <w:szCs w:val="28"/>
                <w:shd w:val="clear" w:color="auto" w:fill="FFFFFF"/>
              </w:rPr>
              <w:t>，巨科化工水性丙烯酸乳液，方达科技氨基钠、二碳酸二叔丁酯、丙烯酸树脂，纳勒电子化学品等项目。</w:t>
            </w:r>
          </w:p>
          <w:p>
            <w:pPr>
              <w:spacing w:line="530" w:lineRule="exact"/>
              <w:ind w:firstLine="562" w:firstLineChars="200"/>
              <w:rPr>
                <w:sz w:val="28"/>
                <w:szCs w:val="28"/>
              </w:rPr>
            </w:pPr>
            <w:r>
              <w:rPr>
                <w:rFonts w:hint="eastAsia" w:ascii="楷体_GB2312" w:hAnsi="??_GB2312" w:eastAsia="楷体_GB2312" w:cs="??_GB2312"/>
                <w:b/>
                <w:sz w:val="28"/>
                <w:szCs w:val="28"/>
              </w:rPr>
              <w:t>非金属新材料：</w:t>
            </w:r>
            <w:r>
              <w:rPr>
                <w:rFonts w:hint="eastAsia" w:ascii="仿宋_GB2312" w:hAnsi="仿宋" w:eastAsia="仿宋_GB2312" w:cs="仿宋"/>
                <w:bCs/>
                <w:sz w:val="28"/>
                <w:szCs w:val="28"/>
              </w:rPr>
              <w:t>东至钙</w:t>
            </w:r>
            <w:r>
              <w:rPr>
                <w:rFonts w:hint="eastAsia" w:ascii="仿宋_GB2312" w:hAnsi="仿宋" w:eastAsia="仿宋_GB2312" w:cs="仿宋"/>
                <w:kern w:val="0"/>
                <w:sz w:val="28"/>
                <w:szCs w:val="28"/>
                <w:shd w:val="clear" w:color="auto" w:fill="FFFFFF"/>
              </w:rPr>
              <w:t>镁</w:t>
            </w:r>
            <w:r>
              <w:rPr>
                <w:rFonts w:hint="eastAsia" w:ascii="仿宋_GB2312" w:hAnsi="仿宋" w:eastAsia="仿宋_GB2312" w:cs="仿宋"/>
                <w:bCs/>
                <w:sz w:val="28"/>
                <w:szCs w:val="28"/>
              </w:rPr>
              <w:t>循环经济产业园、安博钙业钙产品精深加工循环利用、兴庄钙业</w:t>
            </w:r>
            <w:r>
              <w:rPr>
                <w:rFonts w:ascii="仿宋_GB2312" w:hAnsi="仿宋" w:eastAsia="仿宋_GB2312" w:cs="仿宋"/>
                <w:bCs/>
                <w:sz w:val="28"/>
                <w:szCs w:val="28"/>
              </w:rPr>
              <w:t>50</w:t>
            </w:r>
            <w:r>
              <w:rPr>
                <w:rFonts w:hint="eastAsia" w:ascii="仿宋_GB2312" w:hAnsi="仿宋" w:eastAsia="仿宋_GB2312" w:cs="仿宋"/>
                <w:bCs/>
                <w:sz w:val="28"/>
                <w:szCs w:val="28"/>
              </w:rPr>
              <w:t>万吨钙化物系列产品、航盛新型纳米钙材料、奠龙镁合金开发精深加工等项目。</w:t>
            </w:r>
          </w:p>
          <w:p>
            <w:pPr>
              <w:spacing w:line="530" w:lineRule="exact"/>
              <w:ind w:firstLine="562" w:firstLineChars="200"/>
              <w:rPr>
                <w:rFonts w:ascii="仿宋_GB2312" w:hAnsi="仿宋" w:eastAsia="仿宋_GB2312" w:cs="仿宋"/>
                <w:kern w:val="0"/>
                <w:sz w:val="28"/>
                <w:szCs w:val="28"/>
                <w:shd w:val="clear" w:color="auto" w:fill="FFFFFF"/>
              </w:rPr>
            </w:pPr>
            <w:r>
              <w:rPr>
                <w:rFonts w:hint="eastAsia" w:ascii="楷体_GB2312" w:hAnsi="??_GB2312" w:eastAsia="楷体_GB2312" w:cs="??_GB2312"/>
                <w:b/>
                <w:sz w:val="28"/>
                <w:szCs w:val="28"/>
              </w:rPr>
              <w:t>先进制造：</w:t>
            </w:r>
            <w:r>
              <w:rPr>
                <w:rFonts w:hint="eastAsia" w:ascii="仿宋_GB2312" w:hAnsi="仿宋" w:eastAsia="仿宋_GB2312" w:cs="仿宋"/>
                <w:kern w:val="0"/>
                <w:sz w:val="28"/>
                <w:szCs w:val="28"/>
                <w:shd w:val="clear" w:color="auto" w:fill="FFFFFF"/>
              </w:rPr>
              <w:t>东普智能制造产业园、恒登电子科技电子传感器及控制设备、上海山贸实业光电信息产业园、北京耀华德昌电子有限公司脉冲变压器、湖南光晟光纤传感器、苏州三剑医疗科技易携带顶针式微型供氧器等项目。</w:t>
            </w:r>
          </w:p>
          <w:p>
            <w:pPr>
              <w:spacing w:line="530" w:lineRule="exact"/>
              <w:ind w:firstLine="562" w:firstLineChars="200"/>
              <w:rPr>
                <w:rFonts w:ascii="??_GB2312" w:hAnsi="宋体" w:eastAsia="Times New Roman" w:cs="宋体"/>
                <w:kern w:val="0"/>
                <w:sz w:val="20"/>
              </w:rPr>
            </w:pPr>
            <w:r>
              <w:rPr>
                <w:rFonts w:hint="eastAsia" w:ascii="楷体_GB2312" w:hAnsi="??_GB2312" w:eastAsia="楷体_GB2312" w:cs="??_GB2312"/>
                <w:b/>
                <w:sz w:val="28"/>
                <w:szCs w:val="28"/>
              </w:rPr>
              <w:t>新能源：</w:t>
            </w:r>
            <w:r>
              <w:rPr>
                <w:rFonts w:hint="eastAsia" w:ascii="仿宋_GB2312" w:hAnsi="仿宋" w:eastAsia="仿宋_GB2312" w:cs="仿宋"/>
                <w:kern w:val="0"/>
                <w:sz w:val="28"/>
                <w:szCs w:val="28"/>
                <w:shd w:val="clear" w:color="auto" w:fill="FFFFFF"/>
              </w:rPr>
              <w:t>安徽华电泥溪</w:t>
            </w:r>
            <w:r>
              <w:rPr>
                <w:rFonts w:ascii="仿宋_GB2312" w:hAnsi="仿宋" w:eastAsia="仿宋_GB2312" w:cs="仿宋"/>
                <w:kern w:val="0"/>
                <w:sz w:val="28"/>
                <w:szCs w:val="28"/>
                <w:shd w:val="clear" w:color="auto" w:fill="FFFFFF"/>
              </w:rPr>
              <w:t>150MW</w:t>
            </w:r>
            <w:r>
              <w:rPr>
                <w:rFonts w:hint="eastAsia" w:ascii="仿宋_GB2312" w:hAnsi="仿宋" w:eastAsia="仿宋_GB2312" w:cs="仿宋"/>
                <w:kern w:val="0"/>
                <w:sz w:val="28"/>
                <w:szCs w:val="28"/>
                <w:shd w:val="clear" w:color="auto" w:fill="FFFFFF"/>
              </w:rPr>
              <w:t>风电、东至青山风电、中安绿能香隅风电、龙门尖风电、东至泥阳</w:t>
            </w:r>
            <w:r>
              <w:rPr>
                <w:rFonts w:ascii="仿宋_GB2312" w:hAnsi="仿宋" w:eastAsia="仿宋_GB2312" w:cs="仿宋"/>
                <w:kern w:val="0"/>
                <w:sz w:val="28"/>
                <w:szCs w:val="28"/>
                <w:shd w:val="clear" w:color="auto" w:fill="FFFFFF"/>
              </w:rPr>
              <w:t>100MWA</w:t>
            </w:r>
            <w:r>
              <w:rPr>
                <w:rFonts w:hint="eastAsia" w:ascii="仿宋_GB2312" w:hAnsi="仿宋" w:eastAsia="仿宋_GB2312" w:cs="仿宋"/>
                <w:kern w:val="0"/>
                <w:sz w:val="28"/>
                <w:szCs w:val="28"/>
                <w:shd w:val="clear" w:color="auto" w:fill="FFFFFF"/>
              </w:rPr>
              <w:t>网侧储能、东至分散式风电、通威黄泥湖渔光一体产业园、中广核尧渡镇渔光互补、童村渔光互补、阳塘湖渔光互补、香隅肖思湖光伏发电、东至香阳新能源渔光互补、胜利诸名湖水面光伏、东至</w:t>
            </w:r>
            <w:r>
              <w:rPr>
                <w:rFonts w:ascii="仿宋_GB2312" w:hAnsi="仿宋" w:eastAsia="仿宋_GB2312" w:cs="仿宋"/>
                <w:kern w:val="0"/>
                <w:sz w:val="28"/>
                <w:szCs w:val="28"/>
                <w:shd w:val="clear" w:color="auto" w:fill="FFFFFF"/>
              </w:rPr>
              <w:t>80MW</w:t>
            </w:r>
            <w:r>
              <w:rPr>
                <w:rFonts w:hint="eastAsia" w:ascii="仿宋_GB2312" w:hAnsi="仿宋" w:eastAsia="仿宋_GB2312" w:cs="仿宋"/>
                <w:kern w:val="0"/>
                <w:sz w:val="28"/>
                <w:szCs w:val="28"/>
                <w:shd w:val="clear" w:color="auto" w:fill="FFFFFF"/>
              </w:rPr>
              <w:t>农光互补、东至垃圾生物质焚烧发电、德博生物质焚烧发电等项目，推进吉阳核电站、压缩空气储能调峰电站等项目前期工作。</w:t>
            </w:r>
          </w:p>
        </w:tc>
      </w:tr>
    </w:tbl>
    <w:p>
      <w:pPr>
        <w:pStyle w:val="4"/>
        <w:spacing w:beforeLines="80" w:afterLines="80" w:line="570" w:lineRule="exact"/>
        <w:jc w:val="center"/>
        <w:rPr>
          <w:rFonts w:ascii="黑体" w:hAnsi="楷体" w:cs="楷体"/>
          <w:sz w:val="30"/>
          <w:szCs w:val="30"/>
        </w:rPr>
      </w:pPr>
      <w:bookmarkStart w:id="31" w:name="_Toc58430108"/>
      <w:bookmarkStart w:id="32" w:name="_Toc21632"/>
      <w:bookmarkStart w:id="33" w:name="_Toc54004364"/>
      <w:bookmarkStart w:id="34" w:name="_Toc5076"/>
      <w:r>
        <w:rPr>
          <w:rFonts w:hint="eastAsia" w:ascii="黑体" w:hAnsi="楷体" w:cs="楷体"/>
          <w:sz w:val="30"/>
          <w:szCs w:val="30"/>
        </w:rPr>
        <w:t>第二章优化升级传统产业</w:t>
      </w:r>
      <w:bookmarkEnd w:id="31"/>
      <w:bookmarkEnd w:id="32"/>
      <w:bookmarkEnd w:id="33"/>
      <w:bookmarkEnd w:id="34"/>
    </w:p>
    <w:p>
      <w:pPr>
        <w:shd w:val="clear" w:color="auto" w:fill="FFFFFF"/>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sz w:val="30"/>
          <w:szCs w:val="30"/>
        </w:rPr>
        <w:t>全面提升传统优势产业。</w:t>
      </w:r>
      <w:r>
        <w:rPr>
          <w:rFonts w:hint="eastAsia" w:ascii="仿宋_GB2312" w:hAnsi="宋体" w:eastAsia="仿宋_GB2312" w:cs="宋体"/>
          <w:sz w:val="30"/>
          <w:szCs w:val="30"/>
        </w:rPr>
        <w:t>大力实施传统产业“振兴计划”，抢抓育动能促转型及民营企业高质量发展等政策机遇，补齐产业链短板。围绕产业集群化、特色化、生态化发展，聚焦推进袜业箱包服装、装备制造、钙产业等传统产业，立足现有产业基础和优势，推进科技创新、数据</w:t>
      </w:r>
      <w:r>
        <w:rPr>
          <w:rFonts w:ascii="仿宋_GB2312" w:hAnsi="宋体" w:eastAsia="仿宋_GB2312" w:cs="宋体"/>
          <w:sz w:val="30"/>
          <w:szCs w:val="30"/>
        </w:rPr>
        <w:t>+</w:t>
      </w:r>
      <w:r>
        <w:rPr>
          <w:rFonts w:hint="eastAsia" w:ascii="仿宋_GB2312" w:hAnsi="宋体" w:eastAsia="仿宋_GB2312" w:cs="宋体"/>
          <w:sz w:val="30"/>
          <w:szCs w:val="30"/>
        </w:rPr>
        <w:t>与传统产业深度结合和融入，推动传统产业链优化升级，推动传统产业更具竞争力、更高附加值、更强影响力</w:t>
      </w:r>
      <w:bookmarkStart w:id="35" w:name="_Hlk53751648"/>
      <w:r>
        <w:rPr>
          <w:rFonts w:hint="eastAsia" w:ascii="仿宋_GB2312" w:hAnsi="宋体" w:eastAsia="仿宋_GB2312" w:cs="宋体"/>
          <w:sz w:val="30"/>
          <w:szCs w:val="30"/>
        </w:rPr>
        <w:t>。</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持续推进传统产业改造升级。</w:t>
      </w:r>
      <w:bookmarkEnd w:id="35"/>
      <w:r>
        <w:rPr>
          <w:rFonts w:hint="eastAsia" w:ascii="仿宋_GB2312" w:hAnsi="宋体" w:eastAsia="仿宋_GB2312" w:cs="宋体"/>
          <w:sz w:val="30"/>
          <w:szCs w:val="30"/>
        </w:rPr>
        <w:t>立足现有产业基础和优势，突出创新驱动、“两化融合”和工业强基，持续推进企业技术改造，加快“数字车间”“智能工厂”建设，不断提升优势特色产业的核心竞争力和可持续发展能力。引进和培育一批关键环节产业配套的优势企业，对接长三角相关产业科研机构，加快推进钙产业、装备制造、袜业箱包服装、农产品加工等产业转型升级，全面提升传统优势产业的核心竞争力和可持续发展能力。</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培育壮大企业主体。</w:t>
      </w:r>
      <w:r>
        <w:rPr>
          <w:rFonts w:hint="eastAsia" w:ascii="仿宋_GB2312" w:hAnsi="宋体" w:eastAsia="仿宋_GB2312" w:cs="宋体"/>
          <w:sz w:val="30"/>
          <w:szCs w:val="30"/>
        </w:rPr>
        <w:t>推动个转企、小升规、规改股、股上市，实施龙头企业和专精特新企业培育工程，培育一批专精特新“小巨人”和“冠军”企业，力争打造若干个百亿级的旗舰型企业、一批</w:t>
      </w:r>
      <w:r>
        <w:rPr>
          <w:rFonts w:ascii="仿宋_GB2312" w:hAnsi="宋体" w:eastAsia="仿宋_GB2312" w:cs="宋体"/>
          <w:sz w:val="30"/>
          <w:szCs w:val="30"/>
        </w:rPr>
        <w:t>10</w:t>
      </w:r>
      <w:r>
        <w:rPr>
          <w:rFonts w:hint="eastAsia" w:ascii="仿宋_GB2312" w:hAnsi="宋体" w:eastAsia="仿宋_GB2312" w:cs="宋体"/>
          <w:sz w:val="30"/>
          <w:szCs w:val="30"/>
        </w:rPr>
        <w:t>亿级的专精特新企业。“四上”企业占全市的比重进一步提高，规模以上工业企业达到1</w:t>
      </w:r>
      <w:r>
        <w:rPr>
          <w:rFonts w:ascii="仿宋_GB2312" w:hAnsi="宋体" w:eastAsia="仿宋_GB2312" w:cs="宋体"/>
          <w:sz w:val="30"/>
          <w:szCs w:val="30"/>
        </w:rPr>
        <w:t>60</w:t>
      </w:r>
      <w:r>
        <w:rPr>
          <w:rFonts w:hint="eastAsia" w:ascii="仿宋_GB2312" w:hAnsi="宋体" w:eastAsia="仿宋_GB2312" w:cs="宋体"/>
          <w:sz w:val="30"/>
          <w:szCs w:val="30"/>
        </w:rPr>
        <w:t>家，主板上市企业达到</w:t>
      </w:r>
      <w:r>
        <w:rPr>
          <w:rFonts w:ascii="仿宋_GB2312" w:hAnsi="宋体" w:eastAsia="仿宋_GB2312" w:cs="宋体"/>
          <w:sz w:val="30"/>
          <w:szCs w:val="30"/>
        </w:rPr>
        <w:t>3</w:t>
      </w:r>
      <w:r>
        <w:rPr>
          <w:rFonts w:hint="eastAsia" w:ascii="仿宋_GB2312" w:hAnsi="宋体" w:eastAsia="仿宋_GB2312" w:cs="宋体"/>
          <w:sz w:val="30"/>
          <w:szCs w:val="30"/>
        </w:rPr>
        <w:t>家。因企施策做好企业帮扶。支持符合条件的企业申报高新技术企业。开展金融服务实体经济银企对接专项行动，力争实现小微企业贷款增速不低于各项贷款平均增速。运用好过桥担保资金，建立小微企业融资帮扶机制。深入开展质量提升行动，补齐产业链供应链短板，实施科技产业协同创新、产业基础再造、技术改造等重大工程，支持重点龙头企业加大重要产品和关键核心技术攻关力度，积极参与国内国际产业安全合作。</w:t>
      </w:r>
    </w:p>
    <w:p>
      <w:pPr>
        <w:pStyle w:val="2"/>
        <w:ind w:left="0" w:leftChars="0"/>
        <w:jc w:val="center"/>
        <w:rPr>
          <w:rFonts w:ascii="黑体" w:eastAsia="黑体"/>
        </w:rPr>
      </w:pPr>
      <w:r>
        <w:rPr>
          <w:rFonts w:hint="eastAsia" w:ascii="黑体" w:hAnsi="??" w:eastAsia="黑体"/>
          <w:bCs/>
          <w:kern w:val="0"/>
          <w:sz w:val="28"/>
          <w:szCs w:val="28"/>
        </w:rPr>
        <w:t>专栏</w:t>
      </w:r>
      <w:r>
        <w:rPr>
          <w:rFonts w:ascii="黑体" w:hAnsi="??" w:eastAsia="黑体"/>
          <w:bCs/>
          <w:kern w:val="0"/>
          <w:sz w:val="28"/>
          <w:szCs w:val="28"/>
        </w:rPr>
        <w:t xml:space="preserve">4  </w:t>
      </w:r>
      <w:r>
        <w:rPr>
          <w:rFonts w:hint="eastAsia" w:ascii="黑体" w:hAnsi="黑体" w:eastAsia="黑体" w:cs="黑体"/>
          <w:bCs/>
          <w:kern w:val="0"/>
          <w:sz w:val="28"/>
          <w:szCs w:val="28"/>
        </w:rPr>
        <w:t>传统优势产业项目</w:t>
      </w:r>
    </w:p>
    <w:tbl>
      <w:tblPr>
        <w:tblStyle w:val="1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8928" w:type="dxa"/>
          </w:tcPr>
          <w:p>
            <w:pPr>
              <w:spacing w:line="530" w:lineRule="exact"/>
              <w:ind w:firstLine="562" w:firstLineChars="200"/>
              <w:rPr>
                <w:rFonts w:ascii="仿宋_GB2312" w:hAnsi="仿宋" w:eastAsia="仿宋_GB2312" w:cs="仿宋"/>
                <w:bCs/>
                <w:kern w:val="0"/>
                <w:sz w:val="28"/>
                <w:szCs w:val="28"/>
                <w:shd w:val="clear" w:color="auto" w:fill="FFFFFF"/>
              </w:rPr>
            </w:pPr>
            <w:r>
              <w:rPr>
                <w:rFonts w:hint="eastAsia" w:ascii="楷体_GB2312" w:hAnsi="??_GB2312" w:eastAsia="楷体_GB2312" w:cs="??_GB2312"/>
                <w:b/>
                <w:sz w:val="28"/>
                <w:szCs w:val="28"/>
              </w:rPr>
              <w:t>基础化工精细化：</w:t>
            </w:r>
            <w:r>
              <w:rPr>
                <w:rFonts w:hint="eastAsia" w:ascii="仿宋_GB2312" w:hAnsi="仿宋" w:eastAsia="仿宋_GB2312" w:cs="仿宋"/>
                <w:bCs/>
                <w:sz w:val="28"/>
                <w:szCs w:val="28"/>
              </w:rPr>
              <w:t>德泰精细化工甲基氟苯技术提升改建、万维化工马来酸二乙酯、龙华化工新增多聚磷酸生产线、天峰精细化工</w:t>
            </w:r>
            <w:r>
              <w:rPr>
                <w:rFonts w:ascii="仿宋_GB2312" w:hAnsi="仿宋" w:eastAsia="仿宋_GB2312" w:cs="仿宋"/>
                <w:bCs/>
                <w:sz w:val="28"/>
                <w:szCs w:val="28"/>
              </w:rPr>
              <w:t>2</w:t>
            </w:r>
            <w:r>
              <w:rPr>
                <w:rFonts w:hint="eastAsia" w:ascii="仿宋_GB2312" w:hAnsi="仿宋" w:eastAsia="仿宋_GB2312" w:cs="仿宋"/>
                <w:bCs/>
                <w:sz w:val="28"/>
                <w:szCs w:val="28"/>
              </w:rPr>
              <w:t>，</w:t>
            </w:r>
            <w:r>
              <w:rPr>
                <w:rFonts w:ascii="仿宋_GB2312" w:hAnsi="仿宋" w:eastAsia="仿宋_GB2312" w:cs="仿宋"/>
                <w:bCs/>
                <w:sz w:val="28"/>
                <w:szCs w:val="28"/>
              </w:rPr>
              <w:t>3-</w:t>
            </w:r>
            <w:r>
              <w:rPr>
                <w:rFonts w:hint="eastAsia" w:ascii="仿宋_GB2312" w:hAnsi="仿宋" w:eastAsia="仿宋_GB2312" w:cs="仿宋"/>
                <w:bCs/>
                <w:sz w:val="28"/>
                <w:szCs w:val="28"/>
              </w:rPr>
              <w:t>二甲基、中山化工二氯丙烯胺等技改升级、德隆泰化工</w:t>
            </w:r>
            <w:r>
              <w:rPr>
                <w:rFonts w:ascii="仿宋_GB2312" w:hAnsi="仿宋" w:eastAsia="仿宋_GB2312" w:cs="仿宋"/>
                <w:bCs/>
                <w:sz w:val="28"/>
                <w:szCs w:val="28"/>
              </w:rPr>
              <w:t>2,4,6-</w:t>
            </w:r>
            <w:r>
              <w:rPr>
                <w:rFonts w:hint="eastAsia" w:ascii="仿宋_GB2312" w:hAnsi="仿宋" w:eastAsia="仿宋_GB2312" w:cs="仿宋"/>
                <w:bCs/>
                <w:sz w:val="28"/>
                <w:szCs w:val="28"/>
              </w:rPr>
              <w:t>三甲基苯甲酰氯等产品、汉邦化工助剂、富田农化醇醚、中山化工</w:t>
            </w:r>
            <w:r>
              <w:rPr>
                <w:rFonts w:ascii="仿宋_GB2312" w:hAnsi="仿宋" w:eastAsia="仿宋_GB2312" w:cs="仿宋"/>
                <w:bCs/>
                <w:sz w:val="28"/>
                <w:szCs w:val="28"/>
              </w:rPr>
              <w:t>D</w:t>
            </w:r>
            <w:r>
              <w:rPr>
                <w:rFonts w:hint="eastAsia" w:ascii="仿宋_GB2312" w:hAnsi="仿宋" w:eastAsia="仿宋_GB2312" w:cs="仿宋"/>
                <w:bCs/>
                <w:sz w:val="28"/>
                <w:szCs w:val="28"/>
              </w:rPr>
              <w:t>型扁桃酸等、兴欣新材料三丙酮胺、兴东化工马来酸二乙酯等、瑞普化工环保材料、兴隆化工新材料及除草剂下游技改延伸、科祥树脂等项目。</w:t>
            </w:r>
          </w:p>
          <w:p>
            <w:pPr>
              <w:spacing w:line="530" w:lineRule="exact"/>
              <w:ind w:firstLine="562" w:firstLineChars="200"/>
              <w:rPr>
                <w:rFonts w:ascii="仿宋_GB2312" w:hAnsi="仿宋" w:eastAsia="仿宋_GB2312" w:cs="仿宋"/>
                <w:kern w:val="0"/>
                <w:sz w:val="28"/>
                <w:szCs w:val="28"/>
                <w:shd w:val="clear" w:color="auto" w:fill="FFFFFF"/>
              </w:rPr>
            </w:pPr>
            <w:r>
              <w:rPr>
                <w:rFonts w:hint="eastAsia" w:ascii="楷体_GB2312" w:hAnsi="??_GB2312" w:eastAsia="楷体_GB2312" w:cs="??_GB2312"/>
                <w:b/>
                <w:sz w:val="28"/>
                <w:szCs w:val="28"/>
              </w:rPr>
              <w:t>优势制造业升级：</w:t>
            </w:r>
            <w:r>
              <w:rPr>
                <w:rFonts w:hint="eastAsia" w:ascii="仿宋_GB2312" w:hAnsi="仿宋" w:eastAsia="仿宋_GB2312" w:cs="仿宋"/>
                <w:kern w:val="0"/>
                <w:sz w:val="28"/>
                <w:szCs w:val="28"/>
                <w:shd w:val="clear" w:color="auto" w:fill="FFFFFF"/>
              </w:rPr>
              <w:t>安东智能装备制造产业园、安东国瑞装配式产业示范基地、安徽长风集团塑料制品降解替代、福建炎英节能墙体保温材料、华兴钢结构装配式建筑、华绚食品软包装、巨成汽车机械紧固件、大渡口经开区食品机械制造、残疾人康复辅助器材制造、吉强金属面岩棉夹芯板、东流装配式建筑产业示范、长瑞建材预制构件装配式建筑、汇辽二期玻璃纤维增强混凝土构件、路建防水卷材和土工材料、东方盛华改扩建、香隅镇非金属精加工等项目。</w:t>
            </w:r>
          </w:p>
          <w:p>
            <w:pPr>
              <w:pStyle w:val="2"/>
              <w:spacing w:line="530" w:lineRule="exact"/>
              <w:ind w:left="0" w:leftChars="0" w:firstLine="562" w:firstLineChars="200"/>
            </w:pPr>
            <w:r>
              <w:rPr>
                <w:rFonts w:hint="eastAsia" w:ascii="楷体_GB2312" w:hAnsi="??_GB2312" w:eastAsia="楷体_GB2312" w:cs="??_GB2312"/>
                <w:b/>
                <w:sz w:val="28"/>
                <w:szCs w:val="28"/>
              </w:rPr>
              <w:t>传统制造业集聚：</w:t>
            </w:r>
            <w:r>
              <w:rPr>
                <w:rFonts w:hint="eastAsia" w:ascii="仿宋_GB2312" w:hAnsi="仿宋" w:eastAsia="仿宋_GB2312" w:cs="仿宋"/>
                <w:bCs/>
                <w:sz w:val="28"/>
                <w:szCs w:val="28"/>
              </w:rPr>
              <w:t>县城区产业有机更新工程、尧渡袜业小镇、中莱智创城、科创丽城科创产业园、香隅镇非化产业园、泥溪镇竹制品循环产业园、龙泉皖粤家私整体研发中心、昭潭小微产业园、青山乡服装加工销售一体化、诺美印服饰、乐正沙发布纺织、张溪镇土桥铸造企业园扩建、洋湖产业集中区、远渡食品加工、震坤工业标准化厂房、茂源洁具标准化厂房、</w:t>
            </w:r>
            <w:r>
              <w:rPr>
                <w:rFonts w:hint="eastAsia" w:ascii="仿宋_GB2312" w:hAnsi="仿宋" w:eastAsia="仿宋_GB2312" w:cs="仿宋"/>
                <w:kern w:val="0"/>
                <w:sz w:val="28"/>
                <w:szCs w:val="28"/>
                <w:shd w:val="clear" w:color="auto" w:fill="FFFFFF"/>
              </w:rPr>
              <w:t>建筑垃圾回收利用</w:t>
            </w:r>
            <w:r>
              <w:rPr>
                <w:rFonts w:hint="eastAsia" w:ascii="仿宋_GB2312" w:hAnsi="仿宋" w:eastAsia="仿宋_GB2312" w:cs="仿宋"/>
                <w:bCs/>
                <w:sz w:val="28"/>
                <w:szCs w:val="28"/>
              </w:rPr>
              <w:t>等项目。</w:t>
            </w:r>
          </w:p>
        </w:tc>
      </w:tr>
    </w:tbl>
    <w:p>
      <w:pPr>
        <w:pStyle w:val="4"/>
        <w:spacing w:beforeLines="80" w:afterLines="80" w:line="570" w:lineRule="exact"/>
        <w:jc w:val="center"/>
        <w:rPr>
          <w:rFonts w:ascii="黑体" w:hAnsi="楷体" w:cs="楷体"/>
          <w:sz w:val="30"/>
          <w:szCs w:val="30"/>
        </w:rPr>
      </w:pPr>
      <w:bookmarkStart w:id="36" w:name="_Toc58430109"/>
      <w:bookmarkStart w:id="37" w:name="_Toc5713"/>
      <w:bookmarkStart w:id="38" w:name="_Toc54004365"/>
      <w:bookmarkStart w:id="39" w:name="_Toc28151"/>
      <w:r>
        <w:rPr>
          <w:rFonts w:hint="eastAsia" w:ascii="黑体" w:hAnsi="楷体" w:cs="楷体"/>
          <w:sz w:val="30"/>
          <w:szCs w:val="30"/>
        </w:rPr>
        <w:t>第三章提档升级产业发展平台</w:t>
      </w:r>
      <w:bookmarkEnd w:id="36"/>
      <w:bookmarkEnd w:id="37"/>
      <w:bookmarkEnd w:id="38"/>
      <w:bookmarkEnd w:id="39"/>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sz w:val="30"/>
          <w:szCs w:val="30"/>
        </w:rPr>
        <w:t>实施开发区“二次创业”行动。</w:t>
      </w:r>
      <w:r>
        <w:rPr>
          <w:rFonts w:hint="eastAsia" w:ascii="仿宋_GB2312" w:hAnsi="宋体" w:eastAsia="仿宋_GB2312" w:cs="宋体"/>
          <w:sz w:val="30"/>
          <w:szCs w:val="30"/>
        </w:rPr>
        <w:t>坚持以开放创新赋魂、以科技创新赋能、以制度创新赋权，积极承接皖江城市带和长三角产业转移，不断提升开发区创新驱动力和产业竞争力。加快产业集聚和创新发展，修编开发区发展规划，紧密衔接国土空间规划，积极争取开发区扩区。实施“一区多园”模式，将东流产业园、滨湖园区纳入东至经开区管理，将胜利产业园、张溪电商产业园纳入大渡口经开区管理，经营收入分别达到</w:t>
      </w:r>
      <w:r>
        <w:rPr>
          <w:rFonts w:ascii="仿宋_GB2312" w:hAnsi="宋体" w:eastAsia="仿宋_GB2312" w:cs="宋体"/>
          <w:sz w:val="30"/>
          <w:szCs w:val="30"/>
        </w:rPr>
        <w:t>500</w:t>
      </w:r>
      <w:r>
        <w:rPr>
          <w:rFonts w:hint="eastAsia" w:ascii="仿宋_GB2312" w:hAnsi="宋体" w:eastAsia="仿宋_GB2312" w:cs="宋体"/>
          <w:sz w:val="30"/>
          <w:szCs w:val="30"/>
        </w:rPr>
        <w:t>亿元、</w:t>
      </w:r>
      <w:r>
        <w:rPr>
          <w:rFonts w:ascii="仿宋_GB2312" w:hAnsi="宋体" w:eastAsia="仿宋_GB2312" w:cs="宋体"/>
          <w:sz w:val="30"/>
          <w:szCs w:val="30"/>
        </w:rPr>
        <w:t>300</w:t>
      </w:r>
      <w:r>
        <w:rPr>
          <w:rFonts w:hint="eastAsia" w:ascii="仿宋_GB2312" w:hAnsi="宋体" w:eastAsia="仿宋_GB2312" w:cs="宋体"/>
          <w:sz w:val="30"/>
          <w:szCs w:val="30"/>
        </w:rPr>
        <w:t>亿元。实施公共创新平台覆盖工程，每个开发区至少创建</w:t>
      </w:r>
      <w:r>
        <w:rPr>
          <w:rFonts w:ascii="仿宋_GB2312" w:hAnsi="宋体" w:eastAsia="仿宋_GB2312" w:cs="宋体"/>
          <w:sz w:val="30"/>
          <w:szCs w:val="30"/>
        </w:rPr>
        <w:t>1</w:t>
      </w:r>
      <w:r>
        <w:rPr>
          <w:rFonts w:hint="eastAsia" w:ascii="仿宋_GB2312" w:hAnsi="宋体" w:eastAsia="仿宋_GB2312" w:cs="宋体"/>
          <w:sz w:val="30"/>
          <w:szCs w:val="30"/>
        </w:rPr>
        <w:t>个省级及以上的公共创新平台。加快产城联动和融合发展，推进开发区与城区基础设施衔接互通，推进东至经开区与香隅镇区产城联动，推动大渡口镇区融合发展。实施开发区基础设施提质增效行动，提升开发区承载能力，布局新型基础设施，实现智慧园区建设全覆盖。加快开发区绿色发展和集约发展，守住安全环保底线，推进园区循环化改造，建设绿色园区。创新开发区体制机制，推行开发区人事和薪酬制度改革，推行“</w:t>
      </w:r>
      <w:r>
        <w:rPr>
          <w:rFonts w:ascii="仿宋_GB2312" w:hAnsi="宋体" w:eastAsia="仿宋_GB2312" w:cs="宋体"/>
          <w:sz w:val="30"/>
          <w:szCs w:val="30"/>
        </w:rPr>
        <w:t>2</w:t>
      </w:r>
      <w:r>
        <w:rPr>
          <w:rFonts w:hint="eastAsia" w:ascii="仿宋_GB2312" w:hAnsi="宋体" w:eastAsia="仿宋_GB2312" w:cs="宋体"/>
          <w:sz w:val="30"/>
          <w:szCs w:val="30"/>
        </w:rPr>
        <w:t>号章”管理，推广“管委会</w:t>
      </w:r>
      <w:r>
        <w:rPr>
          <w:rFonts w:ascii="仿宋_GB2312" w:hAnsi="宋体" w:eastAsia="仿宋_GB2312" w:cs="宋体"/>
          <w:sz w:val="30"/>
          <w:szCs w:val="30"/>
        </w:rPr>
        <w:t>+</w:t>
      </w:r>
      <w:r>
        <w:rPr>
          <w:rFonts w:hint="eastAsia" w:ascii="仿宋_GB2312" w:hAnsi="宋体" w:eastAsia="仿宋_GB2312" w:cs="宋体"/>
          <w:sz w:val="30"/>
          <w:szCs w:val="30"/>
        </w:rPr>
        <w:t>公司”模式。全面推行“标准地”改革，实施差别化土地供应政策，支持金融机构在开发区设立分支机构，推进开发区融资担保体系和产业基金建设。完善开发区综合考核评价体系，建立“双考核”机制，强化考核结果运用。建立开发区高质量发展调度机制。</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培强主导优势产业。</w:t>
      </w:r>
      <w:r>
        <w:rPr>
          <w:rFonts w:hint="eastAsia" w:ascii="仿宋_GB2312" w:hAnsi="宋体" w:eastAsia="仿宋_GB2312" w:cs="宋体"/>
          <w:sz w:val="30"/>
          <w:szCs w:val="30"/>
        </w:rPr>
        <w:t>实施主导产业集群培育工程，将现代化工产业作为首位产业。东至经开区重点承接布局化学制药、生物医药和化工新材料产业，打造医药产业基地，实现经营收入不少于</w:t>
      </w:r>
      <w:r>
        <w:rPr>
          <w:rFonts w:ascii="仿宋_GB2312" w:hAnsi="宋体" w:eastAsia="仿宋_GB2312" w:cs="宋体"/>
          <w:sz w:val="30"/>
          <w:szCs w:val="30"/>
        </w:rPr>
        <w:t>300</w:t>
      </w:r>
      <w:r>
        <w:rPr>
          <w:rFonts w:hint="eastAsia" w:ascii="仿宋_GB2312" w:hAnsi="宋体" w:eastAsia="仿宋_GB2312" w:cs="宋体"/>
          <w:sz w:val="30"/>
          <w:szCs w:val="30"/>
        </w:rPr>
        <w:t>亿元、税收收入不少于</w:t>
      </w:r>
      <w:r>
        <w:rPr>
          <w:rFonts w:ascii="仿宋_GB2312" w:hAnsi="宋体" w:eastAsia="仿宋_GB2312" w:cs="宋体"/>
          <w:sz w:val="30"/>
          <w:szCs w:val="30"/>
        </w:rPr>
        <w:t>14</w:t>
      </w:r>
      <w:r>
        <w:rPr>
          <w:rFonts w:hint="eastAsia" w:ascii="仿宋_GB2312" w:hAnsi="宋体" w:eastAsia="仿宋_GB2312" w:cs="宋体"/>
          <w:sz w:val="30"/>
          <w:szCs w:val="30"/>
        </w:rPr>
        <w:t>亿元。大渡口经开区（石台经开区）重点承接布局绿色有机农产品加工、装备制造、现代服务业，实现经营收入不少于</w:t>
      </w:r>
      <w:r>
        <w:rPr>
          <w:rFonts w:ascii="仿宋_GB2312" w:hAnsi="宋体" w:eastAsia="仿宋_GB2312" w:cs="宋体"/>
          <w:sz w:val="30"/>
          <w:szCs w:val="30"/>
        </w:rPr>
        <w:t>150</w:t>
      </w:r>
      <w:r>
        <w:rPr>
          <w:rFonts w:hint="eastAsia" w:ascii="仿宋_GB2312" w:hAnsi="宋体" w:eastAsia="仿宋_GB2312" w:cs="宋体"/>
          <w:sz w:val="30"/>
          <w:szCs w:val="30"/>
        </w:rPr>
        <w:t>亿元、税收收入不少于</w:t>
      </w:r>
      <w:r>
        <w:rPr>
          <w:rFonts w:ascii="仿宋_GB2312" w:hAnsi="宋体" w:eastAsia="仿宋_GB2312" w:cs="宋体"/>
          <w:sz w:val="30"/>
          <w:szCs w:val="30"/>
        </w:rPr>
        <w:t>7</w:t>
      </w:r>
      <w:r>
        <w:rPr>
          <w:rFonts w:hint="eastAsia" w:ascii="仿宋_GB2312" w:hAnsi="宋体" w:eastAsia="仿宋_GB2312" w:cs="宋体"/>
          <w:sz w:val="30"/>
          <w:szCs w:val="30"/>
        </w:rPr>
        <w:t>亿元。用好大渡口经开区公用型保税仓库，着力打造辐射皖赣的沿江港口保税物流园。</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推进深度合作共建。</w:t>
      </w:r>
      <w:r>
        <w:rPr>
          <w:rFonts w:hint="eastAsia" w:ascii="仿宋_GB2312" w:hAnsi="宋体" w:eastAsia="仿宋_GB2312" w:cs="宋体"/>
          <w:sz w:val="30"/>
          <w:szCs w:val="30"/>
        </w:rPr>
        <w:t>加强园区道路、污水、供水、供电公共服务等设施建设和园区生态环境打造，加速园区货运物流体系建设，创新多元化投资体系机制，推动科研支撑、商务支撑、教育培训、管理服务等软性产业配套设施方面的优化提升，增强产业集聚吸引力和经济发展动能，推动园区向自主创新和要素集聚转变。做好园区之间产业配套、融合发展，积极对接</w:t>
      </w:r>
      <w:r>
        <w:rPr>
          <w:rFonts w:ascii="仿宋_GB2312" w:hAnsi="宋体" w:eastAsia="仿宋_GB2312" w:cs="宋体"/>
          <w:sz w:val="30"/>
          <w:szCs w:val="30"/>
        </w:rPr>
        <w:t>G60</w:t>
      </w:r>
      <w:r>
        <w:rPr>
          <w:rFonts w:hint="eastAsia" w:ascii="仿宋_GB2312" w:hAnsi="宋体" w:eastAsia="仿宋_GB2312" w:cs="宋体"/>
          <w:sz w:val="30"/>
          <w:szCs w:val="30"/>
        </w:rPr>
        <w:t>科创走廊、</w:t>
      </w:r>
      <w:r>
        <w:rPr>
          <w:rFonts w:ascii="仿宋_GB2312" w:hAnsi="宋体" w:eastAsia="仿宋_GB2312" w:cs="宋体"/>
          <w:sz w:val="30"/>
          <w:szCs w:val="30"/>
        </w:rPr>
        <w:t>G50</w:t>
      </w:r>
      <w:r>
        <w:rPr>
          <w:rFonts w:hint="eastAsia" w:ascii="仿宋_GB2312" w:hAnsi="宋体" w:eastAsia="仿宋_GB2312" w:cs="宋体"/>
          <w:sz w:val="30"/>
          <w:szCs w:val="30"/>
        </w:rPr>
        <w:t>绿色发展走廊等高能级平台，积极推进与长三角区域发达园区和周边市县开发区合作交流，鼓励和引导“飞地经济”合作新模式，争取与沪苏浙经济技术开发区共建产业合作园区，引导化学原料药和现代医药、新材料、高端装备制造、绿色食品加工等产业向开发区转移，打造具有区域影响力和竞争力的科技成果产业化示范园区。</w:t>
      </w:r>
    </w:p>
    <w:p>
      <w:pPr>
        <w:pStyle w:val="4"/>
        <w:spacing w:beforeLines="80" w:afterLines="80" w:line="570" w:lineRule="exact"/>
        <w:jc w:val="center"/>
        <w:rPr>
          <w:rFonts w:ascii="黑体" w:hAnsi="楷体" w:cs="楷体"/>
          <w:sz w:val="30"/>
          <w:szCs w:val="30"/>
        </w:rPr>
      </w:pPr>
      <w:bookmarkStart w:id="40" w:name="_Toc7279"/>
      <w:bookmarkStart w:id="41" w:name="_Toc58430110"/>
      <w:r>
        <w:rPr>
          <w:rFonts w:hint="eastAsia" w:ascii="黑体" w:hAnsi="楷体" w:cs="楷体"/>
          <w:sz w:val="30"/>
          <w:szCs w:val="30"/>
        </w:rPr>
        <w:t>第四章提质增效现代服务业</w:t>
      </w:r>
      <w:bookmarkEnd w:id="40"/>
      <w:bookmarkEnd w:id="41"/>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加快发展生产性服务业。</w:t>
      </w:r>
      <w:r>
        <w:rPr>
          <w:rFonts w:hint="eastAsia" w:ascii="仿宋_GB2312" w:hAnsi="宋体" w:eastAsia="仿宋_GB2312" w:cs="宋体"/>
          <w:sz w:val="30"/>
          <w:szCs w:val="30"/>
        </w:rPr>
        <w:t>推动生产性服务业向专业化和价值链高端延伸，加快推进服务业数字化。加快发展金融服务、科技服务、研发设计、现代物流、商务咨询、电子商务、法律服务等服务业，推进服务业标准化、品牌化建设，提升服务业集聚水平，鼓励开发区有实力的工业企业发展生产性服务业。持续推进城乡客运一体化及交邮融合发展，依托省际区位优势，承接江西、池州和安庆商贸物流功能，完善连接皖南地区商贸物流服务网络，升级项目汇聚，聚力发展生产性服务业，推动智能化快递中心、智能化快运中心、供应链中心、大数据支持中心建设，发挥资源、交通优势完善现代物流产业，壮大商贸流通业。深化电子商务示范推动，提升现代金融业发展水平，推进信息技术服务业加快发展。实现生产性服务业向专业化和价值链高端提升。</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提档升级生活性服务业。</w:t>
      </w:r>
      <w:r>
        <w:rPr>
          <w:rFonts w:hint="eastAsia" w:ascii="仿宋_GB2312" w:hAnsi="宋体" w:eastAsia="仿宋_GB2312" w:cs="宋体"/>
          <w:sz w:val="30"/>
          <w:szCs w:val="30"/>
        </w:rPr>
        <w:t>全力推动生活性服务业向精细化和高品质升级，重点发展文化旅游、健康养老、体育休闲等产业，加快发展健康、养老育幼、文化、旅游、体育、家政、物业等服务业，加强公益性、基础性服务业供给，推动舜城新区、大渡口经开区创建省级现代服务业集聚区，推动县城主城区服务业提档升级。以升金湖、九天仙寓等自然生态资源为依托，倾力打造全域文化旅游发展核心区，推进大旅游产业发展。</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重点发展大健康产业。</w:t>
      </w:r>
      <w:r>
        <w:rPr>
          <w:rFonts w:hint="eastAsia" w:ascii="仿宋_GB2312" w:hAnsi="宋体" w:eastAsia="仿宋_GB2312" w:cs="宋体"/>
          <w:sz w:val="30"/>
          <w:szCs w:val="30"/>
        </w:rPr>
        <w:t>打造长三角重要休闲康养地，推进与长三角区域在健康养老服务、医疗卫生等方面的合作，建设一批“度假式养老”基地，大力发展“健康养老</w:t>
      </w:r>
      <w:r>
        <w:rPr>
          <w:rFonts w:ascii="仿宋_GB2312" w:hAnsi="宋体" w:eastAsia="仿宋_GB2312" w:cs="宋体"/>
          <w:sz w:val="30"/>
          <w:szCs w:val="30"/>
        </w:rPr>
        <w:t>+</w:t>
      </w:r>
      <w:r>
        <w:rPr>
          <w:rFonts w:hint="eastAsia" w:ascii="仿宋_GB2312" w:hAnsi="宋体" w:eastAsia="仿宋_GB2312" w:cs="宋体"/>
          <w:sz w:val="30"/>
          <w:szCs w:val="30"/>
        </w:rPr>
        <w:t>”产业、复合型健康养老产业。加大培育孵化大健康企业力度，进一步完善上下游产业链，全力打造大健康产业聚集区。着力完善康养服务设施，加快推进高端康养项目建设，优化康养服务和产品供给，加大对农村地区康养服务设施的投入，补齐农村康养产业发展短板。大力加强品牌建设，在休闲养生、保健用品、保健食品、有机绿色食品、无公害农产品项目发展上加大政府扶持力度，努力打造一批竞争力强的自主品牌。针对企业在大健康方面的项目建设、产品研发、产品认证给予政策倾斜，鼓励企业创建“名、特、优、新”品牌。</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培育发展特色服务业。</w:t>
      </w:r>
      <w:r>
        <w:rPr>
          <w:rFonts w:hint="eastAsia" w:ascii="仿宋_GB2312" w:hAnsi="宋体" w:eastAsia="仿宋_GB2312" w:cs="宋体"/>
          <w:sz w:val="30"/>
          <w:szCs w:val="30"/>
        </w:rPr>
        <w:t>以云计算、大数据、</w:t>
      </w:r>
      <w:r>
        <w:rPr>
          <w:rFonts w:ascii="仿宋_GB2312" w:hAnsi="宋体" w:eastAsia="仿宋_GB2312" w:cs="宋体"/>
          <w:sz w:val="30"/>
          <w:szCs w:val="30"/>
        </w:rPr>
        <w:t>5G</w:t>
      </w:r>
      <w:r>
        <w:rPr>
          <w:rFonts w:hint="eastAsia" w:ascii="仿宋_GB2312" w:hAnsi="宋体" w:eastAsia="仿宋_GB2312" w:cs="宋体"/>
          <w:sz w:val="30"/>
          <w:szCs w:val="30"/>
        </w:rPr>
        <w:t>物联网等网络信息技术支撑，积极培育科技服务、检验检测、人力资源服务等特色服务业，培育发展“旅游</w:t>
      </w:r>
      <w:r>
        <w:rPr>
          <w:rFonts w:ascii="仿宋_GB2312" w:hAnsi="宋体" w:eastAsia="仿宋_GB2312" w:cs="宋体"/>
          <w:sz w:val="30"/>
          <w:szCs w:val="30"/>
        </w:rPr>
        <w:t>+</w:t>
      </w:r>
      <w:r>
        <w:rPr>
          <w:rFonts w:hint="eastAsia" w:ascii="仿宋_GB2312" w:hAnsi="宋体" w:eastAsia="仿宋_GB2312" w:cs="宋体"/>
          <w:sz w:val="30"/>
          <w:szCs w:val="30"/>
        </w:rPr>
        <w:t>”“智慧</w:t>
      </w:r>
      <w:r>
        <w:rPr>
          <w:rFonts w:ascii="仿宋_GB2312" w:hAnsi="宋体" w:eastAsia="仿宋_GB2312" w:cs="宋体"/>
          <w:sz w:val="30"/>
          <w:szCs w:val="30"/>
        </w:rPr>
        <w:t>+</w:t>
      </w:r>
      <w:r>
        <w:rPr>
          <w:rFonts w:hint="eastAsia" w:ascii="仿宋_GB2312" w:hAnsi="宋体" w:eastAsia="仿宋_GB2312" w:cs="宋体"/>
          <w:sz w:val="30"/>
          <w:szCs w:val="30"/>
        </w:rPr>
        <w:t>”“互联网</w:t>
      </w:r>
      <w:r>
        <w:rPr>
          <w:rFonts w:ascii="仿宋_GB2312" w:hAnsi="宋体" w:eastAsia="仿宋_GB2312" w:cs="宋体"/>
          <w:sz w:val="30"/>
          <w:szCs w:val="30"/>
        </w:rPr>
        <w:t>+</w:t>
      </w:r>
      <w:r>
        <w:rPr>
          <w:rFonts w:hint="eastAsia" w:ascii="仿宋_GB2312" w:hAnsi="宋体" w:eastAsia="仿宋_GB2312" w:cs="宋体"/>
          <w:sz w:val="30"/>
          <w:szCs w:val="30"/>
        </w:rPr>
        <w:t>”等服务业新技术新模式新业态。到</w:t>
      </w:r>
      <w:r>
        <w:rPr>
          <w:rFonts w:ascii="仿宋_GB2312" w:hAnsi="宋体" w:eastAsia="仿宋_GB2312" w:cs="宋体"/>
          <w:sz w:val="30"/>
          <w:szCs w:val="30"/>
        </w:rPr>
        <w:t>2025</w:t>
      </w:r>
      <w:r>
        <w:rPr>
          <w:rFonts w:hint="eastAsia" w:ascii="仿宋_GB2312" w:hAnsi="宋体" w:eastAsia="仿宋_GB2312" w:cs="宋体"/>
          <w:sz w:val="30"/>
          <w:szCs w:val="30"/>
        </w:rPr>
        <w:t>年，力争形成一批具有鲜明地方特色的优势服务产业。</w:t>
      </w:r>
    </w:p>
    <w:p>
      <w:pPr>
        <w:pStyle w:val="2"/>
        <w:ind w:left="0" w:leftChars="0"/>
        <w:jc w:val="center"/>
        <w:rPr>
          <w:rFonts w:ascii="黑体" w:eastAsia="黑体"/>
        </w:rPr>
      </w:pPr>
      <w:r>
        <w:rPr>
          <w:rFonts w:hint="eastAsia" w:ascii="黑体" w:hAnsi="??" w:eastAsia="黑体"/>
          <w:bCs/>
          <w:kern w:val="0"/>
          <w:sz w:val="28"/>
          <w:szCs w:val="28"/>
        </w:rPr>
        <w:t>专栏</w:t>
      </w:r>
      <w:r>
        <w:rPr>
          <w:rFonts w:ascii="黑体" w:hAnsi="??" w:eastAsia="黑体"/>
          <w:bCs/>
          <w:kern w:val="0"/>
          <w:sz w:val="28"/>
          <w:szCs w:val="28"/>
        </w:rPr>
        <w:t xml:space="preserve">5  </w:t>
      </w:r>
      <w:r>
        <w:rPr>
          <w:rFonts w:hint="eastAsia" w:ascii="黑体" w:hAnsi="黑体" w:eastAsia="黑体" w:cs="黑体"/>
          <w:bCs/>
          <w:kern w:val="0"/>
          <w:sz w:val="28"/>
          <w:szCs w:val="28"/>
        </w:rPr>
        <w:t>现代服务业项目</w:t>
      </w:r>
    </w:p>
    <w:tbl>
      <w:tblPr>
        <w:tblStyle w:val="1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8" w:type="dxa"/>
          </w:tcPr>
          <w:p>
            <w:pPr>
              <w:spacing w:line="530" w:lineRule="exact"/>
              <w:ind w:firstLine="551" w:firstLineChars="196"/>
              <w:rPr>
                <w:rFonts w:ascii="仿宋_GB2312" w:hAnsi="仿宋" w:eastAsia="仿宋_GB2312" w:cs="仿宋"/>
                <w:sz w:val="28"/>
                <w:szCs w:val="28"/>
              </w:rPr>
            </w:pPr>
            <w:r>
              <w:rPr>
                <w:rFonts w:hint="eastAsia" w:ascii="楷体_GB2312" w:hAnsi="华文楷体" w:eastAsia="楷体_GB2312" w:cs="华文楷体"/>
                <w:b/>
                <w:bCs/>
                <w:sz w:val="28"/>
                <w:szCs w:val="28"/>
              </w:rPr>
              <w:t>生产性服务业：</w:t>
            </w:r>
            <w:r>
              <w:rPr>
                <w:rFonts w:hint="eastAsia" w:ascii="仿宋_GB2312" w:hAnsi="仿宋" w:eastAsia="仿宋_GB2312" w:cs="仿宋"/>
                <w:sz w:val="28"/>
                <w:szCs w:val="28"/>
              </w:rPr>
              <w:t>香隅镇综合大市场、东至</w:t>
            </w:r>
            <w:r>
              <w:rPr>
                <w:rFonts w:ascii="仿宋_GB2312" w:hAnsi="仿宋" w:eastAsia="仿宋_GB2312" w:cs="仿宋"/>
                <w:sz w:val="28"/>
                <w:szCs w:val="28"/>
              </w:rPr>
              <w:t>LNG</w:t>
            </w:r>
            <w:r>
              <w:rPr>
                <w:rFonts w:hint="eastAsia" w:ascii="仿宋_GB2312" w:hAnsi="仿宋" w:eastAsia="仿宋_GB2312" w:cs="仿宋"/>
                <w:sz w:val="28"/>
                <w:szCs w:val="28"/>
              </w:rPr>
              <w:t>铁路物流园、东至经开区危险化学品专用停车场、东至经开区化工综合物流园、泰通码头改扩建、韵达安徽（东至）快递电商总部基地、大渡口经开区物流园、大渡口经开区港口物流、东至县商务综合体、县城南物流园、尧渡村兴仓储、龙工厂跨境电商产业园、永丰粮食储备库、张溪镇电商产业园、农产品一级批发市场冷链配送物流园、洋湖镇物流仓储、东至县生猪养殖肉制品加工冷链物流、官港天域山货原生体验基地、东至食用菌加工储藏中心、</w:t>
            </w:r>
            <w:r>
              <w:rPr>
                <w:rFonts w:hint="eastAsia" w:ascii="仿宋_GB2312" w:hAnsi="仿宋" w:eastAsia="仿宋_GB2312" w:cs="仿宋"/>
                <w:bCs/>
                <w:sz w:val="28"/>
                <w:szCs w:val="28"/>
              </w:rPr>
              <w:t>东园粮油优质稻米精深加工、香之园粮食储备库</w:t>
            </w:r>
            <w:r>
              <w:rPr>
                <w:rFonts w:hint="eastAsia" w:ascii="仿宋_GB2312" w:hAnsi="仿宋" w:eastAsia="仿宋_GB2312" w:cs="仿宋"/>
                <w:sz w:val="28"/>
                <w:szCs w:val="28"/>
              </w:rPr>
              <w:t>等项目。</w:t>
            </w:r>
          </w:p>
          <w:p>
            <w:pPr>
              <w:spacing w:line="530" w:lineRule="exact"/>
              <w:ind w:firstLine="562" w:firstLineChars="200"/>
              <w:rPr>
                <w:rFonts w:ascii="仿宋_GB2312" w:hAnsi="仿宋" w:eastAsia="仿宋_GB2312" w:cs="仿宋"/>
                <w:spacing w:val="-2"/>
                <w:sz w:val="28"/>
                <w:szCs w:val="28"/>
              </w:rPr>
            </w:pPr>
            <w:r>
              <w:rPr>
                <w:rFonts w:hint="eastAsia" w:ascii="楷体_GB2312" w:hAnsi="华文楷体" w:eastAsia="楷体_GB2312" w:cs="华文楷体"/>
                <w:b/>
                <w:bCs/>
                <w:sz w:val="28"/>
                <w:szCs w:val="28"/>
              </w:rPr>
              <w:t>生活性服务业：</w:t>
            </w:r>
            <w:r>
              <w:rPr>
                <w:rFonts w:hint="eastAsia" w:ascii="仿宋_GB2312" w:hAnsi="仿宋" w:eastAsia="仿宋_GB2312" w:cs="仿宋"/>
                <w:spacing w:val="-2"/>
                <w:sz w:val="28"/>
                <w:szCs w:val="28"/>
              </w:rPr>
              <w:t>舜城新区酒店、东至自驾游旅游风景道、三条岭生态旅游开发、周氏家风文化园、云峰谷休闲农业旅游、东坑峡谷生态旅游开发、尧渡桃溪旅游综合体、珠海大</w:t>
            </w:r>
            <w:r>
              <w:rPr>
                <w:rFonts w:hint="eastAsia" w:ascii="仿宋_GB2312" w:hAnsi="仿宋" w:eastAsia="仿宋" w:cs="仿宋"/>
                <w:spacing w:val="-2"/>
                <w:sz w:val="28"/>
                <w:szCs w:val="28"/>
              </w:rPr>
              <w:t>杧</w:t>
            </w:r>
            <w:r>
              <w:rPr>
                <w:rFonts w:hint="eastAsia" w:ascii="仿宋_GB2312" w:hAnsi="仿宋" w:eastAsia="仿宋_GB2312" w:cs="仿宋"/>
                <w:spacing w:val="-2"/>
                <w:sz w:val="28"/>
                <w:szCs w:val="28"/>
              </w:rPr>
              <w:t>岛高山养生谷、香口温泉养马度假村、西海温泉休闲村、九天仙寓景区提升、嘉世控股全域旅游、小七里湖文旅综合开发、皖西南精品彩叶花卉培育及旅游观光休闲养老等项目。</w:t>
            </w:r>
          </w:p>
          <w:p>
            <w:pPr>
              <w:spacing w:line="530" w:lineRule="exact"/>
              <w:ind w:firstLine="562" w:firstLineChars="200"/>
              <w:rPr>
                <w:rFonts w:ascii="仿宋" w:hAnsi="仿宋" w:eastAsia="仿宋" w:cs="黑体"/>
                <w:b/>
                <w:kern w:val="0"/>
                <w:sz w:val="28"/>
                <w:szCs w:val="28"/>
              </w:rPr>
            </w:pPr>
            <w:r>
              <w:rPr>
                <w:rFonts w:hint="eastAsia" w:ascii="楷体_GB2312" w:hAnsi="华文楷体" w:eastAsia="楷体_GB2312" w:cs="华文楷体"/>
                <w:b/>
                <w:bCs/>
                <w:sz w:val="28"/>
                <w:szCs w:val="28"/>
              </w:rPr>
              <w:t>公共服务：</w:t>
            </w:r>
            <w:r>
              <w:rPr>
                <w:rFonts w:hint="eastAsia" w:ascii="仿宋_GB2312" w:hAnsi="仿宋" w:eastAsia="仿宋_GB2312" w:cs="仿宋"/>
                <w:sz w:val="28"/>
                <w:szCs w:val="28"/>
              </w:rPr>
              <w:t>东至县创建历史文化名城、升金湖湿地保护生态科考、气象天文生态科普园、县科技馆建设、华龙洞国家遗址考古公园、赤头生态修复（农民文创园）二期、天台山森林公园暨康养基地建设、东至经开区生态环境第三方治理、东至救灾物资储备库、安庆监管救助基地及溢油设备库建设、至德颐养院扩建、安东颐和嘉园康养中心、湖光村旅居养老、三条岭文旅康养小镇、历山景区扩建、高山革命老区红色旅游、风电场便道生态修复综合利用、东流文旅小镇、木塔红旅小镇、黎痕旅游景区开发、龙泉樱花小镇、皖赣山货小镇等项目。</w:t>
            </w:r>
          </w:p>
        </w:tc>
      </w:tr>
    </w:tbl>
    <w:p>
      <w:pPr>
        <w:pStyle w:val="4"/>
        <w:spacing w:beforeLines="80" w:afterLines="80" w:line="570" w:lineRule="exact"/>
        <w:jc w:val="center"/>
        <w:rPr>
          <w:rFonts w:ascii="黑体" w:hAnsi="楷体" w:cs="楷体"/>
          <w:sz w:val="30"/>
          <w:szCs w:val="30"/>
        </w:rPr>
      </w:pPr>
      <w:bookmarkStart w:id="42" w:name="_Toc23325"/>
      <w:bookmarkStart w:id="43" w:name="_Toc58430111"/>
      <w:bookmarkStart w:id="44" w:name="_Toc25168"/>
      <w:bookmarkStart w:id="45" w:name="_Toc54004366"/>
      <w:bookmarkStart w:id="46" w:name="_Toc20346"/>
      <w:r>
        <w:rPr>
          <w:rFonts w:hint="eastAsia" w:ascii="黑体" w:hAnsi="楷体" w:cs="楷体"/>
          <w:sz w:val="30"/>
          <w:szCs w:val="30"/>
        </w:rPr>
        <w:t>第五章加快发展数字</w:t>
      </w:r>
      <w:bookmarkEnd w:id="42"/>
      <w:bookmarkEnd w:id="43"/>
      <w:r>
        <w:rPr>
          <w:rFonts w:hint="eastAsia" w:ascii="黑体" w:hAnsi="楷体" w:cs="楷体"/>
          <w:sz w:val="30"/>
          <w:szCs w:val="30"/>
        </w:rPr>
        <w:t>经济</w:t>
      </w:r>
      <w:bookmarkEnd w:id="44"/>
    </w:p>
    <w:p>
      <w:pPr>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sz w:val="30"/>
          <w:szCs w:val="30"/>
        </w:rPr>
        <w:t>加快产业数字化融合。</w:t>
      </w:r>
      <w:r>
        <w:rPr>
          <w:rFonts w:hint="eastAsia" w:ascii="仿宋_GB2312" w:hAnsi="楷体" w:eastAsia="仿宋_GB2312" w:cs="楷体"/>
          <w:bCs/>
          <w:sz w:val="30"/>
          <w:szCs w:val="30"/>
        </w:rPr>
        <w:t>深入推进“上云用数赋智”行动，</w:t>
      </w:r>
      <w:r>
        <w:rPr>
          <w:rFonts w:hint="eastAsia" w:ascii="仿宋_GB2312" w:hAnsi="宋体" w:eastAsia="仿宋_GB2312" w:cs="宋体"/>
          <w:sz w:val="30"/>
          <w:szCs w:val="30"/>
        </w:rPr>
        <w:t>推动大数据、云计算、人工智能、区块链等新技术与实体经济深度融合。加快智能工厂和数字车间建设，推动企业参与</w:t>
      </w:r>
      <w:r>
        <w:rPr>
          <w:rFonts w:hint="eastAsia" w:ascii="仿宋_GB2312" w:hAnsi="??_GB2312" w:eastAsia="仿宋_GB2312" w:cs="??_GB2312"/>
          <w:sz w:val="30"/>
          <w:szCs w:val="30"/>
        </w:rPr>
        <w:t>“</w:t>
      </w:r>
      <w:r>
        <w:rPr>
          <w:rFonts w:hint="eastAsia" w:ascii="仿宋_GB2312" w:hAnsi="宋体" w:eastAsia="仿宋_GB2312" w:cs="宋体"/>
          <w:sz w:val="30"/>
          <w:szCs w:val="30"/>
        </w:rPr>
        <w:t>皖企登云</w:t>
      </w:r>
      <w:r>
        <w:rPr>
          <w:rFonts w:hint="eastAsia" w:ascii="仿宋_GB2312" w:hAnsi="??_GB2312" w:eastAsia="仿宋_GB2312" w:cs="??_GB2312"/>
          <w:sz w:val="30"/>
          <w:szCs w:val="30"/>
        </w:rPr>
        <w:t>”</w:t>
      </w:r>
      <w:r>
        <w:rPr>
          <w:rFonts w:hint="eastAsia" w:ascii="仿宋_GB2312" w:hAnsi="宋体" w:eastAsia="仿宋_GB2312" w:cs="宋体"/>
          <w:sz w:val="30"/>
          <w:szCs w:val="30"/>
        </w:rPr>
        <w:t>提质扩面行动，推动现代化工、钙产业与绿色食品等产业领域数字化进程。鼓励行业龙头企业建设面向产业链协同研发、制造、物流、供应链管理等方面的行业级工业互联网平台。推进智慧文旅、智慧康养等领域产品和服务升级，加快农产品电子商务发展。深入实施</w:t>
      </w:r>
      <w:r>
        <w:rPr>
          <w:rFonts w:hint="eastAsia" w:ascii="仿宋_GB2312" w:hAnsi="??_GB2312" w:eastAsia="仿宋_GB2312" w:cs="??_GB2312"/>
          <w:sz w:val="30"/>
          <w:szCs w:val="30"/>
        </w:rPr>
        <w:t>“</w:t>
      </w:r>
      <w:r>
        <w:rPr>
          <w:rFonts w:hint="eastAsia" w:ascii="仿宋_GB2312" w:hAnsi="宋体" w:eastAsia="仿宋_GB2312" w:cs="宋体"/>
          <w:sz w:val="30"/>
          <w:szCs w:val="30"/>
        </w:rPr>
        <w:t>互联网</w:t>
      </w:r>
      <w:r>
        <w:rPr>
          <w:rFonts w:ascii="仿宋_GB2312" w:hAnsi="??_GB2312" w:eastAsia="仿宋_GB2312" w:cs="??_GB2312"/>
          <w:sz w:val="30"/>
          <w:szCs w:val="30"/>
        </w:rPr>
        <w:t>+</w:t>
      </w:r>
      <w:r>
        <w:rPr>
          <w:rFonts w:hint="eastAsia" w:ascii="仿宋_GB2312" w:hAnsi="??_GB2312" w:eastAsia="仿宋_GB2312" w:cs="??_GB2312"/>
          <w:sz w:val="30"/>
          <w:szCs w:val="30"/>
        </w:rPr>
        <w:t>”</w:t>
      </w:r>
      <w:r>
        <w:rPr>
          <w:rFonts w:hint="eastAsia" w:ascii="仿宋_GB2312" w:hAnsi="宋体" w:eastAsia="仿宋_GB2312" w:cs="宋体"/>
          <w:sz w:val="30"/>
          <w:szCs w:val="30"/>
        </w:rPr>
        <w:t>行动计划，发展数字经济，培育一批</w:t>
      </w:r>
      <w:r>
        <w:rPr>
          <w:rFonts w:hint="eastAsia" w:ascii="仿宋_GB2312" w:hAnsi="??_GB2312" w:eastAsia="仿宋_GB2312" w:cs="??_GB2312"/>
          <w:sz w:val="30"/>
          <w:szCs w:val="30"/>
        </w:rPr>
        <w:t>“</w:t>
      </w:r>
      <w:r>
        <w:rPr>
          <w:rFonts w:hint="eastAsia" w:ascii="仿宋_GB2312" w:hAnsi="宋体" w:eastAsia="仿宋_GB2312" w:cs="宋体"/>
          <w:sz w:val="30"/>
          <w:szCs w:val="30"/>
        </w:rPr>
        <w:t>线上经济</w:t>
      </w:r>
      <w:r>
        <w:rPr>
          <w:rFonts w:hint="eastAsia" w:ascii="仿宋_GB2312" w:hAnsi="??_GB2312" w:eastAsia="仿宋_GB2312" w:cs="??_GB2312"/>
          <w:sz w:val="30"/>
          <w:szCs w:val="30"/>
        </w:rPr>
        <w:t>”</w:t>
      </w:r>
      <w:r>
        <w:rPr>
          <w:rFonts w:hint="eastAsia" w:ascii="仿宋_GB2312" w:hAnsi="宋体" w:eastAsia="仿宋_GB2312" w:cs="宋体"/>
          <w:sz w:val="30"/>
          <w:szCs w:val="30"/>
        </w:rPr>
        <w:t>创新型企业。</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提升数字产业化实力。</w:t>
      </w:r>
      <w:r>
        <w:rPr>
          <w:rFonts w:hint="eastAsia" w:ascii="仿宋_GB2312" w:hAnsi="宋体" w:eastAsia="仿宋_GB2312" w:cs="宋体"/>
          <w:sz w:val="30"/>
          <w:szCs w:val="30"/>
        </w:rPr>
        <w:t>聚力发展医疗、交通等领域大数据产业，推动建设医疗、交通等领域行业大数据库，加强智能制造、教育、文旅、康养、医疗、交通、社会治理等领域智慧城市应用场景开发。推进</w:t>
      </w:r>
      <w:r>
        <w:rPr>
          <w:rFonts w:ascii="仿宋_GB2312" w:hAnsi="宋体" w:eastAsia="仿宋_GB2312" w:cs="宋体"/>
          <w:sz w:val="30"/>
          <w:szCs w:val="30"/>
        </w:rPr>
        <w:t>5G</w:t>
      </w:r>
      <w:r>
        <w:rPr>
          <w:rFonts w:hint="eastAsia" w:ascii="仿宋_GB2312" w:hAnsi="宋体" w:eastAsia="仿宋_GB2312" w:cs="宋体"/>
          <w:sz w:val="30"/>
          <w:szCs w:val="30"/>
        </w:rPr>
        <w:t>产业布局，鼓励通信运营商与企业协作，加快</w:t>
      </w:r>
      <w:r>
        <w:rPr>
          <w:rFonts w:ascii="仿宋_GB2312" w:hAnsi="宋体" w:eastAsia="仿宋_GB2312" w:cs="宋体"/>
          <w:sz w:val="30"/>
          <w:szCs w:val="30"/>
        </w:rPr>
        <w:t>5G</w:t>
      </w:r>
      <w:r>
        <w:rPr>
          <w:rFonts w:hint="eastAsia" w:ascii="仿宋_GB2312" w:hAnsi="宋体" w:eastAsia="仿宋_GB2312" w:cs="宋体"/>
          <w:sz w:val="30"/>
          <w:szCs w:val="30"/>
        </w:rPr>
        <w:t>技术在智慧城市、数字政府、智能制造、医疗康养等领域应用。持续提升移动物联网建设应用，加强信息化平台建设，积极对接数字长三角发展，建立公共信息资源开放共享机制，促进数据资源高效有序流动和深度开发利用，实施智慧城管、智慧医疗建设项目。到</w:t>
      </w:r>
      <w:r>
        <w:rPr>
          <w:rFonts w:ascii="仿宋_GB2312" w:hAnsi="宋体" w:eastAsia="仿宋_GB2312" w:cs="宋体"/>
          <w:sz w:val="30"/>
          <w:szCs w:val="30"/>
        </w:rPr>
        <w:t>2025</w:t>
      </w:r>
      <w:r>
        <w:rPr>
          <w:rFonts w:hint="eastAsia" w:ascii="仿宋_GB2312" w:hAnsi="宋体" w:eastAsia="仿宋_GB2312" w:cs="宋体"/>
          <w:sz w:val="30"/>
          <w:szCs w:val="30"/>
        </w:rPr>
        <w:t>年，实现全县</w:t>
      </w:r>
      <w:r>
        <w:rPr>
          <w:rFonts w:ascii="仿宋_GB2312" w:hAnsi="宋体" w:eastAsia="仿宋_GB2312" w:cs="宋体"/>
          <w:sz w:val="30"/>
          <w:szCs w:val="30"/>
        </w:rPr>
        <w:t>5G</w:t>
      </w:r>
      <w:r>
        <w:rPr>
          <w:rFonts w:hint="eastAsia" w:ascii="仿宋_GB2312" w:hAnsi="宋体" w:eastAsia="仿宋_GB2312" w:cs="宋体"/>
          <w:sz w:val="30"/>
          <w:szCs w:val="30"/>
        </w:rPr>
        <w:t>网络大规模覆盖。</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完善数字基础设施建设。</w:t>
      </w:r>
      <w:r>
        <w:rPr>
          <w:rFonts w:hint="eastAsia" w:ascii="仿宋_GB2312" w:hAnsi="宋体" w:eastAsia="仿宋_GB2312" w:cs="宋体"/>
          <w:sz w:val="30"/>
          <w:szCs w:val="30"/>
        </w:rPr>
        <w:t>加强城市基础设施智能化改造升级，推进交通、道路、地下管线、水务、电力、社会治安等重点领域城市物联感知体系建设。积极推动建设具备“感知、连接、计算”能力的新一代信息基础设施，打造扎实完善的数字支撑体系，营造融合创新的数字经济生态。打造城市大脑，加快数字政府建设，加快推进东至县大数据中心、云计算中心和智慧城市运营中心建设，促进数据资源共享开放，大力推动产业数字化、数字产业化、城市数字化，搭建数字化的开放合作桥梁。强化全县信息化项目管理，促进各部门数据及业务应用融合汇聚、集中共享、互联互通。</w:t>
      </w:r>
    </w:p>
    <w:p>
      <w:pPr>
        <w:pStyle w:val="2"/>
        <w:ind w:left="0" w:leftChars="0"/>
        <w:jc w:val="center"/>
        <w:rPr>
          <w:rFonts w:ascii="黑体" w:eastAsia="黑体"/>
        </w:rPr>
      </w:pPr>
      <w:r>
        <w:rPr>
          <w:rFonts w:hint="eastAsia" w:ascii="黑体" w:hAnsi="??" w:eastAsia="黑体"/>
          <w:bCs/>
          <w:kern w:val="0"/>
          <w:sz w:val="28"/>
          <w:szCs w:val="28"/>
        </w:rPr>
        <w:t>专栏</w:t>
      </w:r>
      <w:r>
        <w:rPr>
          <w:rFonts w:ascii="黑体" w:hAnsi="??" w:eastAsia="黑体"/>
          <w:bCs/>
          <w:kern w:val="0"/>
          <w:sz w:val="28"/>
          <w:szCs w:val="28"/>
        </w:rPr>
        <w:t xml:space="preserve">6  </w:t>
      </w:r>
      <w:r>
        <w:rPr>
          <w:rFonts w:hint="eastAsia" w:ascii="黑体" w:hAnsi="黑体" w:eastAsia="黑体" w:cs="黑体"/>
          <w:bCs/>
          <w:kern w:val="0"/>
          <w:sz w:val="28"/>
          <w:szCs w:val="28"/>
        </w:rPr>
        <w:t>数字基础设施建设重点项目</w:t>
      </w:r>
    </w:p>
    <w:tbl>
      <w:tblPr>
        <w:tblStyle w:val="1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8" w:type="dxa"/>
          </w:tcPr>
          <w:p>
            <w:pPr>
              <w:spacing w:line="530" w:lineRule="exact"/>
              <w:ind w:firstLine="560" w:firstLineChars="200"/>
              <w:rPr>
                <w:rFonts w:ascii="仿宋_GB2312" w:hAnsi="仿宋" w:eastAsia="仿宋_GB2312" w:cs="黑体"/>
                <w:sz w:val="28"/>
                <w:szCs w:val="28"/>
              </w:rPr>
            </w:pPr>
            <w:r>
              <w:rPr>
                <w:rFonts w:ascii="仿宋_GB2312" w:hAnsi="仿宋" w:eastAsia="仿宋_GB2312" w:cs="仿宋"/>
                <w:sz w:val="28"/>
                <w:szCs w:val="28"/>
              </w:rPr>
              <w:t>5G</w:t>
            </w:r>
            <w:r>
              <w:rPr>
                <w:rFonts w:hint="eastAsia" w:ascii="仿宋_GB2312" w:hAnsi="仿宋" w:eastAsia="仿宋_GB2312" w:cs="仿宋"/>
                <w:sz w:val="28"/>
                <w:szCs w:val="28"/>
              </w:rPr>
              <w:t>网络建设、智慧东至、东至县云数据中心、东至县政务超市、东至县综合数据信息灾备中心、县城智慧停车建设及运营、县城新能源汽车智能充电桩建设、城市防洪信息化管理、城市桥梁检测监测系统、城市智慧管网、东至县应急指挥中心、人防地面指挥中心信息化、基层人防办公室应急指挥平台、多媒体警报系统、东至县“智慧林业”、东至县林业碳汇交易市场、皖南苗木花卉盆景交易市场等项目。</w:t>
            </w:r>
          </w:p>
        </w:tc>
      </w:tr>
    </w:tbl>
    <w:p>
      <w:pPr>
        <w:pStyle w:val="3"/>
        <w:spacing w:before="220" w:after="100" w:line="530" w:lineRule="exact"/>
        <w:jc w:val="center"/>
        <w:rPr>
          <w:rFonts w:ascii="华文楷体" w:hAnsi="华文楷体" w:eastAsia="华文楷体" w:cs="华文楷体"/>
          <w:sz w:val="36"/>
          <w:szCs w:val="36"/>
        </w:rPr>
      </w:pPr>
      <w:bookmarkStart w:id="47" w:name="_Toc5936"/>
      <w:bookmarkStart w:id="48" w:name="_Toc58430113"/>
    </w:p>
    <w:p>
      <w:pPr>
        <w:pStyle w:val="3"/>
        <w:spacing w:before="0" w:after="0" w:line="600" w:lineRule="exact"/>
        <w:jc w:val="center"/>
        <w:rPr>
          <w:rFonts w:ascii="方正小标宋简体" w:hAnsi="华文楷体" w:eastAsia="方正小标宋简体" w:cs="华文楷体"/>
          <w:sz w:val="36"/>
          <w:szCs w:val="36"/>
        </w:rPr>
      </w:pPr>
      <w:r>
        <w:rPr>
          <w:rFonts w:ascii="华文楷体" w:hAnsi="华文楷体" w:eastAsia="华文楷体" w:cs="华文楷体"/>
          <w:sz w:val="36"/>
          <w:szCs w:val="36"/>
        </w:rPr>
        <w:br w:type="page"/>
      </w:r>
      <w:r>
        <w:rPr>
          <w:rFonts w:hint="eastAsia" w:ascii="方正小标宋简体" w:hAnsi="华文楷体" w:eastAsia="方正小标宋简体" w:cs="华文楷体"/>
          <w:sz w:val="36"/>
          <w:szCs w:val="36"/>
        </w:rPr>
        <w:t>第四篇提升科技创新能力，培育跨越发展新动能</w:t>
      </w:r>
      <w:bookmarkEnd w:id="47"/>
      <w:bookmarkEnd w:id="48"/>
    </w:p>
    <w:p>
      <w:pPr>
        <w:spacing w:line="600" w:lineRule="exact"/>
        <w:ind w:firstLine="640" w:firstLineChars="200"/>
        <w:rPr>
          <w:rFonts w:ascii="??_GB2312" w:hAnsi="宋体" w:eastAsia="Times New Roman" w:cs="宋体"/>
          <w:sz w:val="32"/>
          <w:szCs w:val="32"/>
        </w:rPr>
      </w:pPr>
    </w:p>
    <w:p>
      <w:pPr>
        <w:spacing w:line="570" w:lineRule="exact"/>
        <w:ind w:firstLine="560" w:firstLineChars="200"/>
        <w:rPr>
          <w:rFonts w:ascii="仿宋_GB2312" w:hAnsi="宋体" w:eastAsia="仿宋_GB2312" w:cs="宋体"/>
          <w:sz w:val="28"/>
          <w:szCs w:val="28"/>
        </w:rPr>
      </w:pPr>
      <w:r>
        <w:rPr>
          <w:rFonts w:hint="eastAsia" w:ascii="仿宋_GB2312" w:hAnsi="宋体" w:eastAsia="仿宋_GB2312" w:cs="宋体"/>
          <w:sz w:val="28"/>
          <w:szCs w:val="28"/>
        </w:rPr>
        <w:t>坚持创新驱动发展战略，把创新作为引领发展的第一动力，坚持完善多领域多技术多主体协同创新的体制机制，制定科技强县行动纲要，推进“科创</w:t>
      </w:r>
      <w:r>
        <w:rPr>
          <w:rFonts w:ascii="仿宋_GB2312" w:hAnsi="宋体" w:eastAsia="仿宋_GB2312" w:cs="宋体"/>
          <w:sz w:val="28"/>
          <w:szCs w:val="28"/>
        </w:rPr>
        <w:t>+</w:t>
      </w:r>
      <w:r>
        <w:rPr>
          <w:rFonts w:hint="eastAsia" w:ascii="仿宋_GB2312" w:hAnsi="宋体" w:eastAsia="仿宋_GB2312" w:cs="宋体"/>
          <w:sz w:val="28"/>
          <w:szCs w:val="28"/>
        </w:rPr>
        <w:t>产业”深度融合，提高创新链整体效能，强化创新、创业、创投、创客“四创联动”，促进众创、众包、众扶、众筹“四众发展”，持续推动省级开发区管理体制改革创新，推进新旧动能转化，培育创新驱动新引擎。</w:t>
      </w:r>
    </w:p>
    <w:p>
      <w:pPr>
        <w:pStyle w:val="4"/>
        <w:spacing w:beforeLines="80" w:afterLines="80" w:line="570" w:lineRule="exact"/>
        <w:jc w:val="center"/>
        <w:rPr>
          <w:rFonts w:ascii="黑体" w:hAnsi="楷体" w:cs="楷体"/>
          <w:sz w:val="28"/>
          <w:szCs w:val="28"/>
        </w:rPr>
      </w:pPr>
      <w:bookmarkStart w:id="49" w:name="_Toc58430115"/>
      <w:bookmarkStart w:id="50" w:name="_Toc21484"/>
      <w:bookmarkStart w:id="51" w:name="_Toc54004359"/>
      <w:bookmarkStart w:id="52" w:name="_Toc30586"/>
      <w:r>
        <w:rPr>
          <w:rFonts w:hint="eastAsia" w:ascii="黑体" w:hAnsi="楷体" w:cs="楷体"/>
          <w:sz w:val="28"/>
          <w:szCs w:val="28"/>
        </w:rPr>
        <w:t>第一章打造</w:t>
      </w:r>
      <w:bookmarkEnd w:id="49"/>
      <w:bookmarkEnd w:id="50"/>
      <w:bookmarkEnd w:id="51"/>
      <w:r>
        <w:rPr>
          <w:rFonts w:hint="eastAsia" w:ascii="黑体" w:hAnsi="楷体" w:cs="楷体"/>
          <w:sz w:val="28"/>
          <w:szCs w:val="28"/>
        </w:rPr>
        <w:t>协同创新重要平台</w:t>
      </w:r>
      <w:bookmarkEnd w:id="52"/>
    </w:p>
    <w:p>
      <w:pPr>
        <w:shd w:val="clear" w:color="auto" w:fill="FFFFFF"/>
        <w:spacing w:line="570" w:lineRule="exact"/>
        <w:ind w:firstLine="562" w:firstLineChars="200"/>
        <w:rPr>
          <w:rFonts w:ascii="仿宋_GB2312" w:hAnsi="宋体" w:eastAsia="仿宋_GB2312" w:cs="宋体"/>
          <w:sz w:val="28"/>
          <w:szCs w:val="28"/>
        </w:rPr>
      </w:pPr>
      <w:r>
        <w:rPr>
          <w:rFonts w:hint="eastAsia" w:ascii="楷体_GB2312" w:hAnsi="楷体" w:eastAsia="楷体_GB2312" w:cs="楷体"/>
          <w:b/>
          <w:sz w:val="28"/>
          <w:szCs w:val="28"/>
        </w:rPr>
        <w:t>围绕产业链部署创新链。</w:t>
      </w:r>
      <w:r>
        <w:rPr>
          <w:rFonts w:hint="eastAsia" w:ascii="仿宋_GB2312" w:hAnsi="宋体" w:eastAsia="仿宋_GB2312" w:cs="宋体"/>
          <w:sz w:val="28"/>
          <w:szCs w:val="28"/>
        </w:rPr>
        <w:t>整合产业链上下游创新资源，支持科技型企业与南京大学、南京财经大学等院校合作，加快推进小分子靶向药物研究院、食品研究院、国家有机毒物污染控制与资源化工程技术研究中心分中心等重大项目建设，争创一批技术创新中心、工程设计中心、博士后工作站等各类产业公共研发平台。支持行业龙头骨干企业与大院大所合作，争创一批企业技术中心、制造业创新中心等重大产业创新平台。加强对各类创新平台资金支持与政策支持，建设多层次多样化的创新体系。</w:t>
      </w:r>
    </w:p>
    <w:p>
      <w:pPr>
        <w:shd w:val="clear" w:color="auto" w:fill="FFFFFF"/>
        <w:spacing w:line="570" w:lineRule="exact"/>
        <w:ind w:firstLine="551" w:firstLineChars="196"/>
        <w:rPr>
          <w:rFonts w:ascii="??_GB2312" w:hAnsi="宋体" w:eastAsia="Times New Roman" w:cs="宋体"/>
          <w:sz w:val="28"/>
          <w:szCs w:val="28"/>
        </w:rPr>
      </w:pPr>
      <w:r>
        <w:rPr>
          <w:rFonts w:hint="eastAsia" w:ascii="楷体_GB2312" w:hAnsi="楷体" w:eastAsia="楷体_GB2312" w:cs="楷体"/>
          <w:b/>
          <w:sz w:val="28"/>
          <w:szCs w:val="28"/>
        </w:rPr>
        <w:t>实施产业链关键技术重大专项行动。</w:t>
      </w:r>
      <w:r>
        <w:rPr>
          <w:rFonts w:hint="eastAsia" w:ascii="仿宋_GB2312" w:hAnsi="宋体" w:eastAsia="仿宋_GB2312" w:cs="宋体"/>
          <w:sz w:val="28"/>
          <w:szCs w:val="28"/>
        </w:rPr>
        <w:t>加强“硬科技”联合攻关，瞄准国际国内产业技术高端环节和关键节点，鼓励创新型领军企业积极承担实施国家、省科技计划项目，重点突破“卡脖子”等关键技术。紧扣战新产业培育发展和传统产业改造提升，依托现代化工、绿色食品与钙产业等特色产业，争取申报一批省、市级科技重大专项，掌握一批关键核心技术，开发一批高新技术产品，提升产业核心竞争力。到</w:t>
      </w:r>
      <w:r>
        <w:rPr>
          <w:rFonts w:ascii="仿宋_GB2312" w:hAnsi="宋体" w:eastAsia="仿宋_GB2312" w:cs="宋体"/>
          <w:sz w:val="28"/>
          <w:szCs w:val="28"/>
        </w:rPr>
        <w:t>2025</w:t>
      </w:r>
      <w:r>
        <w:rPr>
          <w:rFonts w:hint="eastAsia" w:ascii="仿宋_GB2312" w:hAnsi="宋体" w:eastAsia="仿宋_GB2312" w:cs="宋体"/>
          <w:sz w:val="28"/>
          <w:szCs w:val="28"/>
        </w:rPr>
        <w:t>年，规模以上工业企业研发机构覆盖率达到</w:t>
      </w:r>
      <w:r>
        <w:rPr>
          <w:rFonts w:ascii="仿宋_GB2312" w:hAnsi="宋体" w:eastAsia="仿宋_GB2312" w:cs="宋体"/>
          <w:sz w:val="28"/>
          <w:szCs w:val="28"/>
        </w:rPr>
        <w:t>60%</w:t>
      </w:r>
      <w:r>
        <w:rPr>
          <w:rFonts w:hint="eastAsia" w:ascii="仿宋_GB2312" w:hAnsi="宋体" w:eastAsia="仿宋_GB2312" w:cs="宋体"/>
          <w:sz w:val="28"/>
          <w:szCs w:val="28"/>
        </w:rPr>
        <w:t>以上。</w:t>
      </w:r>
    </w:p>
    <w:p>
      <w:pPr>
        <w:pStyle w:val="4"/>
        <w:spacing w:beforeLines="80" w:afterLines="80" w:line="570" w:lineRule="exact"/>
        <w:jc w:val="center"/>
        <w:rPr>
          <w:rFonts w:ascii="黑体" w:hAnsi="楷体" w:cs="楷体"/>
          <w:sz w:val="28"/>
          <w:szCs w:val="28"/>
        </w:rPr>
      </w:pPr>
      <w:bookmarkStart w:id="53" w:name="_Toc242"/>
      <w:bookmarkStart w:id="54" w:name="_Toc54004358"/>
      <w:bookmarkStart w:id="55" w:name="_Toc25228"/>
      <w:bookmarkStart w:id="56" w:name="_Toc58430114"/>
      <w:r>
        <w:rPr>
          <w:rFonts w:hint="eastAsia" w:ascii="黑体" w:hAnsi="楷体" w:cs="楷体"/>
          <w:sz w:val="28"/>
          <w:szCs w:val="28"/>
        </w:rPr>
        <w:t>第二章强化企业创新主体地位</w:t>
      </w:r>
      <w:bookmarkEnd w:id="53"/>
      <w:bookmarkEnd w:id="54"/>
      <w:bookmarkEnd w:id="55"/>
      <w:bookmarkEnd w:id="56"/>
    </w:p>
    <w:p>
      <w:pPr>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培育创新型领军企业。</w:t>
      </w:r>
      <w:r>
        <w:rPr>
          <w:rFonts w:hint="eastAsia" w:ascii="仿宋_GB2312" w:hAnsi="宋体" w:eastAsia="仿宋_GB2312" w:cs="宋体"/>
          <w:sz w:val="28"/>
          <w:szCs w:val="28"/>
        </w:rPr>
        <w:t>大力弘扬企业家精神，实施国家高新技术企业三年倍增行动，加大对高新技术企业培育力度。依托国企、央企及民企等龙头企业，壮大培育创新型领军企业。实施龙头企业和专精特新企业培育工程，力争打造若干个百亿级的旗舰型企业、一批</w:t>
      </w:r>
      <w:r>
        <w:rPr>
          <w:rFonts w:ascii="仿宋_GB2312" w:hAnsi="宋体" w:eastAsia="仿宋_GB2312" w:cs="宋体"/>
          <w:sz w:val="28"/>
          <w:szCs w:val="28"/>
        </w:rPr>
        <w:t>10</w:t>
      </w:r>
      <w:r>
        <w:rPr>
          <w:rFonts w:hint="eastAsia" w:ascii="仿宋_GB2312" w:hAnsi="宋体" w:eastAsia="仿宋_GB2312" w:cs="宋体"/>
          <w:sz w:val="28"/>
          <w:szCs w:val="28"/>
        </w:rPr>
        <w:t>亿级的专精特新企业。依托高成长企业，培育一支拥有自主知识产权、创新能力强的“科技小巨人、瞪羚企业、独角兽企业、单打冠军和隐性冠军”企业队伍。力争到</w:t>
      </w:r>
      <w:r>
        <w:rPr>
          <w:rFonts w:ascii="仿宋_GB2312" w:hAnsi="宋体" w:eastAsia="仿宋_GB2312" w:cs="宋体"/>
          <w:sz w:val="28"/>
          <w:szCs w:val="28"/>
        </w:rPr>
        <w:t>2025</w:t>
      </w:r>
      <w:r>
        <w:rPr>
          <w:rFonts w:hint="eastAsia" w:ascii="仿宋_GB2312" w:hAnsi="宋体" w:eastAsia="仿宋_GB2312" w:cs="宋体"/>
          <w:sz w:val="28"/>
          <w:szCs w:val="28"/>
        </w:rPr>
        <w:t>年，高新技术企业数达到</w:t>
      </w:r>
      <w:r>
        <w:rPr>
          <w:rFonts w:ascii="仿宋_GB2312" w:hAnsi="宋体" w:eastAsia="仿宋_GB2312" w:cs="宋体"/>
          <w:sz w:val="28"/>
          <w:szCs w:val="28"/>
        </w:rPr>
        <w:t>40</w:t>
      </w:r>
      <w:r>
        <w:rPr>
          <w:rFonts w:hint="eastAsia" w:ascii="仿宋_GB2312" w:hAnsi="宋体" w:eastAsia="仿宋_GB2312" w:cs="宋体"/>
          <w:sz w:val="28"/>
          <w:szCs w:val="28"/>
        </w:rPr>
        <w:t>家，高新技术产业产值年均增长</w:t>
      </w:r>
      <w:r>
        <w:rPr>
          <w:rFonts w:ascii="仿宋_GB2312" w:hAnsi="宋体" w:eastAsia="仿宋_GB2312" w:cs="宋体"/>
          <w:sz w:val="28"/>
          <w:szCs w:val="28"/>
        </w:rPr>
        <w:t>8%</w:t>
      </w:r>
      <w:r>
        <w:rPr>
          <w:rFonts w:hint="eastAsia" w:ascii="仿宋_GB2312" w:hAnsi="宋体" w:eastAsia="仿宋_GB2312" w:cs="宋体"/>
          <w:sz w:val="28"/>
          <w:szCs w:val="28"/>
        </w:rPr>
        <w:t>。</w:t>
      </w:r>
    </w:p>
    <w:p>
      <w:pPr>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加大企业创新支持力度。</w:t>
      </w:r>
      <w:r>
        <w:rPr>
          <w:rFonts w:hint="eastAsia" w:ascii="仿宋_GB2312" w:hAnsi="宋体" w:eastAsia="仿宋_GB2312" w:cs="宋体"/>
          <w:sz w:val="28"/>
          <w:szCs w:val="28"/>
        </w:rPr>
        <w:t>促进各类创新要素向企业集聚，深入开展“三比一增”活动，支持企业开展组织创新、技术创新、管理创新和战略创新，推动有条件的企业开展关键核心技术科技攻关，支持企业牵头组建创新联合体。发挥大企业引领支撑作用，支持创新型中小微企业成长为创新重要发源地，构建以创新型企业为主要支撑的自主创新体系，加速小微和生产型企业创新成长。力争到</w:t>
      </w:r>
      <w:r>
        <w:rPr>
          <w:rFonts w:ascii="仿宋_GB2312" w:hAnsi="宋体" w:eastAsia="仿宋_GB2312" w:cs="宋体"/>
          <w:sz w:val="28"/>
          <w:szCs w:val="28"/>
        </w:rPr>
        <w:t>2025</w:t>
      </w:r>
      <w:r>
        <w:rPr>
          <w:rFonts w:hint="eastAsia" w:ascii="仿宋_GB2312" w:hAnsi="宋体" w:eastAsia="仿宋_GB2312" w:cs="宋体"/>
          <w:sz w:val="28"/>
          <w:szCs w:val="28"/>
        </w:rPr>
        <w:t>年，亿元以上战新产业企业均基本拥有自己的研发机构，实现发明专利申请和授权量年平均增长</w:t>
      </w:r>
      <w:r>
        <w:rPr>
          <w:rFonts w:ascii="仿宋_GB2312" w:hAnsi="宋体" w:eastAsia="仿宋_GB2312" w:cs="宋体"/>
          <w:sz w:val="28"/>
          <w:szCs w:val="28"/>
        </w:rPr>
        <w:t>10%</w:t>
      </w:r>
      <w:r>
        <w:rPr>
          <w:rFonts w:hint="eastAsia" w:ascii="仿宋_GB2312" w:hAnsi="宋体" w:eastAsia="仿宋_GB2312" w:cs="宋体"/>
          <w:sz w:val="28"/>
          <w:szCs w:val="28"/>
        </w:rPr>
        <w:t>以上。</w:t>
      </w:r>
    </w:p>
    <w:p>
      <w:pPr>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加强质量品牌建设。</w:t>
      </w:r>
      <w:r>
        <w:rPr>
          <w:rFonts w:hint="eastAsia" w:ascii="仿宋_GB2312" w:hAnsi="宋体" w:eastAsia="仿宋_GB2312" w:cs="宋体"/>
          <w:sz w:val="28"/>
          <w:szCs w:val="28"/>
        </w:rPr>
        <w:t>以培育“名企、品牌”为抓手，加大政府扶持力度，培育和遴选一批竞争力强的自主品牌企业。推动企业建立品牌管理体系，提高自主品牌影响力和美誉度，提高东至品牌市场占有率。持续开展县长质量奖评选活动，支持企业积极争创国家地理标志保护产品、驰名商标和国内国际品牌。力争到</w:t>
      </w:r>
      <w:r>
        <w:rPr>
          <w:rFonts w:ascii="仿宋_GB2312" w:hAnsi="宋体" w:eastAsia="仿宋_GB2312" w:cs="宋体"/>
          <w:sz w:val="28"/>
          <w:szCs w:val="28"/>
        </w:rPr>
        <w:t>2025</w:t>
      </w:r>
      <w:r>
        <w:rPr>
          <w:rFonts w:hint="eastAsia" w:ascii="仿宋_GB2312" w:hAnsi="宋体" w:eastAsia="仿宋_GB2312" w:cs="宋体"/>
          <w:sz w:val="28"/>
          <w:szCs w:val="28"/>
        </w:rPr>
        <w:t>年，新增中国驰名商标、省级以上品牌各</w:t>
      </w:r>
      <w:r>
        <w:rPr>
          <w:rFonts w:ascii="仿宋_GB2312" w:hAnsi="宋体" w:eastAsia="仿宋_GB2312" w:cs="宋体"/>
          <w:sz w:val="28"/>
          <w:szCs w:val="28"/>
        </w:rPr>
        <w:t>1</w:t>
      </w:r>
      <w:r>
        <w:rPr>
          <w:rFonts w:hint="eastAsia" w:ascii="仿宋_GB2312" w:hAnsi="宋体" w:eastAsia="仿宋_GB2312" w:cs="宋体"/>
          <w:sz w:val="28"/>
          <w:szCs w:val="28"/>
        </w:rPr>
        <w:t>个，国家地理标志保护产品</w:t>
      </w:r>
      <w:r>
        <w:rPr>
          <w:rFonts w:ascii="仿宋_GB2312" w:hAnsi="宋体" w:eastAsia="仿宋_GB2312" w:cs="宋体"/>
          <w:sz w:val="28"/>
          <w:szCs w:val="28"/>
        </w:rPr>
        <w:t>1</w:t>
      </w:r>
      <w:r>
        <w:rPr>
          <w:rFonts w:hint="eastAsia" w:ascii="仿宋_GB2312" w:hAnsi="宋体" w:eastAsia="仿宋_GB2312" w:cs="宋体"/>
          <w:sz w:val="28"/>
          <w:szCs w:val="28"/>
        </w:rPr>
        <w:t>个。</w:t>
      </w:r>
    </w:p>
    <w:p>
      <w:pPr>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加强企业知识产权保护。</w:t>
      </w:r>
      <w:r>
        <w:rPr>
          <w:rFonts w:hint="eastAsia" w:ascii="仿宋_GB2312" w:hAnsi="宋体" w:eastAsia="仿宋_GB2312" w:cs="宋体"/>
          <w:sz w:val="28"/>
          <w:szCs w:val="28"/>
        </w:rPr>
        <w:t>加强知识产权政策支持和市场监管，提升知识产权创造、运用、保护、管理和服务能力，营造公平公正、开放透明的知识产权法治环境和市场环境。强化对知识产权保护力度，深化对创新人才、创新成果的激励机制，形成完善的企业知识产权保护体系。</w:t>
      </w:r>
    </w:p>
    <w:p>
      <w:pPr>
        <w:pStyle w:val="4"/>
        <w:spacing w:beforeLines="80" w:afterLines="80" w:line="570" w:lineRule="exact"/>
        <w:jc w:val="center"/>
        <w:rPr>
          <w:rFonts w:ascii="黑体" w:hAnsi="楷体" w:cs="楷体"/>
          <w:sz w:val="28"/>
          <w:szCs w:val="28"/>
        </w:rPr>
      </w:pPr>
      <w:bookmarkStart w:id="57" w:name="_Toc22604"/>
      <w:bookmarkStart w:id="58" w:name="_Toc9077"/>
      <w:bookmarkStart w:id="59" w:name="_Toc58430116"/>
      <w:bookmarkStart w:id="60" w:name="_Toc54004360"/>
      <w:r>
        <w:rPr>
          <w:rFonts w:hint="eastAsia" w:ascii="黑体" w:hAnsi="楷体" w:cs="楷体"/>
          <w:sz w:val="28"/>
          <w:szCs w:val="28"/>
        </w:rPr>
        <w:t>第三章推进创新创业要素聚集</w:t>
      </w:r>
      <w:bookmarkEnd w:id="57"/>
      <w:bookmarkEnd w:id="58"/>
      <w:bookmarkEnd w:id="59"/>
      <w:bookmarkEnd w:id="60"/>
    </w:p>
    <w:p>
      <w:pPr>
        <w:shd w:val="clear" w:color="auto" w:fill="FFFFFF"/>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推进“双创”平台建设。</w:t>
      </w:r>
      <w:r>
        <w:rPr>
          <w:rFonts w:hint="eastAsia" w:ascii="仿宋_GB2312" w:hAnsi="宋体" w:eastAsia="仿宋_GB2312" w:cs="宋体"/>
          <w:sz w:val="28"/>
          <w:szCs w:val="28"/>
        </w:rPr>
        <w:t>建成东至科技馆。优化创新创业生态，完善创新创业服务体系，强化孵化器“筑巢、引凤、助凤腾飞”功能，强化“双创”氛围营造，积极组织参加开展各类创新创业赛事活动。加强新产业新业态培育，引导支持建设一批众创空间、科技企业孵化器，逐步形成“众创空间</w:t>
      </w:r>
      <w:r>
        <w:rPr>
          <w:rFonts w:ascii="仿宋_GB2312" w:hAnsi="宋体" w:eastAsia="仿宋_GB2312" w:cs="宋体"/>
          <w:sz w:val="28"/>
          <w:szCs w:val="28"/>
        </w:rPr>
        <w:t>+</w:t>
      </w:r>
      <w:r>
        <w:rPr>
          <w:rFonts w:hint="eastAsia" w:ascii="仿宋_GB2312" w:hAnsi="宋体" w:eastAsia="仿宋_GB2312" w:cs="宋体"/>
          <w:sz w:val="28"/>
          <w:szCs w:val="28"/>
        </w:rPr>
        <w:t>孵化器</w:t>
      </w:r>
      <w:r>
        <w:rPr>
          <w:rFonts w:ascii="仿宋_GB2312" w:hAnsi="宋体" w:eastAsia="仿宋_GB2312" w:cs="宋体"/>
          <w:sz w:val="28"/>
          <w:szCs w:val="28"/>
        </w:rPr>
        <w:t>+</w:t>
      </w:r>
      <w:r>
        <w:rPr>
          <w:rFonts w:hint="eastAsia" w:ascii="仿宋_GB2312" w:hAnsi="宋体" w:eastAsia="仿宋_GB2312" w:cs="宋体"/>
          <w:sz w:val="28"/>
          <w:szCs w:val="28"/>
        </w:rPr>
        <w:t>加速器</w:t>
      </w:r>
      <w:r>
        <w:rPr>
          <w:rFonts w:ascii="仿宋_GB2312" w:hAnsi="宋体" w:eastAsia="仿宋_GB2312" w:cs="宋体"/>
          <w:sz w:val="28"/>
          <w:szCs w:val="28"/>
        </w:rPr>
        <w:t>+</w:t>
      </w:r>
      <w:r>
        <w:rPr>
          <w:rFonts w:hint="eastAsia" w:ascii="仿宋_GB2312" w:hAnsi="宋体" w:eastAsia="仿宋_GB2312" w:cs="宋体"/>
          <w:sz w:val="28"/>
          <w:szCs w:val="28"/>
        </w:rPr>
        <w:t>园区”的全链条孵化体系，推动实体经济转型升级。力争到</w:t>
      </w:r>
      <w:r>
        <w:rPr>
          <w:rFonts w:ascii="仿宋_GB2312" w:hAnsi="宋体" w:eastAsia="仿宋_GB2312" w:cs="宋体"/>
          <w:sz w:val="28"/>
          <w:szCs w:val="28"/>
        </w:rPr>
        <w:t>2025</w:t>
      </w:r>
      <w:r>
        <w:rPr>
          <w:rFonts w:hint="eastAsia" w:ascii="仿宋_GB2312" w:hAnsi="宋体" w:eastAsia="仿宋_GB2312" w:cs="宋体"/>
          <w:sz w:val="28"/>
          <w:szCs w:val="28"/>
        </w:rPr>
        <w:t>年，新增众创空间、科技企业孵化器</w:t>
      </w:r>
      <w:r>
        <w:rPr>
          <w:rFonts w:ascii="仿宋_GB2312" w:hAnsi="宋体" w:eastAsia="仿宋_GB2312" w:cs="宋体"/>
          <w:sz w:val="28"/>
          <w:szCs w:val="28"/>
        </w:rPr>
        <w:t>2</w:t>
      </w:r>
      <w:r>
        <w:rPr>
          <w:rFonts w:hint="eastAsia" w:ascii="仿宋_GB2312" w:hAnsi="宋体" w:eastAsia="仿宋_GB2312" w:cs="宋体"/>
          <w:sz w:val="28"/>
          <w:szCs w:val="28"/>
        </w:rPr>
        <w:t>家以上。</w:t>
      </w:r>
    </w:p>
    <w:p>
      <w:pPr>
        <w:shd w:val="clear" w:color="auto" w:fill="FFFFFF"/>
        <w:spacing w:line="570" w:lineRule="exact"/>
        <w:ind w:firstLine="551" w:firstLineChars="196"/>
        <w:rPr>
          <w:rFonts w:ascii="仿宋_GB2312" w:hAnsi="宋体" w:eastAsia="仿宋_GB2312" w:cs="宋体"/>
          <w:sz w:val="28"/>
          <w:szCs w:val="28"/>
        </w:rPr>
      </w:pPr>
      <w:r>
        <w:rPr>
          <w:rFonts w:hint="eastAsia" w:ascii="楷体_GB2312" w:hAnsi="楷体" w:eastAsia="楷体_GB2312" w:cs="楷体"/>
          <w:b/>
          <w:sz w:val="28"/>
          <w:szCs w:val="28"/>
        </w:rPr>
        <w:t>推动科技成果转移转化。</w:t>
      </w:r>
      <w:r>
        <w:rPr>
          <w:rFonts w:hint="eastAsia" w:ascii="仿宋_GB2312" w:hAnsi="宋体" w:eastAsia="仿宋_GB2312" w:cs="宋体"/>
          <w:sz w:val="28"/>
          <w:szCs w:val="28"/>
        </w:rPr>
        <w:t>强化产学研协同创新，加快科研成果应用转化，推动更多核心技术突破和可持续迭代。构建科研成果技术熟化、产业孵化、企业对接、成果落地全链条转化机制，围绕全县主导产业，面向“长三角”大院大所，依托两个省级开发区及小分子靶向药物研究院、食品研究院、智慧城市研究院等，继续深化与高校院所合作，深入挖掘具有潜质的科研成果，构筑良好畅通的科技成果转化通道，推进产学研用精准对接，建立长期战略合作关系。力争到</w:t>
      </w:r>
      <w:r>
        <w:rPr>
          <w:rFonts w:ascii="仿宋_GB2312" w:hAnsi="宋体" w:eastAsia="仿宋_GB2312" w:cs="宋体"/>
          <w:sz w:val="28"/>
          <w:szCs w:val="28"/>
        </w:rPr>
        <w:t>2025</w:t>
      </w:r>
      <w:r>
        <w:rPr>
          <w:rFonts w:hint="eastAsia" w:ascii="仿宋_GB2312" w:hAnsi="宋体" w:eastAsia="仿宋_GB2312" w:cs="宋体"/>
          <w:sz w:val="28"/>
          <w:szCs w:val="28"/>
        </w:rPr>
        <w:t>年，创建省级科技成果转移转化示范基地</w:t>
      </w:r>
      <w:r>
        <w:rPr>
          <w:rFonts w:ascii="仿宋_GB2312" w:hAnsi="宋体" w:eastAsia="仿宋_GB2312" w:cs="宋体"/>
          <w:sz w:val="28"/>
          <w:szCs w:val="28"/>
        </w:rPr>
        <w:t>1</w:t>
      </w:r>
      <w:r>
        <w:rPr>
          <w:rFonts w:hint="eastAsia" w:ascii="仿宋_GB2312" w:hAnsi="宋体" w:eastAsia="仿宋_GB2312" w:cs="宋体"/>
          <w:sz w:val="28"/>
          <w:szCs w:val="28"/>
        </w:rPr>
        <w:t>个，技术合同交易额达到</w:t>
      </w:r>
      <w:r>
        <w:rPr>
          <w:rFonts w:ascii="仿宋_GB2312" w:hAnsi="宋体" w:eastAsia="仿宋_GB2312" w:cs="宋体"/>
          <w:sz w:val="28"/>
          <w:szCs w:val="28"/>
        </w:rPr>
        <w:t>3.5</w:t>
      </w:r>
      <w:r>
        <w:rPr>
          <w:rFonts w:hint="eastAsia" w:ascii="仿宋_GB2312" w:hAnsi="宋体" w:eastAsia="仿宋_GB2312" w:cs="宋体"/>
          <w:sz w:val="28"/>
          <w:szCs w:val="28"/>
        </w:rPr>
        <w:t>亿元，年均增长</w:t>
      </w:r>
      <w:r>
        <w:rPr>
          <w:rFonts w:ascii="仿宋_GB2312" w:hAnsi="宋体" w:eastAsia="仿宋_GB2312" w:cs="宋体"/>
          <w:sz w:val="28"/>
          <w:szCs w:val="28"/>
        </w:rPr>
        <w:t>26%</w:t>
      </w:r>
      <w:r>
        <w:rPr>
          <w:rFonts w:hint="eastAsia" w:ascii="仿宋_GB2312" w:hAnsi="宋体" w:eastAsia="仿宋_GB2312" w:cs="宋体"/>
          <w:sz w:val="28"/>
          <w:szCs w:val="28"/>
        </w:rPr>
        <w:t>以上。</w:t>
      </w:r>
    </w:p>
    <w:p>
      <w:pPr>
        <w:spacing w:line="570" w:lineRule="exact"/>
        <w:ind w:firstLine="562" w:firstLineChars="200"/>
        <w:rPr>
          <w:rFonts w:ascii="仿宋_GB2312" w:hAnsi="宋体" w:eastAsia="仿宋_GB2312" w:cs="宋体"/>
          <w:sz w:val="28"/>
          <w:szCs w:val="28"/>
        </w:rPr>
      </w:pPr>
      <w:r>
        <w:rPr>
          <w:rFonts w:hint="eastAsia" w:ascii="楷体_GB2312" w:hAnsi="楷体" w:eastAsia="楷体_GB2312" w:cs="楷体"/>
          <w:b/>
          <w:sz w:val="28"/>
          <w:szCs w:val="28"/>
        </w:rPr>
        <w:t>加大高层次科技人才招引。</w:t>
      </w:r>
      <w:r>
        <w:rPr>
          <w:rFonts w:hint="eastAsia" w:ascii="仿宋_GB2312" w:hAnsi="宋体" w:eastAsia="仿宋_GB2312" w:cs="宋体"/>
          <w:sz w:val="28"/>
          <w:szCs w:val="28"/>
        </w:rPr>
        <w:t>实施“</w:t>
      </w:r>
      <w:r>
        <w:rPr>
          <w:rFonts w:ascii="仿宋_GB2312" w:hAnsi="宋体" w:eastAsia="仿宋_GB2312" w:cs="宋体"/>
          <w:sz w:val="28"/>
          <w:szCs w:val="28"/>
        </w:rPr>
        <w:t>2025</w:t>
      </w:r>
      <w:r>
        <w:rPr>
          <w:rFonts w:hint="eastAsia" w:ascii="仿宋_GB2312" w:hAnsi="宋体" w:eastAsia="仿宋_GB2312" w:cs="宋体"/>
          <w:sz w:val="28"/>
          <w:szCs w:val="28"/>
        </w:rPr>
        <w:t>技术创新行动计划”，完善创新人才培养、引进、保留、使用、评价机制，引进一批带技术、带成果、带项目、带资金的高层次科技人才团队创新创业。健全我县产业创新团队政策，鼓励企业与高层次科技人才团队创办科技型企业。聚焦全县重点产业，紧盯前沿科技，深入实施新时代“东至英才计划”，围绕产业链、创新链打造人才链，制定柔性政策，汇聚创新人才，加强创新型、应用型、技能型人才培养，实施知识更新工程、技能提升行动，实施“一站式”人才服务体系。</w:t>
      </w:r>
    </w:p>
    <w:p>
      <w:pPr>
        <w:pStyle w:val="4"/>
        <w:spacing w:beforeLines="80" w:afterLines="80" w:line="570" w:lineRule="exact"/>
        <w:jc w:val="center"/>
        <w:rPr>
          <w:rFonts w:ascii="黑体" w:hAnsi="楷体" w:cs="楷体"/>
          <w:sz w:val="28"/>
          <w:szCs w:val="28"/>
        </w:rPr>
      </w:pPr>
      <w:bookmarkStart w:id="61" w:name="_Toc58430117"/>
      <w:bookmarkStart w:id="62" w:name="_Toc54004361"/>
      <w:bookmarkStart w:id="63" w:name="_Toc6199"/>
      <w:bookmarkStart w:id="64" w:name="_Toc10383"/>
      <w:r>
        <w:rPr>
          <w:rFonts w:hint="eastAsia" w:ascii="黑体" w:hAnsi="楷体" w:cs="楷体"/>
          <w:sz w:val="28"/>
          <w:szCs w:val="28"/>
        </w:rPr>
        <w:t>第四章完善</w:t>
      </w:r>
      <w:bookmarkEnd w:id="61"/>
      <w:bookmarkEnd w:id="62"/>
      <w:bookmarkEnd w:id="63"/>
      <w:r>
        <w:rPr>
          <w:rFonts w:hint="eastAsia" w:ascii="黑体" w:hAnsi="楷体" w:cs="楷体"/>
          <w:sz w:val="28"/>
          <w:szCs w:val="28"/>
        </w:rPr>
        <w:t>科技创新体制机制</w:t>
      </w:r>
      <w:bookmarkEnd w:id="64"/>
    </w:p>
    <w:p>
      <w:pPr>
        <w:shd w:val="clear" w:color="auto" w:fill="FFFFFF"/>
        <w:spacing w:line="570" w:lineRule="exact"/>
        <w:ind w:firstLine="562" w:firstLineChars="200"/>
        <w:rPr>
          <w:rFonts w:ascii="仿宋_GB2312" w:hAnsi="宋体" w:eastAsia="仿宋_GB2312" w:cs="宋体"/>
          <w:sz w:val="28"/>
          <w:szCs w:val="28"/>
        </w:rPr>
      </w:pPr>
      <w:r>
        <w:rPr>
          <w:rFonts w:hint="eastAsia" w:ascii="楷体_GB2312" w:hAnsi="楷体" w:eastAsia="楷体_GB2312" w:cs="楷体"/>
          <w:b/>
          <w:bCs/>
          <w:sz w:val="28"/>
          <w:szCs w:val="28"/>
        </w:rPr>
        <w:t>深化新一轮全面创新改革试验。</w:t>
      </w:r>
      <w:r>
        <w:rPr>
          <w:rFonts w:hint="eastAsia" w:ascii="仿宋_GB2312" w:hAnsi="宋体" w:eastAsia="仿宋_GB2312" w:cs="宋体"/>
          <w:sz w:val="28"/>
          <w:szCs w:val="28"/>
        </w:rPr>
        <w:t>完善创新驱动的体制机制，协调推进技术创新、管理创新、组织创新、商业模式创新等领域创新，推动重点领域项目、基地、人才、资金一体化配置，积极探索“市场出题、政府立题、企业担题、协同破题”的创新机制，出台推动优化创新资源、创新环境、创新服务的政策，改进科技项目组织管理方式，实行“揭榜挂帅”等制度，不断提高创新绩效，充分激发全社会创新活力。</w:t>
      </w:r>
    </w:p>
    <w:p>
      <w:pPr>
        <w:shd w:val="clear" w:color="auto" w:fill="FFFFFF"/>
        <w:spacing w:line="570" w:lineRule="exact"/>
        <w:ind w:firstLine="562" w:firstLineChars="200"/>
        <w:rPr>
          <w:rFonts w:ascii="仿宋_GB2312" w:hAnsi="宋体" w:eastAsia="仿宋_GB2312" w:cs="宋体"/>
          <w:sz w:val="28"/>
          <w:szCs w:val="28"/>
        </w:rPr>
      </w:pPr>
      <w:r>
        <w:rPr>
          <w:rFonts w:hint="eastAsia" w:ascii="楷体_GB2312" w:hAnsi="楷体" w:eastAsia="楷体_GB2312" w:cs="楷体"/>
          <w:b/>
          <w:bCs/>
          <w:sz w:val="28"/>
          <w:szCs w:val="28"/>
        </w:rPr>
        <w:t>着力增强开发区创新动能。</w:t>
      </w:r>
      <w:r>
        <w:rPr>
          <w:rFonts w:hint="eastAsia" w:ascii="仿宋_GB2312" w:hAnsi="宋体" w:eastAsia="仿宋_GB2312" w:cs="宋体"/>
          <w:sz w:val="28"/>
          <w:szCs w:val="28"/>
        </w:rPr>
        <w:t>坚持走“科创</w:t>
      </w:r>
      <w:r>
        <w:rPr>
          <w:rFonts w:ascii="仿宋_GB2312" w:hAnsi="宋体" w:eastAsia="仿宋_GB2312" w:cs="宋体"/>
          <w:sz w:val="28"/>
          <w:szCs w:val="28"/>
        </w:rPr>
        <w:t>+</w:t>
      </w:r>
      <w:r>
        <w:rPr>
          <w:rFonts w:hint="eastAsia" w:ascii="仿宋_GB2312" w:hAnsi="宋体" w:eastAsia="仿宋_GB2312" w:cs="宋体"/>
          <w:sz w:val="28"/>
          <w:szCs w:val="28"/>
        </w:rPr>
        <w:t>产业”道路，大力实施创新能力提升行动。充分发挥东至经开区和大渡口经开区创新平台作用，激发省级开发区创新动能。实施公共创新平台覆盖工程，每个开发区至少创建</w:t>
      </w:r>
      <w:r>
        <w:rPr>
          <w:rFonts w:ascii="仿宋_GB2312" w:hAnsi="宋体" w:eastAsia="仿宋_GB2312" w:cs="宋体"/>
          <w:sz w:val="28"/>
          <w:szCs w:val="28"/>
        </w:rPr>
        <w:t>1</w:t>
      </w:r>
      <w:r>
        <w:rPr>
          <w:rFonts w:hint="eastAsia" w:ascii="仿宋_GB2312" w:hAnsi="宋体" w:eastAsia="仿宋_GB2312" w:cs="宋体"/>
          <w:sz w:val="28"/>
          <w:szCs w:val="28"/>
        </w:rPr>
        <w:t>个省级及以上的公共创新平台。持续推进北卡药业小分子靶向药物研究院、国家有机毒物污染控制与资源化工程技术研究中心（东至分中心）、食品研究院和智慧城市研究院建设，加速融入</w:t>
      </w:r>
      <w:r>
        <w:rPr>
          <w:rFonts w:ascii="仿宋_GB2312" w:hAnsi="宋体" w:eastAsia="仿宋_GB2312" w:cs="宋体"/>
          <w:sz w:val="28"/>
          <w:szCs w:val="28"/>
        </w:rPr>
        <w:t>G60</w:t>
      </w:r>
      <w:r>
        <w:rPr>
          <w:rFonts w:hint="eastAsia" w:ascii="仿宋_GB2312" w:hAnsi="宋体" w:eastAsia="仿宋_GB2312" w:cs="宋体"/>
          <w:sz w:val="28"/>
          <w:szCs w:val="28"/>
        </w:rPr>
        <w:t>科创走廊建设。积极开展创新型乡镇建设，提升区域综合竞争力。</w:t>
      </w:r>
    </w:p>
    <w:p>
      <w:pPr>
        <w:shd w:val="clear" w:color="auto" w:fill="FFFFFF"/>
        <w:spacing w:line="570" w:lineRule="exact"/>
        <w:ind w:firstLine="562" w:firstLineChars="200"/>
        <w:rPr>
          <w:rFonts w:ascii="??_GB2312" w:hAnsi="宋体" w:eastAsia="Times New Roman" w:cs="宋体"/>
          <w:sz w:val="28"/>
          <w:szCs w:val="28"/>
        </w:rPr>
      </w:pPr>
      <w:r>
        <w:rPr>
          <w:rFonts w:hint="eastAsia" w:ascii="楷体_GB2312" w:hAnsi="楷体" w:eastAsia="楷体_GB2312" w:cs="楷体"/>
          <w:b/>
          <w:bCs/>
          <w:sz w:val="28"/>
          <w:szCs w:val="28"/>
        </w:rPr>
        <w:t>深入开展科技特派员工作。</w:t>
      </w:r>
      <w:r>
        <w:rPr>
          <w:rFonts w:hint="eastAsia" w:ascii="仿宋_GB2312" w:hAnsi="宋体" w:eastAsia="仿宋_GB2312" w:cs="宋体"/>
          <w:sz w:val="28"/>
          <w:szCs w:val="28"/>
        </w:rPr>
        <w:t>积极发挥省、市农业科技特派员工作站作用，保障已备案省级科技特派员工作站运行，适时启动省级农业科技园区建设，把园区建设成为一二三产融合发展、农业农村创新驱动发展的先行区和示范区。力争“十四五”期间创建科技特派员工作站</w:t>
      </w:r>
      <w:r>
        <w:rPr>
          <w:rFonts w:ascii="仿宋_GB2312" w:hAnsi="宋体" w:eastAsia="仿宋_GB2312" w:cs="宋体"/>
          <w:sz w:val="28"/>
          <w:szCs w:val="28"/>
        </w:rPr>
        <w:t>2</w:t>
      </w:r>
      <w:r>
        <w:rPr>
          <w:rFonts w:hint="eastAsia" w:ascii="仿宋_GB2312" w:hAnsi="宋体" w:eastAsia="仿宋_GB2312" w:cs="宋体"/>
          <w:sz w:val="28"/>
          <w:szCs w:val="28"/>
        </w:rPr>
        <w:t>家，省级农业科技园</w:t>
      </w:r>
      <w:r>
        <w:rPr>
          <w:rFonts w:ascii="仿宋_GB2312" w:hAnsi="宋体" w:eastAsia="仿宋_GB2312" w:cs="宋体"/>
          <w:sz w:val="28"/>
          <w:szCs w:val="28"/>
        </w:rPr>
        <w:t>1</w:t>
      </w:r>
      <w:r>
        <w:rPr>
          <w:rFonts w:hint="eastAsia" w:ascii="仿宋_GB2312" w:hAnsi="宋体" w:eastAsia="仿宋_GB2312" w:cs="宋体"/>
          <w:sz w:val="28"/>
          <w:szCs w:val="28"/>
        </w:rPr>
        <w:t>个。</w:t>
      </w:r>
    </w:p>
    <w:bookmarkEnd w:id="45"/>
    <w:bookmarkEnd w:id="46"/>
    <w:p>
      <w:pPr>
        <w:pStyle w:val="3"/>
        <w:spacing w:before="220" w:after="100" w:line="600" w:lineRule="exact"/>
        <w:jc w:val="center"/>
        <w:rPr>
          <w:rFonts w:ascii="方正小标宋简体" w:hAnsi="华文楷体" w:eastAsia="方正小标宋简体" w:cs="华文楷体"/>
          <w:sz w:val="36"/>
          <w:szCs w:val="36"/>
        </w:rPr>
      </w:pPr>
      <w:bookmarkStart w:id="65" w:name="_Toc24083"/>
      <w:bookmarkStart w:id="66" w:name="_Toc58430118"/>
      <w:bookmarkStart w:id="67" w:name="_Toc5933"/>
      <w:bookmarkStart w:id="68" w:name="_Toc10907"/>
      <w:r>
        <w:rPr>
          <w:rFonts w:ascii="华文楷体" w:hAnsi="华文楷体" w:eastAsia="华文楷体" w:cs="华文楷体"/>
          <w:sz w:val="36"/>
          <w:szCs w:val="36"/>
        </w:rPr>
        <w:br w:type="page"/>
      </w:r>
      <w:r>
        <w:rPr>
          <w:rFonts w:hint="eastAsia" w:ascii="方正小标宋简体" w:hAnsi="华文楷体" w:eastAsia="方正小标宋简体" w:cs="华文楷体"/>
          <w:spacing w:val="-6"/>
          <w:sz w:val="36"/>
          <w:szCs w:val="36"/>
        </w:rPr>
        <w:t>第五篇践行“绿水青山就是金山银山”理念，着力</w:t>
      </w:r>
      <w:r>
        <w:rPr>
          <w:rFonts w:hint="eastAsia" w:ascii="方正小标宋简体" w:hAnsi="华文楷体" w:eastAsia="方正小标宋简体" w:cs="华文楷体"/>
          <w:sz w:val="36"/>
          <w:szCs w:val="36"/>
        </w:rPr>
        <w:t>打造</w:t>
      </w:r>
      <w:bookmarkEnd w:id="65"/>
      <w:r>
        <w:rPr>
          <w:rFonts w:hint="eastAsia" w:ascii="方正小标宋简体" w:hAnsi="华文楷体" w:eastAsia="方正小标宋简体" w:cs="华文楷体"/>
          <w:sz w:val="36"/>
          <w:szCs w:val="36"/>
        </w:rPr>
        <w:t>绿色发展新高地</w:t>
      </w:r>
      <w:bookmarkEnd w:id="66"/>
      <w:bookmarkEnd w:id="67"/>
    </w:p>
    <w:p>
      <w:pPr>
        <w:widowControl/>
        <w:spacing w:line="600" w:lineRule="exact"/>
        <w:ind w:firstLine="640" w:firstLineChars="200"/>
        <w:rPr>
          <w:rFonts w:ascii="仿宋_GB2312" w:hAnsi="宋体" w:eastAsia="仿宋_GB2312" w:cs="宋体"/>
          <w:sz w:val="32"/>
          <w:szCs w:val="32"/>
        </w:rPr>
      </w:pPr>
      <w:bookmarkStart w:id="69" w:name="_Toc4417"/>
      <w:bookmarkStart w:id="70" w:name="_Toc26595"/>
      <w:bookmarkStart w:id="71" w:name="_Toc58430120"/>
      <w:bookmarkStart w:id="72" w:name="_Toc54004377"/>
      <w:bookmarkStart w:id="73" w:name="_Toc58430119"/>
      <w:bookmarkStart w:id="74" w:name="_Toc54004376"/>
      <w:bookmarkStart w:id="75" w:name="_Toc4058"/>
    </w:p>
    <w:p>
      <w:pPr>
        <w:widowControl/>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绿水青山就是金山银山理念，不断提升生态文明建设水平，统筹生产、生活、生态布局，大力发展绿色低碳循环经济，强化生态效益，全面推进实施生态环境综合治理工程，形成绿色化、低碳化、循环化生产生活方式，加快推进生态环境治理体系和治理能力现代化，建成国家生态文明示范县。</w:t>
      </w:r>
    </w:p>
    <w:p>
      <w:pPr>
        <w:pStyle w:val="4"/>
        <w:spacing w:beforeLines="80" w:afterLines="80" w:line="570" w:lineRule="exact"/>
        <w:jc w:val="center"/>
        <w:rPr>
          <w:rFonts w:ascii="黑体" w:hAnsi="楷体" w:cs="楷体"/>
          <w:sz w:val="30"/>
          <w:szCs w:val="30"/>
        </w:rPr>
      </w:pPr>
      <w:r>
        <w:rPr>
          <w:rFonts w:hint="eastAsia" w:ascii="黑体" w:hAnsi="楷体" w:cs="楷体"/>
          <w:sz w:val="30"/>
          <w:szCs w:val="30"/>
        </w:rPr>
        <w:t>第一章大力推动绿色低碳发展</w:t>
      </w:r>
      <w:bookmarkEnd w:id="69"/>
      <w:bookmarkEnd w:id="70"/>
      <w:bookmarkEnd w:id="71"/>
      <w:bookmarkEnd w:id="72"/>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培育绿色低碳新产业。</w:t>
      </w:r>
      <w:r>
        <w:rPr>
          <w:rFonts w:hint="eastAsia" w:ascii="仿宋_GB2312" w:hAnsi="宋体" w:eastAsia="仿宋_GB2312" w:cs="宋体"/>
          <w:kern w:val="2"/>
          <w:sz w:val="30"/>
          <w:szCs w:val="30"/>
        </w:rPr>
        <w:t>以绿色生态为导向，建立健全正向激励、反向约束的绿色发展新机制，基本形成三产融合、“三生”（生产生活生态）协调的绿色发展新格局。加快产业布局优化和结构调整，积极运用环保、水耗、能耗、安全、质量等标准，全面推进绿色制造，推广新能源技术应用，全面加强节能降耗，培育新能源企业，强化资源节约利用，积极倡导低碳生活，推广新能源技术应用。建立绿色发展体系，培育壮大节能环保、循环经济、清洁生产、清洁能源等绿色新产业新业态，大力培育高新技术、新型能源、商贸流通、生物医药、现代农业等高质高端的绿色低碳型新兴产业，因地制宜发展光伏发电，稳妥推进风力发电，加快通威黄泥湖光伏、东至红旗岭等风电场项目建设进度，建成</w:t>
      </w:r>
      <w:r>
        <w:rPr>
          <w:rFonts w:ascii="仿宋_GB2312" w:hAnsi="宋体" w:eastAsia="仿宋_GB2312" w:cs="宋体"/>
          <w:kern w:val="2"/>
          <w:sz w:val="30"/>
          <w:szCs w:val="30"/>
        </w:rPr>
        <w:t>1000</w:t>
      </w:r>
      <w:r>
        <w:rPr>
          <w:rFonts w:hint="eastAsia" w:ascii="仿宋_GB2312" w:hAnsi="宋体" w:eastAsia="仿宋_GB2312" w:cs="宋体"/>
          <w:kern w:val="2"/>
          <w:sz w:val="30"/>
          <w:szCs w:val="30"/>
        </w:rPr>
        <w:t>兆瓦的新能源基地。持续做好吉阳核电厂址保护工作。实施管道天然气利用工程，建成大渡口</w:t>
      </w:r>
      <w:r>
        <w:rPr>
          <w:rFonts w:ascii="仿宋_GB2312" w:hAnsi="宋体" w:eastAsia="仿宋_GB2312" w:cs="宋体"/>
          <w:kern w:val="2"/>
          <w:sz w:val="30"/>
          <w:szCs w:val="30"/>
        </w:rPr>
        <w:t>-</w:t>
      </w:r>
      <w:r>
        <w:rPr>
          <w:rFonts w:hint="eastAsia" w:ascii="仿宋_GB2312" w:hAnsi="宋体" w:eastAsia="仿宋_GB2312" w:cs="宋体"/>
          <w:kern w:val="2"/>
          <w:sz w:val="30"/>
          <w:szCs w:val="30"/>
        </w:rPr>
        <w:t>东流、东流</w:t>
      </w:r>
      <w:r>
        <w:rPr>
          <w:rFonts w:ascii="仿宋_GB2312" w:hAnsi="宋体" w:eastAsia="仿宋_GB2312" w:cs="宋体"/>
          <w:kern w:val="2"/>
          <w:sz w:val="30"/>
          <w:szCs w:val="30"/>
        </w:rPr>
        <w:t>-</w:t>
      </w:r>
      <w:r>
        <w:rPr>
          <w:rFonts w:hint="eastAsia" w:ascii="仿宋_GB2312" w:hAnsi="宋体" w:eastAsia="仿宋_GB2312" w:cs="宋体"/>
          <w:kern w:val="2"/>
          <w:sz w:val="30"/>
          <w:szCs w:val="30"/>
        </w:rPr>
        <w:t>香隅支线管网，打造绿色能源供应基地。</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kern w:val="0"/>
          <w:sz w:val="30"/>
          <w:szCs w:val="30"/>
        </w:rPr>
        <w:t>着力打造绿色经济样板。</w:t>
      </w:r>
      <w:r>
        <w:rPr>
          <w:rFonts w:hint="eastAsia" w:ascii="仿宋_GB2312" w:hAnsi="宋体" w:eastAsia="仿宋_GB2312" w:cs="宋体"/>
          <w:sz w:val="30"/>
          <w:szCs w:val="30"/>
        </w:rPr>
        <w:t>大力发展绿色金融，建立和完善绿色发展项目库，拓宽绿色投融资渠道，着力提高经济发展的“含金量”和“含绿量”。促进“绿色生态</w:t>
      </w:r>
      <w:r>
        <w:rPr>
          <w:rFonts w:ascii="仿宋_GB2312" w:hAnsi="宋体" w:eastAsia="仿宋_GB2312" w:cs="宋体"/>
          <w:sz w:val="30"/>
          <w:szCs w:val="30"/>
        </w:rPr>
        <w:t>+</w:t>
      </w:r>
      <w:r>
        <w:rPr>
          <w:rFonts w:hint="eastAsia" w:ascii="仿宋_GB2312" w:hAnsi="宋体" w:eastAsia="仿宋_GB2312" w:cs="宋体"/>
          <w:sz w:val="30"/>
          <w:szCs w:val="30"/>
        </w:rPr>
        <w:t>”多产业融合发展模式，鼓励引导育幼、康养、文化教育、智慧物流等行业发展。大力发展绿色健康食品、修心养生民宿、农耕风情田园、最美自驾风景道、户外运动基地等多种绿色经济业态，建设升金湖路段、长江大堤堤顶康养慢跑道路和堤脚三十米平台绿化长廊，全面打造尧东一体化滨河生态廊道、风电景观廊道。倡导简约适度、绿色低碳的生活方式，开展绿色家庭、绿色学校、绿色社区和绿色出行等行动。</w:t>
      </w:r>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推进园区低碳循环发展。</w:t>
      </w:r>
      <w:r>
        <w:rPr>
          <w:rFonts w:hint="eastAsia" w:ascii="仿宋_GB2312" w:hAnsi="宋体" w:eastAsia="仿宋_GB2312" w:cs="宋体"/>
          <w:kern w:val="2"/>
          <w:sz w:val="30"/>
          <w:szCs w:val="30"/>
        </w:rPr>
        <w:t>积极创建绿色园区、绿色工厂，设计开发绿色产品，实现园区节能、环保、安全和清洁生产全覆盖，持续推进整厂智能化改造，加快构建“绿色产品</w:t>
      </w:r>
      <w:r>
        <w:rPr>
          <w:rFonts w:ascii="仿宋_GB2312" w:hAnsi="宋体" w:eastAsia="仿宋_GB2312" w:cs="宋体"/>
          <w:kern w:val="2"/>
          <w:sz w:val="30"/>
          <w:szCs w:val="30"/>
        </w:rPr>
        <w:t>-</w:t>
      </w:r>
      <w:r>
        <w:rPr>
          <w:rFonts w:hint="eastAsia" w:ascii="仿宋_GB2312" w:hAnsi="宋体" w:eastAsia="仿宋_GB2312" w:cs="宋体"/>
          <w:kern w:val="2"/>
          <w:sz w:val="30"/>
          <w:szCs w:val="30"/>
        </w:rPr>
        <w:t>绿色工厂</w:t>
      </w:r>
      <w:r>
        <w:rPr>
          <w:rFonts w:ascii="仿宋_GB2312" w:hAnsi="宋体" w:eastAsia="仿宋_GB2312" w:cs="宋体"/>
          <w:kern w:val="2"/>
          <w:sz w:val="30"/>
          <w:szCs w:val="30"/>
        </w:rPr>
        <w:t>-</w:t>
      </w:r>
      <w:r>
        <w:rPr>
          <w:rFonts w:hint="eastAsia" w:ascii="仿宋_GB2312" w:hAnsi="宋体" w:eastAsia="仿宋_GB2312" w:cs="宋体"/>
          <w:kern w:val="2"/>
          <w:sz w:val="30"/>
          <w:szCs w:val="30"/>
        </w:rPr>
        <w:t>绿色供应链</w:t>
      </w:r>
      <w:r>
        <w:rPr>
          <w:rFonts w:ascii="仿宋_GB2312" w:hAnsi="宋体" w:eastAsia="仿宋_GB2312" w:cs="宋体"/>
          <w:kern w:val="2"/>
          <w:sz w:val="30"/>
          <w:szCs w:val="30"/>
        </w:rPr>
        <w:t>-</w:t>
      </w:r>
      <w:r>
        <w:rPr>
          <w:rFonts w:hint="eastAsia" w:ascii="仿宋_GB2312" w:hAnsi="宋体" w:eastAsia="仿宋_GB2312" w:cs="宋体"/>
          <w:kern w:val="2"/>
          <w:sz w:val="30"/>
          <w:szCs w:val="30"/>
        </w:rPr>
        <w:t>绿色园区”等绿色制造体系。加强重点领域低碳发展</w:t>
      </w:r>
      <w:r>
        <w:rPr>
          <w:rFonts w:ascii="仿宋_GB2312" w:hAnsi="宋体" w:eastAsia="仿宋_GB2312" w:cs="宋体"/>
          <w:kern w:val="2"/>
          <w:sz w:val="30"/>
          <w:szCs w:val="30"/>
        </w:rPr>
        <w:t>,</w:t>
      </w:r>
      <w:r>
        <w:rPr>
          <w:rFonts w:hint="eastAsia" w:ascii="仿宋_GB2312" w:hAnsi="宋体" w:eastAsia="仿宋_GB2312" w:cs="宋体"/>
          <w:kern w:val="2"/>
          <w:sz w:val="30"/>
          <w:szCs w:val="30"/>
        </w:rPr>
        <w:t>督促重点工业企业依规配套建设废气处理设施，鼓励企业转型升级。推动省级开发区实施热电联产项目，推进集中供热和余热余能利用，深化东至经开区化工行业挥发性有机废气监控、提标整治和总量控制，实现园区节能、环保、安全和清洁生产全覆盖。倡导低碳生产方式，严格执行环境影响及安全评价制度，建立节能减排考核制度，构建循环经济产业链。</w:t>
      </w:r>
    </w:p>
    <w:p>
      <w:pPr>
        <w:pStyle w:val="4"/>
        <w:spacing w:beforeLines="80" w:afterLines="80" w:line="570" w:lineRule="exact"/>
        <w:jc w:val="center"/>
        <w:rPr>
          <w:rFonts w:ascii="黑体" w:hAnsi="楷体" w:cs="楷体"/>
          <w:sz w:val="30"/>
          <w:szCs w:val="30"/>
        </w:rPr>
      </w:pPr>
      <w:bookmarkStart w:id="76" w:name="_Toc4145"/>
      <w:bookmarkStart w:id="77" w:name="_Toc21042"/>
      <w:r>
        <w:rPr>
          <w:rFonts w:hint="eastAsia" w:ascii="黑体" w:hAnsi="楷体" w:cs="楷体"/>
          <w:sz w:val="30"/>
          <w:szCs w:val="30"/>
        </w:rPr>
        <w:t>第二章持续改善环境质量</w:t>
      </w:r>
      <w:bookmarkEnd w:id="76"/>
      <w:bookmarkEnd w:id="77"/>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kern w:val="0"/>
          <w:sz w:val="30"/>
          <w:szCs w:val="30"/>
        </w:rPr>
        <w:t>全面建设新阶段现代化美丽长江（东至）经济带。</w:t>
      </w:r>
      <w:r>
        <w:rPr>
          <w:rFonts w:hint="eastAsia" w:ascii="仿宋_GB2312" w:hAnsi="宋体" w:eastAsia="仿宋_GB2312" w:cs="宋体"/>
          <w:sz w:val="30"/>
          <w:szCs w:val="30"/>
        </w:rPr>
        <w:t>深入宣传贯彻《长江保护法》，落实“1515”岸线分级管控措施，深化“三大一强”专项攻坚行动和生态环境污染治理“</w:t>
      </w:r>
      <w:r>
        <w:rPr>
          <w:rFonts w:ascii="仿宋_GB2312" w:hAnsi="宋体" w:eastAsia="仿宋_GB2312" w:cs="宋体"/>
          <w:sz w:val="30"/>
          <w:szCs w:val="30"/>
        </w:rPr>
        <w:t>4+1</w:t>
      </w:r>
      <w:r>
        <w:rPr>
          <w:rFonts w:hint="eastAsia" w:ascii="仿宋_GB2312" w:hAnsi="宋体" w:eastAsia="仿宋_GB2312" w:cs="宋体"/>
          <w:sz w:val="30"/>
          <w:szCs w:val="30"/>
        </w:rPr>
        <w:t>”工程，全面实施长江禁渔十年行动，加强江豚等重点水生物保护，把保护修复长江生态环境摆在压倒性位置，打造美丽长江（东至）经济带升级版。加强岸线整治和资源管控，推进上下游联动、江河湖库协同治理，强化生态环境、基础设施、公共服务共建共享，加快东流通江出口建设，持续改善尧渡河、龙泉河、黄湓河等水质，保持国控、省控断面水质稳定达标。全面打造长江（东至段）生态廊道，早日重现“一江碧水向东流”的胜景。</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kern w:val="0"/>
          <w:sz w:val="30"/>
          <w:szCs w:val="30"/>
        </w:rPr>
        <w:t>推进生态环境综合治理。</w:t>
      </w:r>
      <w:r>
        <w:rPr>
          <w:rFonts w:hint="eastAsia" w:ascii="仿宋_GB2312" w:hAnsi="宋体" w:eastAsia="仿宋_GB2312" w:cs="宋体"/>
          <w:sz w:val="30"/>
          <w:szCs w:val="30"/>
        </w:rPr>
        <w:t>统筹打好“蓝天碧水净土”保卫战，全力推进生态植绿、生态保护，加强环境质量监测，全面夯实创建工作基础，建立地上地下生态环境治理制度。深入实施水环境治理、大气污染防治、绿色森林增长、固体废物整治等专项行动，推进环境风险监测预警应急处理信息化水平。强化控煤、控气、控车、控尘、控烧措施，基本消除重污染天气。严格遵守生态保护红线、永久基本农田、城镇开发边界控制线，加强企业主要污染物排放监管，加强能源、材料等重点行业监管，严厉打击侵占生态行为。推进全域废弃矿山生态修复及周边综合治理工程，加快矿山廊道建设，逐步提升生态系统稳定性和生态服务功能。</w:t>
      </w:r>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加强生态环境监测和修复。</w:t>
      </w:r>
      <w:r>
        <w:rPr>
          <w:rFonts w:hint="eastAsia" w:ascii="仿宋_GB2312" w:hAnsi="宋体" w:eastAsia="仿宋_GB2312" w:cs="宋体"/>
          <w:kern w:val="2"/>
          <w:sz w:val="30"/>
          <w:szCs w:val="30"/>
        </w:rPr>
        <w:t>严格规划管控全域产业和项目布局，严守生态保护红线、环境质量底线、资源利用上线。强化河湖长制，深化“</w:t>
      </w:r>
      <w:r>
        <w:rPr>
          <w:rFonts w:ascii="仿宋_GB2312" w:hAnsi="宋体" w:eastAsia="仿宋_GB2312" w:cs="宋体"/>
          <w:kern w:val="2"/>
          <w:sz w:val="30"/>
          <w:szCs w:val="30"/>
        </w:rPr>
        <w:t>+</w:t>
      </w:r>
      <w:r>
        <w:rPr>
          <w:rFonts w:hint="eastAsia" w:ascii="仿宋_GB2312" w:hAnsi="宋体" w:eastAsia="仿宋_GB2312" w:cs="宋体"/>
          <w:kern w:val="2"/>
          <w:sz w:val="30"/>
          <w:szCs w:val="30"/>
        </w:rPr>
        <w:t>检察长、警长”制，开展生态修复和综合利用。坚持污染源日常环境监管抽查，严格排污许可证发放。严格生态环境保护综合执法，依法开展环境行政处罚案件调查，扎实做好环境监管工作。加强环境风险应急能力标准化建设，推进环境风险监测预警应急处理信息化水平，搭建生态环境大数据平台，推进开发区“智慧环保”建设。持续推进城乡环境整治，促进城镇垃圾处理全覆盖。加快推进土壤污染修复，推行“治理修复</w:t>
      </w:r>
      <w:r>
        <w:rPr>
          <w:rFonts w:ascii="仿宋_GB2312" w:hAnsi="宋体" w:eastAsia="仿宋_GB2312" w:cs="宋体"/>
          <w:kern w:val="2"/>
          <w:sz w:val="30"/>
          <w:szCs w:val="30"/>
        </w:rPr>
        <w:t>+</w:t>
      </w:r>
      <w:r>
        <w:rPr>
          <w:rFonts w:hint="eastAsia" w:ascii="仿宋_GB2312" w:hAnsi="宋体" w:eastAsia="仿宋_GB2312" w:cs="宋体"/>
          <w:kern w:val="2"/>
          <w:sz w:val="30"/>
          <w:szCs w:val="30"/>
        </w:rPr>
        <w:t>开发建设”模式，优先保护耕地土壤环境，推进化肥农药减量化、土壤污染和白色污染治理，切实做好土壤污染防治工作。</w:t>
      </w:r>
    </w:p>
    <w:bookmarkEnd w:id="73"/>
    <w:bookmarkEnd w:id="74"/>
    <w:bookmarkEnd w:id="75"/>
    <w:p>
      <w:pPr>
        <w:pStyle w:val="4"/>
        <w:spacing w:beforeLines="80" w:afterLines="80" w:line="570" w:lineRule="exact"/>
        <w:jc w:val="center"/>
        <w:rPr>
          <w:rFonts w:ascii="黑体" w:hAnsi="楷体" w:cs="楷体"/>
          <w:sz w:val="30"/>
          <w:szCs w:val="30"/>
        </w:rPr>
      </w:pPr>
      <w:bookmarkStart w:id="78" w:name="_Toc29641"/>
      <w:bookmarkStart w:id="79" w:name="_Toc16133"/>
      <w:r>
        <w:rPr>
          <w:rFonts w:hint="eastAsia" w:ascii="黑体" w:hAnsi="楷体" w:cs="楷体"/>
          <w:sz w:val="30"/>
          <w:szCs w:val="30"/>
        </w:rPr>
        <w:t>第三章提升生态质量</w:t>
      </w:r>
      <w:bookmarkEnd w:id="78"/>
      <w:r>
        <w:rPr>
          <w:rFonts w:hint="eastAsia" w:ascii="黑体" w:hAnsi="楷体" w:cs="楷体"/>
          <w:sz w:val="30"/>
          <w:szCs w:val="30"/>
        </w:rPr>
        <w:t>和稳定性</w:t>
      </w:r>
      <w:bookmarkEnd w:id="79"/>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构建美丽宜人自然生态系统。</w:t>
      </w:r>
      <w:r>
        <w:rPr>
          <w:rFonts w:hint="eastAsia" w:ascii="仿宋_GB2312" w:hAnsi="宋体" w:eastAsia="仿宋_GB2312" w:cs="宋体"/>
          <w:kern w:val="2"/>
          <w:sz w:val="30"/>
          <w:szCs w:val="30"/>
        </w:rPr>
        <w:t>坚持山水林田湖草系统治理，全面推进实施生态治理、生态修复、污染防治和环境保护工程，构筑美丽宜人绿色生态格局。实施重点生态功能区生态系统修复工程和生物多样性保护重大工程，切实加强濒危野生动植物及其栖息地保护恢复，大力提升生态系统质量和稳定性。实施升金湖湿地保护与恢复工程，优化环湖地区空间布局，争取升金湖生态补偿项目列入国家试点。实施天然林保护工程，构建“山林屏护、湿地串接、廊道贯通”的空间生态格局</w:t>
      </w:r>
      <w:r>
        <w:rPr>
          <w:rFonts w:ascii="仿宋_GB2312" w:hAnsi="宋体" w:eastAsia="仿宋_GB2312" w:cs="宋体"/>
          <w:kern w:val="2"/>
          <w:sz w:val="30"/>
          <w:szCs w:val="30"/>
        </w:rPr>
        <w:t>,</w:t>
      </w:r>
      <w:r>
        <w:rPr>
          <w:rFonts w:hint="eastAsia" w:ascii="仿宋_GB2312" w:hAnsi="宋体" w:eastAsia="仿宋_GB2312" w:cs="宋体"/>
          <w:kern w:val="2"/>
          <w:sz w:val="30"/>
          <w:szCs w:val="30"/>
        </w:rPr>
        <w:t>着力打造宜居宜游后花园和区域生态绿色新高地。</w:t>
      </w:r>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深化新一轮林长制改革。</w:t>
      </w:r>
      <w:r>
        <w:rPr>
          <w:rFonts w:hint="eastAsia" w:ascii="仿宋_GB2312" w:hAnsi="宋体" w:eastAsia="仿宋_GB2312" w:cs="宋体"/>
          <w:kern w:val="2"/>
          <w:sz w:val="30"/>
          <w:szCs w:val="30"/>
        </w:rPr>
        <w:t>认真落实创建林长制改革示范区各项任务，健全护绿、增绿、管绿、用绿、活绿协同推进的体制机制。完善林长组织体系，健全基层林长履职机制，建立健全林业执法体系。实施国土绿化提升行动，推进森林城市、森林乡村建设，加强重大林业有害生物防治技术开发和联防联治。发展新型林业经营主体，拓展林下经济发展新途径。深化集体林权制度改革，巩固提升国有林场改革成果，强化林区基础设施建设。推行“互联网</w:t>
      </w:r>
      <w:r>
        <w:rPr>
          <w:rFonts w:ascii="仿宋_GB2312" w:hAnsi="宋体" w:eastAsia="仿宋_GB2312" w:cs="宋体"/>
          <w:kern w:val="2"/>
          <w:sz w:val="30"/>
          <w:szCs w:val="30"/>
        </w:rPr>
        <w:t>+</w:t>
      </w:r>
      <w:r>
        <w:rPr>
          <w:rFonts w:hint="eastAsia" w:ascii="仿宋_GB2312" w:hAnsi="宋体" w:eastAsia="仿宋_GB2312" w:cs="宋体"/>
          <w:kern w:val="2"/>
          <w:sz w:val="30"/>
          <w:szCs w:val="30"/>
        </w:rPr>
        <w:t>采伐管理”模式，打造“互联网</w:t>
      </w:r>
      <w:r>
        <w:rPr>
          <w:rFonts w:ascii="仿宋_GB2312" w:hAnsi="宋体" w:eastAsia="仿宋_GB2312" w:cs="宋体"/>
          <w:kern w:val="2"/>
          <w:sz w:val="30"/>
          <w:szCs w:val="30"/>
        </w:rPr>
        <w:t>+</w:t>
      </w:r>
      <w:r>
        <w:rPr>
          <w:rFonts w:hint="eastAsia" w:ascii="仿宋_GB2312" w:hAnsi="宋体" w:eastAsia="仿宋_GB2312" w:cs="宋体"/>
          <w:kern w:val="2"/>
          <w:sz w:val="30"/>
          <w:szCs w:val="30"/>
        </w:rPr>
        <w:t>林业”改革示范点。</w:t>
      </w:r>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sz w:val="30"/>
          <w:szCs w:val="30"/>
        </w:rPr>
        <w:t>加强生态文明制度体系建设。</w:t>
      </w:r>
      <w:r>
        <w:rPr>
          <w:rFonts w:hint="eastAsia" w:ascii="仿宋_GB2312" w:hAnsi="宋体" w:eastAsia="仿宋_GB2312" w:cs="宋体"/>
          <w:kern w:val="2"/>
          <w:sz w:val="30"/>
          <w:szCs w:val="30"/>
        </w:rPr>
        <w:t>加强自然资源调查评价监测和确权登记，探索生态产品价值实现路径与多元补偿机制。加强建设用地节约集约评价，推广节地模式和技术，推动城镇低效用地再开发</w:t>
      </w:r>
      <w:r>
        <w:rPr>
          <w:rFonts w:hint="eastAsia" w:ascii="仿宋_GB2312" w:hAnsi="宋体" w:eastAsia="仿宋_GB2312" w:cs="宋体"/>
          <w:kern w:val="2"/>
          <w:sz w:val="30"/>
          <w:szCs w:val="30"/>
          <w:lang w:eastAsia="zh-CN"/>
        </w:rPr>
        <w:t>，做好补充林地工作</w:t>
      </w:r>
      <w:r>
        <w:rPr>
          <w:rFonts w:hint="eastAsia" w:ascii="仿宋_GB2312" w:hAnsi="宋体" w:eastAsia="仿宋_GB2312" w:cs="宋体"/>
          <w:kern w:val="2"/>
          <w:sz w:val="30"/>
          <w:szCs w:val="30"/>
        </w:rPr>
        <w:t>。</w:t>
      </w:r>
      <w:bookmarkStart w:id="179" w:name="_GoBack"/>
      <w:bookmarkEnd w:id="179"/>
      <w:r>
        <w:rPr>
          <w:rFonts w:hint="eastAsia" w:ascii="仿宋_GB2312" w:hAnsi="宋体" w:eastAsia="仿宋_GB2312" w:cs="宋体"/>
          <w:kern w:val="2"/>
          <w:sz w:val="30"/>
          <w:szCs w:val="30"/>
        </w:rPr>
        <w:t>加快湿地保护与修复、升金湖圩口流转与水环境修复项目建设，探索建立湿地资源确权统一登记制度，湿地保护率保持61</w:t>
      </w:r>
      <w:r>
        <w:rPr>
          <w:rFonts w:ascii="仿宋_GB2312" w:hAnsi="宋体" w:eastAsia="仿宋_GB2312" w:cs="宋体"/>
          <w:kern w:val="2"/>
          <w:sz w:val="30"/>
          <w:szCs w:val="30"/>
        </w:rPr>
        <w:t>%</w:t>
      </w:r>
      <w:r>
        <w:rPr>
          <w:rFonts w:hint="eastAsia" w:ascii="仿宋_GB2312" w:hAnsi="宋体" w:eastAsia="仿宋_GB2312" w:cs="宋体"/>
          <w:kern w:val="2"/>
          <w:sz w:val="30"/>
          <w:szCs w:val="30"/>
        </w:rPr>
        <w:t>左右。落实矿产资源权益金制度，健全矿产资源保护利用、监测评价和统计制度。落实生态环境公益诉讼制度和生态环境损害赔偿制度，实行生态环境损害责任终身追究制。</w:t>
      </w:r>
    </w:p>
    <w:p>
      <w:pPr>
        <w:pStyle w:val="12"/>
        <w:spacing w:line="640" w:lineRule="exact"/>
        <w:jc w:val="center"/>
        <w:rPr>
          <w:rFonts w:ascii="黑体" w:hAnsi="宋体" w:eastAsia="黑体" w:cs="宋体"/>
          <w:kern w:val="2"/>
          <w:sz w:val="32"/>
          <w:szCs w:val="32"/>
        </w:rPr>
      </w:pPr>
      <w:r>
        <w:rPr>
          <w:rFonts w:hint="eastAsia" w:ascii="黑体" w:hAnsi="??" w:eastAsia="黑体"/>
          <w:bCs/>
          <w:sz w:val="28"/>
          <w:szCs w:val="28"/>
        </w:rPr>
        <w:t>专栏</w:t>
      </w:r>
      <w:r>
        <w:rPr>
          <w:rFonts w:ascii="黑体" w:hAnsi="??" w:eastAsia="黑体"/>
          <w:bCs/>
          <w:sz w:val="28"/>
          <w:szCs w:val="28"/>
        </w:rPr>
        <w:t xml:space="preserve">7  </w:t>
      </w:r>
      <w:r>
        <w:rPr>
          <w:rFonts w:hint="eastAsia" w:ascii="黑体" w:hAnsi="黑体" w:eastAsia="黑体" w:cs="黑体"/>
          <w:sz w:val="28"/>
          <w:szCs w:val="28"/>
        </w:rPr>
        <w:t>林业发展重点项目</w:t>
      </w:r>
    </w:p>
    <w:tbl>
      <w:tblPr>
        <w:tblStyle w:val="13"/>
        <w:tblW w:w="88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8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28" w:hRule="atLeast"/>
          <w:jc w:val="center"/>
        </w:trPr>
        <w:tc>
          <w:tcPr>
            <w:tcW w:w="8826" w:type="dxa"/>
          </w:tcPr>
          <w:p>
            <w:pPr>
              <w:tabs>
                <w:tab w:val="left" w:pos="4837"/>
              </w:tabs>
              <w:spacing w:line="530" w:lineRule="exact"/>
              <w:ind w:firstLine="560" w:firstLineChars="200"/>
              <w:rPr>
                <w:rFonts w:ascii="仿宋_GB2312" w:eastAsia="仿宋_GB2312"/>
              </w:rPr>
            </w:pPr>
            <w:r>
              <w:rPr>
                <w:rFonts w:hint="eastAsia" w:ascii="仿宋_GB2312" w:hAnsi="仿宋" w:eastAsia="仿宋_GB2312" w:cs="仿宋"/>
                <w:kern w:val="0"/>
                <w:sz w:val="28"/>
                <w:szCs w:val="28"/>
                <w:shd w:val="clear" w:color="auto" w:fill="FFFFFF"/>
              </w:rPr>
              <w:t>国家储备林基地建设、十四五森林病虫害防治、林业有害生物防治基础设施建设、长江</w:t>
            </w:r>
            <w:r>
              <w:rPr>
                <w:rFonts w:ascii="仿宋_GB2312" w:hAnsi="仿宋" w:eastAsia="仿宋_GB2312" w:cs="仿宋"/>
                <w:kern w:val="0"/>
                <w:sz w:val="28"/>
                <w:szCs w:val="28"/>
                <w:shd w:val="clear" w:color="auto" w:fill="FFFFFF"/>
              </w:rPr>
              <w:t>(</w:t>
            </w:r>
            <w:r>
              <w:rPr>
                <w:rFonts w:hint="eastAsia" w:ascii="仿宋_GB2312" w:hAnsi="仿宋" w:eastAsia="仿宋_GB2312" w:cs="仿宋"/>
                <w:kern w:val="0"/>
                <w:sz w:val="28"/>
                <w:szCs w:val="28"/>
                <w:shd w:val="clear" w:color="auto" w:fill="FFFFFF"/>
              </w:rPr>
              <w:t>东至）经济带生态修复及绿化提升、环升金湖环境综合治理及生态系统修复与提升、尧舜湿地公园、麻栎能源林示范基地、林下经济示范基地、县国有林区道路建设、特种经果林主题公园建设、森林防火物资储备基地建设、林权收储担保中心、林业创新技术试验示范推广基地建设、自然环境下与林共生特种种植培育示范基地建设、陆生野生动植物保护与发展等项目。</w:t>
            </w:r>
          </w:p>
        </w:tc>
      </w:tr>
    </w:tbl>
    <w:p>
      <w:pPr>
        <w:pStyle w:val="3"/>
        <w:spacing w:before="220" w:after="100" w:line="600" w:lineRule="exact"/>
        <w:jc w:val="center"/>
        <w:rPr>
          <w:rFonts w:ascii="方正小标宋简体" w:hAnsi="华文楷体" w:eastAsia="方正小标宋简体" w:cs="华文楷体"/>
          <w:sz w:val="36"/>
          <w:szCs w:val="36"/>
        </w:rPr>
      </w:pPr>
      <w:bookmarkStart w:id="80" w:name="_Toc29191"/>
      <w:bookmarkStart w:id="81" w:name="_Toc9022"/>
      <w:bookmarkStart w:id="82" w:name="_Toc58430122"/>
      <w:r>
        <w:rPr>
          <w:rFonts w:ascii="华文楷体" w:hAnsi="华文楷体" w:eastAsia="华文楷体" w:cs="华文楷体"/>
          <w:w w:val="90"/>
          <w:sz w:val="36"/>
          <w:szCs w:val="36"/>
        </w:rPr>
        <w:br w:type="page"/>
      </w:r>
      <w:r>
        <w:rPr>
          <w:rFonts w:hint="eastAsia" w:ascii="方正小标宋简体" w:hAnsi="华文楷体" w:eastAsia="方正小标宋简体" w:cs="华文楷体"/>
          <w:sz w:val="36"/>
          <w:szCs w:val="36"/>
        </w:rPr>
        <w:t>第六篇优先发展农业农村，</w:t>
      </w:r>
      <w:bookmarkEnd w:id="80"/>
      <w:bookmarkEnd w:id="81"/>
      <w:bookmarkEnd w:id="82"/>
      <w:r>
        <w:rPr>
          <w:rFonts w:hint="eastAsia" w:ascii="方正小标宋简体" w:hAnsi="华文楷体" w:eastAsia="方正小标宋简体" w:cs="华文楷体"/>
          <w:sz w:val="36"/>
          <w:szCs w:val="36"/>
        </w:rPr>
        <w:t>打造乡村全面振兴样板</w:t>
      </w:r>
    </w:p>
    <w:p>
      <w:pPr>
        <w:shd w:val="clear" w:color="auto" w:fill="FFFFFF"/>
        <w:spacing w:line="570" w:lineRule="exact"/>
        <w:ind w:firstLine="600" w:firstLineChars="200"/>
        <w:rPr>
          <w:rFonts w:ascii="仿宋_GB2312" w:hAnsi="宋体" w:eastAsia="仿宋_GB2312" w:cs="宋体"/>
          <w:sz w:val="30"/>
          <w:szCs w:val="30"/>
        </w:rPr>
      </w:pPr>
    </w:p>
    <w:p>
      <w:pPr>
        <w:shd w:val="clear" w:color="auto" w:fill="FFFFFF"/>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把解决好“三农”问题作为重中之重，优先发展农业农村，完善县乡村三级书记抓乡村振兴的领导体制和工作机制，推动形成工农互促、城乡互补、协调发展、共同繁荣的新型城乡新格局，推动农业大县向农业强县转变。</w:t>
      </w:r>
    </w:p>
    <w:p>
      <w:pPr>
        <w:pStyle w:val="4"/>
        <w:spacing w:beforeLines="80" w:afterLines="80" w:line="570" w:lineRule="exact"/>
        <w:jc w:val="center"/>
        <w:rPr>
          <w:rFonts w:ascii="黑体" w:hAnsi="楷体" w:cs="楷体"/>
          <w:sz w:val="30"/>
          <w:szCs w:val="30"/>
        </w:rPr>
      </w:pPr>
      <w:bookmarkStart w:id="83" w:name="_Toc58430123"/>
      <w:bookmarkStart w:id="84" w:name="_Toc4929"/>
      <w:r>
        <w:rPr>
          <w:rFonts w:hint="eastAsia" w:ascii="黑体" w:hAnsi="楷体" w:cs="楷体"/>
          <w:sz w:val="30"/>
          <w:szCs w:val="30"/>
        </w:rPr>
        <w:t>第一章</w:t>
      </w:r>
      <w:bookmarkEnd w:id="83"/>
      <w:r>
        <w:rPr>
          <w:rFonts w:hint="eastAsia" w:ascii="黑体" w:hAnsi="楷体"/>
          <w:sz w:val="30"/>
          <w:szCs w:val="30"/>
        </w:rPr>
        <w:t>提高农业质量效益和竞争力</w:t>
      </w:r>
      <w:bookmarkEnd w:id="84"/>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保障粮食和重要食品安全。</w:t>
      </w:r>
      <w:r>
        <w:rPr>
          <w:rFonts w:hint="eastAsia" w:ascii="仿宋_GB2312" w:hAnsi="宋体" w:eastAsia="仿宋_GB2312" w:cs="宋体"/>
          <w:sz w:val="30"/>
          <w:szCs w:val="30"/>
        </w:rPr>
        <w:t>严格落实粮食安全责任，坚持最严格的耕地保护制度，深入实施藏粮于地、藏粮于技战略，坚决抓好粮食生产，加强种质资源保护和利用，加强种子库建设，实施高标准农田改造提升工程和土地整理工程，实施好重要农产品保障战略，实施粮食节约行动，完善粮食储备体系，持续推进优质粮食工程和“菜篮子”工程，稳定粮食种植面积和产量。做好生猪稳产保供，发展现代渔业，加快构建现代养殖体系。开展农产品质量安全专项整治，构建科学合理、安全高效的重要农产品供给保障体系。到</w:t>
      </w:r>
      <w:r>
        <w:rPr>
          <w:rFonts w:ascii="仿宋_GB2312" w:hAnsi="宋体" w:eastAsia="仿宋_GB2312" w:cs="宋体"/>
          <w:sz w:val="30"/>
          <w:szCs w:val="30"/>
        </w:rPr>
        <w:t>2025</w:t>
      </w:r>
      <w:r>
        <w:rPr>
          <w:rFonts w:hint="eastAsia" w:ascii="仿宋_GB2312" w:hAnsi="宋体" w:eastAsia="仿宋_GB2312" w:cs="宋体"/>
          <w:sz w:val="30"/>
          <w:szCs w:val="30"/>
        </w:rPr>
        <w:t>年，确保粮食、主要农产品和重要副食品有效供给，粮食总产量稳定在年产</w:t>
      </w:r>
      <w:r>
        <w:rPr>
          <w:rFonts w:ascii="仿宋_GB2312" w:hAnsi="宋体" w:eastAsia="仿宋_GB2312" w:cs="宋体"/>
          <w:sz w:val="30"/>
          <w:szCs w:val="30"/>
        </w:rPr>
        <w:t>28</w:t>
      </w:r>
      <w:r>
        <w:rPr>
          <w:rFonts w:hint="eastAsia" w:ascii="仿宋_GB2312" w:hAnsi="宋体" w:eastAsia="仿宋_GB2312" w:cs="宋体"/>
          <w:sz w:val="30"/>
          <w:szCs w:val="30"/>
        </w:rPr>
        <w:t>万吨以上。</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调整优化农业产业结构。</w:t>
      </w:r>
      <w:r>
        <w:rPr>
          <w:rFonts w:hint="eastAsia" w:ascii="仿宋_GB2312" w:hAnsi="宋体" w:eastAsia="仿宋_GB2312" w:cs="宋体"/>
          <w:sz w:val="30"/>
          <w:szCs w:val="30"/>
        </w:rPr>
        <w:t>实施乡村产业振兴计划，培育农业龙头企业、农业产业化集群，实现产供销一体化的高效农业产业体系。推进农业产业链现代化，做大做强农产品加工业，深入实施农产品加工业“五个一批”工程，提升农产品加工业产值比重，助力乡村产业振兴。深化农业供给侧结构性改革，推动粮经饲统筹、农牧渔结合、种养加一体、一二三产业融合发展，重点发展设施农业、特色种养业和设施渔业。依托省级现代农业示范园等平台载体，争创国家现代农业产业园、国家农业发展先行县、国家数字农业示范县，推进国家级农业产业强镇建设，创建一批“一村一品”示范村镇、绿色农产品种养基地、国家级和省级特色农产品优势区、省级长三角绿色农产品生产加工供应基地，打响东至农产品品牌。</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大力发展现代农业。</w:t>
      </w:r>
      <w:r>
        <w:rPr>
          <w:rFonts w:hint="eastAsia" w:ascii="仿宋_GB2312" w:hAnsi="宋体" w:eastAsia="仿宋_GB2312" w:cs="宋体"/>
          <w:sz w:val="30"/>
          <w:szCs w:val="30"/>
        </w:rPr>
        <w:t>重点发展都市农业、休闲观光农业、循环农业，积极探索引入共享经济、共享农场等新模式新业态。大力发展食用菌、茶叶、灵芝、菊花、瓜蒌、鳜鱼等特色产业，加大地标农产品扶持力度，进一步提升农机化作业水平，推动主要粮食生产向全程机械化迈进，加快村级农机大院建设，加大秸秆机械化还田技术推广应用。实施科技兴农战略，推进“数字皖农”工程建设，加强智慧农业发展，建设数字农业。力争到</w:t>
      </w:r>
      <w:r>
        <w:rPr>
          <w:rFonts w:ascii="仿宋_GB2312" w:hAnsi="宋体" w:eastAsia="仿宋_GB2312" w:cs="宋体"/>
          <w:sz w:val="30"/>
          <w:szCs w:val="30"/>
        </w:rPr>
        <w:t>2025</w:t>
      </w:r>
      <w:r>
        <w:rPr>
          <w:rFonts w:hint="eastAsia" w:ascii="仿宋_GB2312" w:hAnsi="宋体" w:eastAsia="仿宋_GB2312" w:cs="宋体"/>
          <w:sz w:val="30"/>
          <w:szCs w:val="30"/>
        </w:rPr>
        <w:t>年，培育现代农业亿级企业总数超</w:t>
      </w:r>
      <w:r>
        <w:rPr>
          <w:rFonts w:ascii="仿宋_GB2312" w:hAnsi="宋体" w:eastAsia="仿宋_GB2312" w:cs="宋体"/>
          <w:sz w:val="30"/>
          <w:szCs w:val="30"/>
        </w:rPr>
        <w:t>12</w:t>
      </w:r>
      <w:r>
        <w:rPr>
          <w:rFonts w:hint="eastAsia" w:ascii="仿宋_GB2312" w:hAnsi="宋体" w:eastAsia="仿宋_GB2312" w:cs="宋体"/>
          <w:sz w:val="30"/>
          <w:szCs w:val="30"/>
        </w:rPr>
        <w:t>个，现代农业产业规上企业产值达到</w:t>
      </w:r>
      <w:r>
        <w:rPr>
          <w:rFonts w:ascii="仿宋_GB2312" w:hAnsi="宋体" w:eastAsia="仿宋_GB2312" w:cs="宋体"/>
          <w:sz w:val="30"/>
          <w:szCs w:val="30"/>
        </w:rPr>
        <w:t>36</w:t>
      </w:r>
      <w:r>
        <w:rPr>
          <w:rFonts w:hint="eastAsia" w:ascii="仿宋_GB2312" w:hAnsi="宋体" w:eastAsia="仿宋_GB2312" w:cs="宋体"/>
          <w:sz w:val="30"/>
          <w:szCs w:val="30"/>
        </w:rPr>
        <w:t>亿元，实现现代农业年均增长</w:t>
      </w:r>
      <w:r>
        <w:rPr>
          <w:rFonts w:ascii="仿宋_GB2312" w:hAnsi="宋体" w:eastAsia="仿宋_GB2312" w:cs="宋体"/>
          <w:sz w:val="30"/>
          <w:szCs w:val="30"/>
        </w:rPr>
        <w:t>5%</w:t>
      </w:r>
      <w:r>
        <w:rPr>
          <w:rFonts w:hint="eastAsia" w:ascii="仿宋_GB2312" w:hAnsi="宋体" w:eastAsia="仿宋_GB2312" w:cs="宋体"/>
          <w:sz w:val="30"/>
          <w:szCs w:val="30"/>
        </w:rPr>
        <w:t>。</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创新农业经营方式。</w:t>
      </w:r>
      <w:r>
        <w:rPr>
          <w:rFonts w:hint="eastAsia" w:ascii="仿宋_GB2312" w:hAnsi="宋体" w:eastAsia="仿宋_GB2312" w:cs="宋体"/>
          <w:sz w:val="30"/>
          <w:szCs w:val="30"/>
        </w:rPr>
        <w:t>巩固完善农村基本经营制度，推进土地流转和规模经营，大力培育专业大户、家庭农场、合作农场、农民专业合作社等现代农业经营主体，实现小农户和现代农业有机衔接，培育新型职业农民。积极开发农业多种功能，对多元化的农业经营主体进行分类指导，培育农村现代经营管理和技术人才。完善农业社会化服务体系，推动现代绿色农业生产经营体系建设。力争到</w:t>
      </w:r>
      <w:r>
        <w:rPr>
          <w:rFonts w:ascii="仿宋_GB2312" w:hAnsi="宋体" w:eastAsia="仿宋_GB2312" w:cs="宋体"/>
          <w:sz w:val="30"/>
          <w:szCs w:val="30"/>
        </w:rPr>
        <w:t>2025</w:t>
      </w:r>
      <w:r>
        <w:rPr>
          <w:rFonts w:hint="eastAsia" w:ascii="仿宋_GB2312" w:hAnsi="宋体" w:eastAsia="仿宋_GB2312" w:cs="宋体"/>
          <w:sz w:val="30"/>
          <w:szCs w:val="30"/>
        </w:rPr>
        <w:t>年，示范农民合作社发展到</w:t>
      </w:r>
      <w:r>
        <w:rPr>
          <w:rFonts w:ascii="仿宋_GB2312" w:hAnsi="宋体" w:eastAsia="仿宋_GB2312" w:cs="宋体"/>
          <w:sz w:val="30"/>
          <w:szCs w:val="30"/>
        </w:rPr>
        <w:t>160</w:t>
      </w:r>
      <w:r>
        <w:rPr>
          <w:rFonts w:hint="eastAsia" w:ascii="仿宋_GB2312" w:hAnsi="宋体" w:eastAsia="仿宋_GB2312" w:cs="宋体"/>
          <w:sz w:val="30"/>
          <w:szCs w:val="30"/>
        </w:rPr>
        <w:t>家、示范家庭农场发展到</w:t>
      </w:r>
      <w:r>
        <w:rPr>
          <w:rFonts w:ascii="仿宋_GB2312" w:hAnsi="宋体" w:eastAsia="仿宋_GB2312" w:cs="宋体"/>
          <w:sz w:val="30"/>
          <w:szCs w:val="30"/>
        </w:rPr>
        <w:t>360</w:t>
      </w:r>
      <w:r>
        <w:rPr>
          <w:rFonts w:hint="eastAsia" w:ascii="仿宋_GB2312" w:hAnsi="宋体" w:eastAsia="仿宋_GB2312" w:cs="宋体"/>
          <w:sz w:val="30"/>
          <w:szCs w:val="30"/>
        </w:rPr>
        <w:t>家。</w:t>
      </w:r>
    </w:p>
    <w:p>
      <w:pPr>
        <w:pStyle w:val="7"/>
        <w:snapToGrid/>
        <w:spacing w:line="570" w:lineRule="exact"/>
        <w:ind w:firstLine="602" w:firstLineChars="200"/>
        <w:jc w:val="both"/>
        <w:rPr>
          <w:rFonts w:ascii="仿宋_GB2312" w:hAnsi="宋体" w:eastAsia="仿宋_GB2312" w:cs="宋体"/>
          <w:sz w:val="30"/>
          <w:szCs w:val="30"/>
        </w:rPr>
      </w:pPr>
      <w:r>
        <w:rPr>
          <w:rFonts w:hint="eastAsia" w:ascii="楷体_GB2312" w:hAnsi="楷体" w:eastAsia="楷体_GB2312" w:cs="楷体"/>
          <w:b/>
          <w:bCs/>
          <w:sz w:val="30"/>
          <w:szCs w:val="30"/>
        </w:rPr>
        <w:t>创新农产品流通方式和质量监管。</w:t>
      </w:r>
      <w:r>
        <w:rPr>
          <w:rFonts w:hint="eastAsia" w:ascii="仿宋_GB2312" w:hAnsi="宋体" w:eastAsia="仿宋_GB2312" w:cs="宋体"/>
          <w:sz w:val="30"/>
          <w:szCs w:val="30"/>
        </w:rPr>
        <w:t>巩固发展农村电商，推动农产品仓储保鲜冷链设施建设，推广“电商企业</w:t>
      </w:r>
      <w:r>
        <w:rPr>
          <w:rFonts w:ascii="仿宋_GB2312" w:hAnsi="宋体" w:eastAsia="仿宋_GB2312" w:cs="宋体"/>
          <w:sz w:val="30"/>
          <w:szCs w:val="30"/>
        </w:rPr>
        <w:t>+</w:t>
      </w:r>
      <w:r>
        <w:rPr>
          <w:rFonts w:hint="eastAsia" w:ascii="仿宋_GB2312" w:hAnsi="宋体" w:eastAsia="仿宋_GB2312" w:cs="宋体"/>
          <w:sz w:val="30"/>
          <w:szCs w:val="30"/>
        </w:rPr>
        <w:t>”的订单式农业生产模式，严格执行农兽药残留限定标准，推进蔬菜茶果示范园、畜禽水产养殖标准化示范创建和安全优质农产品标准化生产基地建设，推进电商与实体流通相结合、网络平台与农业生产管理相结合。加强农产品质量监管，强化生产投入品监管和农产品安全工作，健全从农田到餐桌的农产品质量安全全过程监管体系。</w:t>
      </w:r>
    </w:p>
    <w:p>
      <w:pPr>
        <w:pStyle w:val="7"/>
        <w:snapToGrid/>
        <w:spacing w:line="560" w:lineRule="exact"/>
        <w:jc w:val="center"/>
        <w:rPr>
          <w:rFonts w:ascii="黑体" w:hAnsi="??_GB2312" w:eastAsia="黑体" w:cs="??_GB2312"/>
          <w:sz w:val="32"/>
          <w:szCs w:val="32"/>
        </w:rPr>
      </w:pPr>
      <w:r>
        <w:rPr>
          <w:rFonts w:hint="eastAsia" w:ascii="黑体" w:hAnsi="??" w:eastAsia="黑体"/>
          <w:bCs/>
          <w:kern w:val="0"/>
          <w:sz w:val="28"/>
          <w:szCs w:val="28"/>
        </w:rPr>
        <w:t>专栏</w:t>
      </w:r>
      <w:r>
        <w:rPr>
          <w:rFonts w:ascii="黑体" w:hAnsi="??" w:eastAsia="黑体"/>
          <w:bCs/>
          <w:kern w:val="0"/>
          <w:sz w:val="28"/>
          <w:szCs w:val="28"/>
        </w:rPr>
        <w:t xml:space="preserve">8  </w:t>
      </w:r>
      <w:r>
        <w:rPr>
          <w:rFonts w:hint="eastAsia" w:ascii="黑体" w:hAnsi="黑体" w:eastAsia="黑体" w:cs="黑体"/>
          <w:sz w:val="28"/>
          <w:szCs w:val="28"/>
        </w:rPr>
        <w:t>农业发展重点项目</w:t>
      </w:r>
    </w:p>
    <w:tbl>
      <w:tblPr>
        <w:tblStyle w:val="13"/>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8" w:type="dxa"/>
          </w:tcPr>
          <w:p>
            <w:pPr>
              <w:pStyle w:val="7"/>
              <w:snapToGrid/>
              <w:spacing w:line="570" w:lineRule="exact"/>
              <w:ind w:firstLine="562" w:firstLineChars="200"/>
              <w:jc w:val="both"/>
              <w:rPr>
                <w:rFonts w:ascii="仿宋_GB2312" w:hAnsi="??_GB2312" w:eastAsia="仿宋_GB2312" w:cs="??_GB2312"/>
                <w:sz w:val="28"/>
                <w:szCs w:val="28"/>
              </w:rPr>
            </w:pPr>
            <w:r>
              <w:rPr>
                <w:rFonts w:hint="eastAsia" w:ascii="楷体_GB2312" w:hAnsi="华文楷体" w:eastAsia="楷体_GB2312" w:cs="华文楷体"/>
                <w:b/>
                <w:bCs/>
                <w:sz w:val="28"/>
                <w:szCs w:val="28"/>
              </w:rPr>
              <w:t>现代农业：</w:t>
            </w:r>
            <w:r>
              <w:rPr>
                <w:rFonts w:hint="eastAsia" w:ascii="仿宋_GB2312" w:hAnsi="仿宋" w:eastAsia="仿宋_GB2312" w:cs="仿宋"/>
                <w:kern w:val="0"/>
                <w:sz w:val="28"/>
                <w:szCs w:val="28"/>
                <w:shd w:val="clear" w:color="auto" w:fill="FFFFFF"/>
              </w:rPr>
              <w:t>东至县国家级现代农业产业园、省级现代农业产业园、农村产业融合发展示范园、“食用菌</w:t>
            </w:r>
            <w:r>
              <w:rPr>
                <w:rFonts w:ascii="仿宋_GB2312" w:hAnsi="仿宋" w:eastAsia="仿宋_GB2312" w:cs="仿宋"/>
                <w:kern w:val="0"/>
                <w:sz w:val="28"/>
                <w:szCs w:val="28"/>
                <w:shd w:val="clear" w:color="auto" w:fill="FFFFFF"/>
              </w:rPr>
              <w:t>+</w:t>
            </w:r>
            <w:r>
              <w:rPr>
                <w:rFonts w:hint="eastAsia" w:ascii="仿宋_GB2312" w:hAnsi="仿宋" w:eastAsia="仿宋_GB2312" w:cs="仿宋"/>
                <w:kern w:val="0"/>
                <w:sz w:val="28"/>
                <w:szCs w:val="28"/>
                <w:shd w:val="clear" w:color="auto" w:fill="FFFFFF"/>
              </w:rPr>
              <w:t>金融</w:t>
            </w:r>
            <w:r>
              <w:rPr>
                <w:rFonts w:ascii="仿宋_GB2312" w:hAnsi="仿宋" w:eastAsia="仿宋_GB2312" w:cs="仿宋"/>
                <w:kern w:val="0"/>
                <w:sz w:val="28"/>
                <w:szCs w:val="28"/>
                <w:shd w:val="clear" w:color="auto" w:fill="FFFFFF"/>
              </w:rPr>
              <w:t>+</w:t>
            </w:r>
            <w:r>
              <w:rPr>
                <w:rFonts w:hint="eastAsia" w:ascii="仿宋_GB2312" w:hAnsi="仿宋" w:eastAsia="仿宋_GB2312" w:cs="仿宋"/>
                <w:kern w:val="0"/>
                <w:sz w:val="28"/>
                <w:szCs w:val="28"/>
                <w:shd w:val="clear" w:color="auto" w:fill="FFFFFF"/>
              </w:rPr>
              <w:t>科技”试点、亿家艾森林康养文化产业园、中药材种植研发深加工交易一体化、中药材种植基地及康养、香隅镇漕东农村田园综合体、香隅镇莲子产业基地、白岭生态农业示范园、西村禾玉农业、神州蜂产品二期、“瑙斧山庄”田园综合体、尔岛农业泥溪田园综合体、商品猪规模生态养殖、木塔乡生态农业培育推广、大联圩田园综合体等项目。</w:t>
            </w:r>
          </w:p>
          <w:p>
            <w:pPr>
              <w:spacing w:line="570" w:lineRule="exact"/>
              <w:ind w:firstLine="562" w:firstLineChars="200"/>
              <w:rPr>
                <w:rFonts w:ascii="仿宋" w:hAnsi="仿宋" w:eastAsia="仿宋"/>
                <w:kern w:val="0"/>
                <w:sz w:val="28"/>
                <w:szCs w:val="28"/>
              </w:rPr>
            </w:pPr>
            <w:r>
              <w:rPr>
                <w:rFonts w:hint="eastAsia" w:ascii="楷体_GB2312" w:hAnsi="华文楷体" w:eastAsia="楷体_GB2312" w:cs="华文楷体"/>
                <w:b/>
                <w:bCs/>
                <w:sz w:val="28"/>
                <w:szCs w:val="28"/>
              </w:rPr>
              <w:t>传统农业提升：</w:t>
            </w:r>
            <w:r>
              <w:rPr>
                <w:rFonts w:hint="eastAsia" w:ascii="仿宋_GB2312" w:hAnsi="仿宋" w:eastAsia="仿宋_GB2312" w:cs="仿宋"/>
                <w:kern w:val="0"/>
                <w:sz w:val="28"/>
                <w:szCs w:val="28"/>
                <w:shd w:val="clear" w:color="auto" w:fill="FFFFFF"/>
              </w:rPr>
              <w:t>受污染耕地治理修复、</w:t>
            </w:r>
            <w:r>
              <w:rPr>
                <w:rFonts w:ascii="仿宋_GB2312" w:hAnsi="仿宋" w:eastAsia="仿宋_GB2312" w:cs="仿宋"/>
                <w:kern w:val="0"/>
                <w:sz w:val="28"/>
                <w:szCs w:val="28"/>
                <w:shd w:val="clear" w:color="auto" w:fill="FFFFFF"/>
              </w:rPr>
              <w:t>2021-2023</w:t>
            </w:r>
            <w:r>
              <w:rPr>
                <w:rFonts w:hint="eastAsia" w:ascii="仿宋_GB2312" w:hAnsi="仿宋" w:eastAsia="仿宋_GB2312" w:cs="仿宋"/>
                <w:kern w:val="0"/>
                <w:sz w:val="28"/>
                <w:szCs w:val="28"/>
                <w:shd w:val="clear" w:color="auto" w:fill="FFFFFF"/>
              </w:rPr>
              <w:t>年新增耕地、农田水利“最后一公里”、高标准农田建设、乡镇渠道硬化、乡镇农田水利修复、张溪镇农业农村升级改造、比米生猪养殖、大渡口镇农业产业强镇示范建设、东至县鳜鱼生态养殖及精深加工等项目。</w:t>
            </w:r>
          </w:p>
        </w:tc>
      </w:tr>
      <w:bookmarkEnd w:id="24"/>
      <w:bookmarkEnd w:id="25"/>
      <w:bookmarkEnd w:id="26"/>
      <w:bookmarkEnd w:id="68"/>
    </w:tbl>
    <w:p>
      <w:pPr>
        <w:pStyle w:val="4"/>
        <w:spacing w:beforeLines="80" w:afterLines="80" w:line="570" w:lineRule="exact"/>
        <w:jc w:val="center"/>
        <w:rPr>
          <w:rFonts w:ascii="黑体" w:hAnsi="楷体" w:cs="楷体"/>
          <w:sz w:val="30"/>
          <w:szCs w:val="30"/>
        </w:rPr>
      </w:pPr>
      <w:bookmarkStart w:id="85" w:name="_Toc56003376"/>
      <w:bookmarkStart w:id="86" w:name="_Toc58430124"/>
      <w:bookmarkStart w:id="87" w:name="_Toc19645"/>
      <w:bookmarkStart w:id="88" w:name="_Toc5830"/>
      <w:bookmarkStart w:id="89" w:name="_Toc29772"/>
      <w:bookmarkStart w:id="90" w:name="_Toc54004372"/>
      <w:r>
        <w:rPr>
          <w:rFonts w:hint="eastAsia" w:ascii="黑体" w:hAnsi="楷体" w:cs="楷体"/>
          <w:sz w:val="30"/>
          <w:szCs w:val="30"/>
        </w:rPr>
        <w:t>第二章实施乡村建设行动</w:t>
      </w:r>
      <w:bookmarkEnd w:id="85"/>
      <w:bookmarkEnd w:id="86"/>
      <w:bookmarkEnd w:id="87"/>
      <w:bookmarkEnd w:id="88"/>
    </w:p>
    <w:p>
      <w:pPr>
        <w:pStyle w:val="12"/>
        <w:shd w:val="clear" w:color="auto" w:fill="FFFFFF"/>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bCs/>
          <w:kern w:val="2"/>
          <w:sz w:val="30"/>
          <w:szCs w:val="30"/>
        </w:rPr>
        <w:t>加强美丽乡村建设。</w:t>
      </w:r>
      <w:r>
        <w:rPr>
          <w:rFonts w:hint="eastAsia" w:ascii="仿宋_GB2312" w:hAnsi="宋体" w:eastAsia="仿宋_GB2312" w:cs="宋体"/>
          <w:kern w:val="2"/>
          <w:sz w:val="30"/>
          <w:szCs w:val="30"/>
        </w:rPr>
        <w:t>把乡村建设摆在社会主义现代化建设的重要位置，提升县城综合服务能力，把乡镇建成服务农民的区域中心，打造产业强、生态美、乡风好、治理优、百姓富的新时代幸福新农村。高标准统筹开展乡村规划建设，编制多规合一的村庄规划，充分尊重农民意愿，分类推进城郊、环湖、环山等区域乡村发展布局调整和优化，统筹推进美丽乡村中心镇、中心村建设和改造升级，积极创建省级美丽乡村示范村、重点示范村，规划建设特色旅游名镇名村，打造美丽乡村升级版。以补齐基础设施短板为关键，因地制宜，有序推进农村畅通、市政配套、农村危房改造、高标准农田水利、农村饮水安全巩固提升等工程，高水平推进“四好农村路”和“组组通”建设，提高农田水利“最后一公里”覆盖率。全面提升农房建设质量，切实提升乡村建设风貌，建设有特色、有风土人情味的农村。统筹农村绿色产业与农村人居环境整治，因地制宜推进农村改厕、生活垃圾处理和污水治理“三大革命”，继续实施村庄清洁、畜禽粪污资源化利用、村庄规划建设提升“三大行动”，深入开展以“改厕所、收垃圾、治污水、清沟渠、保整洁、控违建、多种树”为主要内容的农村环境整治工程，加强秸秆综合利用，持续改善农村人居环境。实施数字乡村行动，升级乡村水、电、路、气、通信、广播电视、物流等基础设施。到</w:t>
      </w:r>
      <w:r>
        <w:rPr>
          <w:rFonts w:ascii="仿宋_GB2312" w:hAnsi="宋体" w:eastAsia="仿宋_GB2312" w:cs="宋体"/>
          <w:kern w:val="2"/>
          <w:sz w:val="30"/>
          <w:szCs w:val="30"/>
        </w:rPr>
        <w:t>2025</w:t>
      </w:r>
      <w:r>
        <w:rPr>
          <w:rFonts w:hint="eastAsia" w:ascii="仿宋_GB2312" w:hAnsi="宋体" w:eastAsia="仿宋_GB2312" w:cs="宋体"/>
          <w:kern w:val="2"/>
          <w:sz w:val="30"/>
          <w:szCs w:val="30"/>
        </w:rPr>
        <w:t>年，建设省、市、县美丽中心村</w:t>
      </w:r>
      <w:r>
        <w:rPr>
          <w:rFonts w:ascii="仿宋_GB2312" w:hAnsi="宋体" w:eastAsia="仿宋_GB2312" w:cs="宋体"/>
          <w:kern w:val="2"/>
          <w:sz w:val="30"/>
          <w:szCs w:val="30"/>
        </w:rPr>
        <w:t>40</w:t>
      </w:r>
      <w:r>
        <w:rPr>
          <w:rFonts w:hint="eastAsia" w:ascii="仿宋_GB2312" w:hAnsi="宋体" w:eastAsia="仿宋_GB2312" w:cs="宋体"/>
          <w:kern w:val="2"/>
          <w:sz w:val="30"/>
          <w:szCs w:val="30"/>
        </w:rPr>
        <w:t>个、</w:t>
      </w:r>
      <w:r>
        <w:rPr>
          <w:rFonts w:ascii="仿宋_GB2312" w:hAnsi="宋体" w:eastAsia="仿宋_GB2312" w:cs="宋体"/>
          <w:kern w:val="2"/>
          <w:sz w:val="30"/>
          <w:szCs w:val="30"/>
        </w:rPr>
        <w:t>26</w:t>
      </w:r>
      <w:r>
        <w:rPr>
          <w:rFonts w:hint="eastAsia" w:ascii="仿宋_GB2312" w:hAnsi="宋体" w:eastAsia="仿宋_GB2312" w:cs="宋体"/>
          <w:kern w:val="2"/>
          <w:sz w:val="30"/>
          <w:szCs w:val="30"/>
        </w:rPr>
        <w:t>个、</w:t>
      </w:r>
      <w:r>
        <w:rPr>
          <w:rFonts w:ascii="仿宋_GB2312" w:hAnsi="宋体" w:eastAsia="仿宋_GB2312" w:cs="宋体"/>
          <w:kern w:val="2"/>
          <w:sz w:val="30"/>
          <w:szCs w:val="30"/>
        </w:rPr>
        <w:t>400</w:t>
      </w:r>
      <w:r>
        <w:rPr>
          <w:rFonts w:hint="eastAsia" w:ascii="仿宋_GB2312" w:hAnsi="宋体" w:eastAsia="仿宋_GB2312" w:cs="宋体"/>
          <w:kern w:val="2"/>
          <w:sz w:val="30"/>
          <w:szCs w:val="30"/>
        </w:rPr>
        <w:t>个（自然村）。</w:t>
      </w:r>
    </w:p>
    <w:p>
      <w:pPr>
        <w:pStyle w:val="12"/>
        <w:shd w:val="clear" w:color="auto" w:fill="FFFFFF"/>
        <w:spacing w:line="570" w:lineRule="exact"/>
        <w:ind w:firstLine="602" w:firstLineChars="200"/>
        <w:jc w:val="both"/>
        <w:rPr>
          <w:rFonts w:ascii="仿宋_GB2312" w:hAnsi="??_GB2312" w:eastAsia="仿宋_GB2312" w:cs="??_GB2312"/>
          <w:kern w:val="2"/>
          <w:sz w:val="30"/>
          <w:szCs w:val="30"/>
        </w:rPr>
      </w:pPr>
      <w:r>
        <w:rPr>
          <w:rFonts w:hint="eastAsia" w:ascii="楷体_GB2312" w:hAnsi="楷体" w:eastAsia="楷体_GB2312" w:cs="楷体"/>
          <w:b/>
          <w:bCs/>
          <w:kern w:val="2"/>
          <w:sz w:val="30"/>
          <w:szCs w:val="30"/>
        </w:rPr>
        <w:t>推进城乡建设一体化。</w:t>
      </w:r>
      <w:r>
        <w:rPr>
          <w:rFonts w:hint="eastAsia" w:ascii="仿宋_GB2312" w:hAnsi="宋体" w:eastAsia="仿宋_GB2312" w:cs="宋体"/>
          <w:kern w:val="2"/>
          <w:sz w:val="30"/>
          <w:szCs w:val="30"/>
        </w:rPr>
        <w:t>统筹城乡规划编制、项目谋划、政策制定和资金动力，启动实施村庄基础设施建设工程，实施新一轮农村电网改造工程，持续打通电子商务进农村“最后一公里”，推进快递向自然村延伸，健全城乡商贸物流体系，强化乡村产业基础支撑，推动城乡基础设施、公共服务、社会治理一体谋划、一体建设。深化农村公共基础设施管护体制改革，促进农村稳产保供、农业产业链延伸、农村环境整治、田园综合体建设、村级集体经济壮大，加快实现乡村振兴。力争到</w:t>
      </w:r>
      <w:r>
        <w:rPr>
          <w:rFonts w:ascii="仿宋_GB2312" w:hAnsi="宋体" w:eastAsia="仿宋_GB2312" w:cs="宋体"/>
          <w:kern w:val="2"/>
          <w:sz w:val="30"/>
          <w:szCs w:val="30"/>
        </w:rPr>
        <w:t>2025</w:t>
      </w:r>
      <w:r>
        <w:rPr>
          <w:rFonts w:hint="eastAsia" w:ascii="仿宋_GB2312" w:hAnsi="宋体" w:eastAsia="仿宋_GB2312" w:cs="宋体"/>
          <w:kern w:val="2"/>
          <w:sz w:val="30"/>
          <w:szCs w:val="30"/>
        </w:rPr>
        <w:t>年，建成一批集体经济收入</w:t>
      </w:r>
      <w:r>
        <w:rPr>
          <w:rFonts w:ascii="仿宋_GB2312" w:hAnsi="宋体" w:eastAsia="仿宋_GB2312" w:cs="宋体"/>
          <w:kern w:val="2"/>
          <w:sz w:val="30"/>
          <w:szCs w:val="30"/>
        </w:rPr>
        <w:t>50</w:t>
      </w:r>
      <w:r>
        <w:rPr>
          <w:rFonts w:hint="eastAsia" w:ascii="仿宋_GB2312" w:hAnsi="宋体" w:eastAsia="仿宋_GB2312" w:cs="宋体"/>
          <w:kern w:val="2"/>
          <w:sz w:val="30"/>
          <w:szCs w:val="30"/>
        </w:rPr>
        <w:t>万元以上的经济强村，打造城乡融合发展的先行区和示范区。</w:t>
      </w:r>
    </w:p>
    <w:p>
      <w:pPr>
        <w:pStyle w:val="4"/>
        <w:spacing w:beforeLines="80" w:afterLines="80" w:line="570" w:lineRule="exact"/>
        <w:jc w:val="center"/>
        <w:rPr>
          <w:rFonts w:ascii="黑体" w:hAnsi="楷体" w:cs="楷体"/>
          <w:sz w:val="30"/>
          <w:szCs w:val="30"/>
        </w:rPr>
      </w:pPr>
      <w:bookmarkStart w:id="91" w:name="_Toc9469"/>
      <w:bookmarkStart w:id="92" w:name="_Toc56003377"/>
      <w:bookmarkStart w:id="93" w:name="_Toc58430125"/>
      <w:bookmarkStart w:id="94" w:name="_Toc32600"/>
      <w:r>
        <w:rPr>
          <w:rFonts w:hint="eastAsia" w:ascii="黑体" w:hAnsi="楷体" w:cs="楷体"/>
          <w:sz w:val="30"/>
          <w:szCs w:val="30"/>
        </w:rPr>
        <w:t>第三章深化农村改革</w:t>
      </w:r>
      <w:bookmarkEnd w:id="91"/>
      <w:bookmarkEnd w:id="92"/>
      <w:bookmarkEnd w:id="93"/>
      <w:bookmarkEnd w:id="94"/>
    </w:p>
    <w:p>
      <w:pPr>
        <w:spacing w:line="570" w:lineRule="exact"/>
        <w:ind w:firstLine="602" w:firstLineChars="200"/>
        <w:rPr>
          <w:rFonts w:ascii="仿宋_GB2312" w:hAnsi="宋体" w:eastAsia="仿宋_GB2312" w:cs="宋体"/>
          <w:spacing w:val="-2"/>
          <w:sz w:val="30"/>
          <w:szCs w:val="30"/>
        </w:rPr>
      </w:pPr>
      <w:r>
        <w:rPr>
          <w:rFonts w:hint="eastAsia" w:ascii="楷体_GB2312" w:hAnsi="楷体" w:eastAsia="楷体_GB2312" w:cs="楷体"/>
          <w:b/>
          <w:bCs/>
          <w:sz w:val="30"/>
          <w:szCs w:val="30"/>
        </w:rPr>
        <w:t>推动农业农村重大改革。</w:t>
      </w:r>
      <w:r>
        <w:rPr>
          <w:rFonts w:hint="eastAsia" w:ascii="仿宋_GB2312" w:hAnsi="宋体" w:eastAsia="仿宋_GB2312" w:cs="宋体"/>
          <w:spacing w:val="-2"/>
          <w:sz w:val="30"/>
          <w:szCs w:val="30"/>
        </w:rPr>
        <w:t>落实第二轮土地承包到期后再延长三十年政策，推进农村土地“三权分置”改革，高质量完成农村宅基地制度改革国家试点工作。加强农村集体资产管理，整县推进农村“三变”改革试点，做好农村闲置宅基地、闲置住宅和国有集体闲置资产盘活利用，积极推进农村集体经营性建设用地入市试点，探索农村集体经济有效实现形式。依法维护土地集体所有权人对集体土地依法享有占有、使用、收益和处分的权利，维护承包农户使用、流转、抵押、退出承包地等各项权能，维护经营主体从事农业生产所需的各项权利。探索赋予农民更多财产权利，激活农村各类生产要素潜能，促进资产保值增值，建立符合市场经济要求的农村集体经济运营新机制。</w:t>
      </w:r>
    </w:p>
    <w:p>
      <w:pPr>
        <w:pStyle w:val="12"/>
        <w:shd w:val="clear" w:color="auto" w:fill="FFFFFF"/>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bCs/>
          <w:kern w:val="2"/>
          <w:sz w:val="30"/>
          <w:szCs w:val="30"/>
        </w:rPr>
        <w:t>引导要素向乡村合理配置。</w:t>
      </w:r>
      <w:r>
        <w:rPr>
          <w:rFonts w:hint="eastAsia" w:ascii="仿宋_GB2312" w:hAnsi="宋体" w:eastAsia="仿宋_GB2312" w:cs="宋体"/>
          <w:kern w:val="2"/>
          <w:sz w:val="30"/>
          <w:szCs w:val="30"/>
        </w:rPr>
        <w:t>协调推进农业转移人口市民化与“市民下乡、能人回乡、企业兴乡”，引导城市智力、资本、技术、管理下乡，促进城乡之间要素充分流动与合理配置，健全乡村多元投入保障机制。培育和发展乡村本土的种粮大户、新型职业农民等农业生产型人才，发掘并保护乡村工匠、文化能人、非遗传承人等农村各类实用人才和传统文化人才，延续乡土人脉。引导鼓励各方人才参与乡村建设，通过为各类人才提供良好的事业发展空间和人生价值实现平台，促使农业科技教育人才进驻并服务农业农村，吸引城市精英进入农村和外出打工人才返乡创业，实现乡村发展人力资本的整体提升。探索设立乡村振兴投资基金，健全农村金融服务体系，发展农业保险。进一步加强“劝耕贷”“红色信</w:t>
      </w:r>
      <w:r>
        <w:rPr>
          <w:rFonts w:ascii="仿宋_GB2312" w:hAnsi="宋体" w:eastAsia="仿宋_GB2312" w:cs="宋体"/>
          <w:kern w:val="2"/>
          <w:sz w:val="30"/>
          <w:szCs w:val="30"/>
        </w:rPr>
        <w:t>e</w:t>
      </w:r>
      <w:r>
        <w:rPr>
          <w:rFonts w:hint="eastAsia" w:ascii="仿宋_GB2312" w:hAnsi="宋体" w:eastAsia="仿宋_GB2312" w:cs="宋体"/>
          <w:kern w:val="2"/>
          <w:sz w:val="30"/>
          <w:szCs w:val="30"/>
        </w:rPr>
        <w:t>贷”等金融支农的力度，改善农村地区的金融服务质量，把更多金融资源配置到农业农村发展的重点领域和薄弱环节。引导城市文化走进农村，挖掘发展家风文化、饮食文化等都市农村特色文化，促进城乡文化融合。</w:t>
      </w:r>
    </w:p>
    <w:p>
      <w:pPr>
        <w:pStyle w:val="4"/>
        <w:spacing w:beforeLines="80" w:afterLines="80" w:line="570" w:lineRule="exact"/>
        <w:jc w:val="center"/>
        <w:rPr>
          <w:rFonts w:ascii="黑体" w:hAnsi="楷体" w:cs="楷体"/>
          <w:sz w:val="30"/>
          <w:szCs w:val="30"/>
        </w:rPr>
      </w:pPr>
      <w:bookmarkStart w:id="95" w:name="_Toc16771"/>
      <w:bookmarkStart w:id="96" w:name="_Toc58430126"/>
      <w:bookmarkStart w:id="97" w:name="_Toc56003378"/>
      <w:bookmarkStart w:id="98" w:name="_Toc14737"/>
      <w:r>
        <w:rPr>
          <w:rFonts w:hint="eastAsia" w:ascii="黑体" w:hAnsi="楷体" w:cs="楷体"/>
          <w:sz w:val="30"/>
          <w:szCs w:val="30"/>
        </w:rPr>
        <w:t>第四章</w:t>
      </w:r>
      <w:bookmarkEnd w:id="95"/>
      <w:bookmarkEnd w:id="96"/>
      <w:bookmarkEnd w:id="97"/>
      <w:r>
        <w:rPr>
          <w:rFonts w:hint="eastAsia" w:ascii="黑体" w:hAnsi="楷体" w:cs="楷体"/>
          <w:sz w:val="30"/>
          <w:szCs w:val="30"/>
        </w:rPr>
        <w:t>实现巩固拓展脱贫攻坚成果同乡村振兴有效衔接</w:t>
      </w:r>
      <w:bookmarkEnd w:id="98"/>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建立解决相对贫困长效机制。</w:t>
      </w:r>
      <w:r>
        <w:rPr>
          <w:rFonts w:hint="eastAsia" w:ascii="仿宋_GB2312" w:hAnsi="宋体" w:eastAsia="仿宋_GB2312" w:cs="宋体"/>
          <w:sz w:val="30"/>
          <w:szCs w:val="30"/>
        </w:rPr>
        <w:t>落实“四个不摘”要求，分类做好脱贫攻坚政策统筹衔接。构建防止返贫、应对相对贫困和产业扶贫、就业扶贫等长效机制，持续加强防范返贫致贫监测预警工作，变事后帮扶为事前预防与事后帮扶相结合，持续巩固拓展脱贫攻坚成果。健全农村社会保障和救助制度，继续发挥社会力量帮扶作用，深化完善“防贫保”等创新帮扶举措。探索建立解决相对贫困的长效机制，因地制宜、因人制宜推进产业扶贫，建立健全自然灾害、疫情风险、大病风险分担机制和应急救助措施，坚决防止因疫因灾因病返贫致贫。</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加快乡村振兴与全面脱贫有效衔接</w:t>
      </w:r>
      <w:r>
        <w:rPr>
          <w:rFonts w:hint="eastAsia" w:ascii="楷体_GB2312" w:hAnsi="楷体" w:eastAsia="楷体_GB2312" w:cs="楷体"/>
          <w:b/>
          <w:sz w:val="30"/>
          <w:szCs w:val="30"/>
        </w:rPr>
        <w:t>。</w:t>
      </w:r>
      <w:r>
        <w:rPr>
          <w:rFonts w:hint="eastAsia" w:ascii="仿宋_GB2312" w:hAnsi="宋体" w:eastAsia="仿宋_GB2312" w:cs="宋体"/>
          <w:sz w:val="30"/>
          <w:szCs w:val="30"/>
        </w:rPr>
        <w:t>建立健全乡村振兴与全面脱贫有效衔接的政策体系和工作体制机制，推动衔接机制制度创新，充分发挥乡村振兴“四个一”平台作用，找准乡村振兴建设路径，加快形成有机衔接的统一认识和总体设计思路，实现脱贫攻坚接续乡村振兴顺乎逻辑的演进发展。</w:t>
      </w:r>
      <w:bookmarkEnd w:id="89"/>
      <w:bookmarkEnd w:id="90"/>
      <w:r>
        <w:rPr>
          <w:rFonts w:hint="eastAsia" w:ascii="仿宋_GB2312" w:hAnsi="宋体" w:eastAsia="仿宋_GB2312" w:cs="宋体"/>
          <w:sz w:val="30"/>
          <w:szCs w:val="30"/>
        </w:rPr>
        <w:t>启动实施乡村产业振兴计划，健全完善乡村振兴项目库，引导发展休闲农业、乡村旅游、文化创意、田园综合体，着力做好“一镇一品”“一村一业”，着力延续农民增收势头。加强扶贫项目资金资产管理和监督，建立健全资产管理制度，继续做好“四带一自”产业扶贫，改善乡村产业发展基础设施和生产条件，培育壮大乡村特色产业。扶持壮大村级集体经济，全面消除薄弱村，持续夯实脱贫攻坚成果巩固基础。保持财力投入力度总体稳定。持续提高农民科技文化素质，继续实施科技扶贫、技能培训等，推动乡村人才振兴，促进文明乡风的形成。加快推进脱贫巩固与乡村振兴融合互促，形成一批可复制可推广的东至经验做法。</w:t>
      </w:r>
    </w:p>
    <w:p>
      <w:pPr>
        <w:shd w:val="clear" w:color="auto" w:fill="FFFFFF"/>
        <w:spacing w:line="600" w:lineRule="exact"/>
        <w:rPr>
          <w:rFonts w:ascii="方正小标宋简体" w:hAnsi="华文楷体" w:eastAsia="方正小标宋简体" w:cs="华文楷体"/>
          <w:w w:val="90"/>
          <w:sz w:val="36"/>
          <w:szCs w:val="36"/>
        </w:rPr>
      </w:pPr>
      <w:bookmarkStart w:id="99" w:name="_Toc58430127"/>
      <w:bookmarkStart w:id="100" w:name="_Toc24971"/>
      <w:r>
        <w:rPr>
          <w:rFonts w:ascii="??_GB2312" w:hAnsi="宋体" w:eastAsia="Times New Roman" w:cs="宋体"/>
          <w:sz w:val="32"/>
          <w:szCs w:val="32"/>
        </w:rPr>
        <w:br w:type="page"/>
      </w:r>
      <w:r>
        <w:rPr>
          <w:rFonts w:hint="eastAsia" w:ascii="方正小标宋简体" w:hAnsi="华文楷体" w:eastAsia="方正小标宋简体" w:cs="华文楷体"/>
          <w:b/>
          <w:kern w:val="44"/>
          <w:sz w:val="36"/>
          <w:szCs w:val="36"/>
        </w:rPr>
        <w:t>第七篇</w:t>
      </w:r>
      <w:bookmarkEnd w:id="99"/>
      <w:bookmarkEnd w:id="100"/>
      <w:r>
        <w:rPr>
          <w:rFonts w:hint="eastAsia" w:ascii="方正小标宋简体" w:hAnsi="华文楷体" w:eastAsia="方正小标宋简体" w:cs="华文楷体"/>
          <w:b/>
          <w:kern w:val="44"/>
          <w:sz w:val="36"/>
          <w:szCs w:val="36"/>
        </w:rPr>
        <w:t>加快山城向滨江城市转型，构建现代化城镇体系</w:t>
      </w:r>
    </w:p>
    <w:p>
      <w:pPr>
        <w:shd w:val="clear" w:color="auto" w:fill="FFFFFF"/>
        <w:spacing w:line="600" w:lineRule="exact"/>
        <w:ind w:firstLine="640" w:firstLineChars="200"/>
        <w:rPr>
          <w:rFonts w:ascii="??_GB2312" w:hAnsi="宋体" w:eastAsia="Times New Roman" w:cs="宋体"/>
          <w:sz w:val="32"/>
          <w:szCs w:val="32"/>
        </w:rPr>
      </w:pPr>
    </w:p>
    <w:p>
      <w:pPr>
        <w:shd w:val="clear" w:color="auto" w:fill="FFFFFF"/>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集约发展，全面贯彻主体功能区战略，大力推进新型城镇化进程，以促进人的城镇化为核心，加快尧东一体化发展，加快推进城镇特色化发展，提升基础设施承载能力，走城乡融合发展道路，逐步形成城市化地区、农产品主产区、生态功能区三大空间格局</w:t>
      </w:r>
      <w:bookmarkStart w:id="101" w:name="_Toc58430132"/>
      <w:bookmarkStart w:id="102" w:name="_Toc54004369"/>
      <w:bookmarkStart w:id="103" w:name="_Toc27630"/>
      <w:bookmarkStart w:id="104" w:name="_Toc58430128"/>
      <w:r>
        <w:rPr>
          <w:rFonts w:hint="eastAsia" w:ascii="仿宋_GB2312" w:hAnsi="宋体" w:eastAsia="仿宋_GB2312" w:cs="宋体"/>
          <w:sz w:val="30"/>
          <w:szCs w:val="30"/>
        </w:rPr>
        <w:t>。</w:t>
      </w:r>
    </w:p>
    <w:p>
      <w:pPr>
        <w:pStyle w:val="4"/>
        <w:spacing w:beforeLines="80" w:afterLines="80" w:line="570" w:lineRule="exact"/>
        <w:jc w:val="center"/>
        <w:rPr>
          <w:rFonts w:ascii="黑体" w:hAnsi="楷体" w:cs="楷体"/>
          <w:sz w:val="30"/>
          <w:szCs w:val="30"/>
        </w:rPr>
      </w:pPr>
      <w:bookmarkStart w:id="105" w:name="_Toc16237"/>
      <w:bookmarkStart w:id="106" w:name="_Toc2593"/>
      <w:r>
        <w:rPr>
          <w:rFonts w:hint="eastAsia" w:ascii="黑体" w:hAnsi="楷体" w:cs="楷体"/>
          <w:sz w:val="30"/>
          <w:szCs w:val="30"/>
        </w:rPr>
        <w:t>第一章优化生产力国土空间布局</w:t>
      </w:r>
      <w:bookmarkEnd w:id="105"/>
      <w:bookmarkEnd w:id="106"/>
    </w:p>
    <w:p>
      <w:pPr>
        <w:shd w:val="clear" w:color="auto" w:fill="FFFFFF"/>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城镇化带动和产城协同发展战略，基于不同区域的资源环境承载能力，完善区域功能区划，编制实施县乡国土空间规划，统筹划定生态、农业、城镇三类空间和生态保护红线、永久基本农田、城镇开发边界三条控制线，编制成片开发方案，建立土地储备项目库，优化重大基础设施、重大生产力和公共资源布局，形成主体功能明显、优势互补、高质量发展的国土空间开发保护新格局。推动空间规划与专项规划、详细规划有机衔接，实现“多规合一”，切实优化县域生产力空间布局，构建全县国土空间开发保护新格局。</w:t>
      </w:r>
    </w:p>
    <w:p>
      <w:pPr>
        <w:pStyle w:val="4"/>
        <w:spacing w:beforeLines="80" w:afterLines="80" w:line="570" w:lineRule="exact"/>
        <w:jc w:val="center"/>
        <w:rPr>
          <w:rFonts w:ascii="黑体" w:hAnsi="楷体" w:cs="楷体"/>
          <w:sz w:val="30"/>
          <w:szCs w:val="30"/>
        </w:rPr>
      </w:pPr>
      <w:bookmarkStart w:id="107" w:name="_Toc20356"/>
      <w:r>
        <w:rPr>
          <w:rFonts w:hint="eastAsia" w:ascii="黑体" w:hAnsi="楷体" w:cs="楷体"/>
          <w:sz w:val="30"/>
          <w:szCs w:val="30"/>
        </w:rPr>
        <w:t>第二章</w:t>
      </w:r>
      <w:bookmarkEnd w:id="101"/>
      <w:r>
        <w:rPr>
          <w:rFonts w:hint="eastAsia" w:ascii="黑体" w:hAnsi="楷体" w:cs="楷体"/>
          <w:sz w:val="30"/>
          <w:szCs w:val="30"/>
        </w:rPr>
        <w:t>推进以人为核心的新型城镇化</w:t>
      </w:r>
      <w:bookmarkEnd w:id="107"/>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完善城乡布局结构。</w:t>
      </w:r>
      <w:r>
        <w:rPr>
          <w:rFonts w:hint="eastAsia" w:ascii="仿宋_GB2312" w:hAnsi="宋体" w:eastAsia="仿宋_GB2312" w:cs="宋体"/>
          <w:sz w:val="30"/>
          <w:szCs w:val="30"/>
        </w:rPr>
        <w:t>健全城乡融合发展机制，推动城乡要素平等交换、双向流动，增强农业农村发展活力。统筹推进新型城镇化和美丽乡村建设，着力形成城乡一体、区域联动的发展新格局。推进乡村规划工作，完善乡村规划体系，编制实用性村庄规划，提高乡村规划设计水平。结合农民生产生活半径，尊重群众意愿，合理确定县域村庄布局和规模，合理布局和引导城市空间错位发展，合理管控城镇结构和人口规模，加快农业转移人口市民化，推动产业布局、生态保护、环境治理等协调联动，优化城镇功能布局和空间形态。</w:t>
      </w:r>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优化城市发展空间。</w:t>
      </w:r>
      <w:r>
        <w:rPr>
          <w:rFonts w:hint="eastAsia" w:ascii="仿宋_GB2312" w:hAnsi="宋体" w:eastAsia="仿宋_GB2312" w:cs="宋体"/>
          <w:sz w:val="30"/>
          <w:szCs w:val="30"/>
        </w:rPr>
        <w:t>统筹推动城市建设与历史文化保护、城市风貌分层构建，逐渐形成东至县国土空间开发保护“一张图”。实施活水、靓城、显山、增绿工程，加快建设一批精品道路、精品公园、特色街区，提升城市美誉度。持续推进城市生态修复、功能完善工程，统筹城市规划、建设、管理，合理确定城市规模、人口密度、空间结构，促进城市空间扩容、有机更新，争创省级新型城镇化示范县城、卫生城市，打造池州西南向协同发展示范区。</w:t>
      </w:r>
    </w:p>
    <w:p>
      <w:pPr>
        <w:pStyle w:val="4"/>
        <w:spacing w:beforeLines="80" w:afterLines="80" w:line="570" w:lineRule="exact"/>
        <w:jc w:val="center"/>
        <w:rPr>
          <w:rFonts w:ascii="黑体" w:hAnsi="楷体" w:cs="楷体"/>
          <w:sz w:val="30"/>
          <w:szCs w:val="30"/>
        </w:rPr>
      </w:pPr>
      <w:bookmarkStart w:id="108" w:name="_Toc24698"/>
      <w:r>
        <w:rPr>
          <w:rFonts w:hint="eastAsia" w:ascii="黑体" w:hAnsi="楷体" w:cs="楷体"/>
          <w:sz w:val="30"/>
          <w:szCs w:val="30"/>
        </w:rPr>
        <w:t>第三章</w:t>
      </w:r>
      <w:bookmarkEnd w:id="102"/>
      <w:bookmarkEnd w:id="103"/>
      <w:bookmarkEnd w:id="104"/>
      <w:r>
        <w:rPr>
          <w:rFonts w:hint="eastAsia" w:ascii="黑体" w:hAnsi="楷体" w:cs="楷体"/>
          <w:sz w:val="30"/>
          <w:szCs w:val="30"/>
        </w:rPr>
        <w:t>提升城市形象和城市品位</w:t>
      </w:r>
      <w:bookmarkEnd w:id="108"/>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加快舜城新区建设。</w:t>
      </w:r>
      <w:r>
        <w:rPr>
          <w:rFonts w:hint="eastAsia" w:ascii="仿宋_GB2312" w:hAnsi="宋体" w:eastAsia="仿宋_GB2312" w:cs="宋体"/>
          <w:sz w:val="30"/>
          <w:szCs w:val="30"/>
        </w:rPr>
        <w:t>保持好舜城新区的山水肌理，高起点编制《舜城新区控规》《舜城新区城市设计》。创新新区开发模式，加快推进教育园区、安置房、基础设施建设，加快尧东一体化滨河生态廊道建设，做好舜城新区产业布局，将舜城新区打造成“科教新城、生态绿城、生活慢城”。编制实施土地征收成片开发计划，推进教育园区、火车站站前区、滨湖新区连片发展，建成</w:t>
      </w:r>
      <w:r>
        <w:rPr>
          <w:rFonts w:ascii="仿宋_GB2312" w:hAnsi="宋体" w:eastAsia="仿宋_GB2312" w:cs="宋体"/>
          <w:sz w:val="30"/>
          <w:szCs w:val="30"/>
        </w:rPr>
        <w:t>15</w:t>
      </w:r>
      <w:r>
        <w:rPr>
          <w:rFonts w:hint="eastAsia" w:ascii="仿宋_GB2312" w:hAnsi="宋体" w:eastAsia="仿宋_GB2312" w:cs="宋体"/>
          <w:sz w:val="30"/>
          <w:szCs w:val="30"/>
        </w:rPr>
        <w:t>万人口规模的县域中心城市。</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加快推进尧东一体化。</w:t>
      </w:r>
      <w:r>
        <w:rPr>
          <w:rFonts w:hint="eastAsia" w:ascii="仿宋_GB2312" w:hAnsi="宋体" w:eastAsia="仿宋_GB2312" w:cs="宋体"/>
          <w:sz w:val="30"/>
          <w:szCs w:val="30"/>
        </w:rPr>
        <w:t>持续推进城市有机更新，实施“城市双修”工程，加快舜城新区建设，完善市政管网设施，高水平建设水电路气、污水处理、道路绿化等市政基础设施，推动实施亮点工程、精品工程、民心工程，补齐城市功能短板，扩容城区空间布局。实施尧渡城区水系综合治理工程，推进实施尧渡河复航工程，推进菊城城区建设，力促基础设施一体化、产业布局一体化、公共服务一体化，推动东至由“山城”向“滨江城市”转型发展。</w:t>
      </w:r>
    </w:p>
    <w:p>
      <w:pPr>
        <w:spacing w:line="570" w:lineRule="exact"/>
        <w:ind w:firstLine="596" w:firstLineChars="198"/>
        <w:rPr>
          <w:rFonts w:ascii="仿宋_GB2312" w:hAnsi="宋体" w:eastAsia="仿宋_GB2312" w:cs="宋体"/>
          <w:sz w:val="30"/>
          <w:szCs w:val="30"/>
        </w:rPr>
      </w:pPr>
      <w:r>
        <w:rPr>
          <w:rFonts w:hint="eastAsia" w:ascii="楷体_GB2312" w:hAnsi="楷体" w:eastAsia="楷体_GB2312" w:cs="楷体"/>
          <w:b/>
          <w:bCs/>
          <w:sz w:val="30"/>
          <w:szCs w:val="30"/>
        </w:rPr>
        <w:t>完善城市功能。</w:t>
      </w:r>
      <w:r>
        <w:rPr>
          <w:rFonts w:hint="eastAsia" w:ascii="仿宋_GB2312" w:hAnsi="宋体" w:eastAsia="仿宋_GB2312" w:cs="宋体"/>
          <w:sz w:val="30"/>
          <w:szCs w:val="30"/>
        </w:rPr>
        <w:t>高标准完善教育、文化、卫生、体育等公共设施，高质量提升商贸、居住、生态等配套功能，打造夜景景观体系，打造各片区功能完备的半小时生活圈。实施县城防洪提升工程，建设海绵城市、韧性城市，提升城市水系、绿地内涝消化能力，有序推进环湖环河周边区域、城区小街小巷整治和积涝点治理，有效防治城市内涝。实施城区雨污混接整治、水环境综合治理工程，落实固体废物源头管控和网格化监管。完成尧渡老河生态补水工程，实施老城区雨、污分流管网改造，进一步统筹提升城乡污水、垃圾收集处理能力。加快城镇老旧小区改造、棚户区改造和社区建设。有效增加保障性住房供给，扩大保障性租赁住房供给，促进房地产市场平稳健康发展。</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提升城市管理。</w:t>
      </w:r>
      <w:r>
        <w:rPr>
          <w:rFonts w:hint="eastAsia" w:ascii="仿宋_GB2312" w:hAnsi="宋体" w:eastAsia="仿宋_GB2312" w:cs="宋体"/>
          <w:sz w:val="30"/>
          <w:szCs w:val="30"/>
        </w:rPr>
        <w:t>深化综合行政执法、环卫、住建系统执法等体制改革，健全城市管理绣花功夫的体制保障，构建“大城管”城市综合管理体系。强化常态长效城市管理，全面推动数字城管顺畅运行，完善与池州同步的“智慧环卫”的联动升级，推进城市管理的提速提效提品提质，提升城市管理现代化水平。持续推进“三线三边”和城乡环境整治，促进城镇垃圾处理全覆盖，倡导垃圾分类生活新时尚，全面推进城市生活垃圾分类，提升城市品质，争创省级新型城镇化示范县城、卫生城市。</w:t>
      </w:r>
    </w:p>
    <w:p>
      <w:pPr>
        <w:pStyle w:val="2"/>
      </w:pPr>
    </w:p>
    <w:p>
      <w:pPr>
        <w:spacing w:line="600" w:lineRule="exact"/>
        <w:jc w:val="center"/>
        <w:rPr>
          <w:rFonts w:ascii="黑体" w:hAnsi="??_GB2312" w:eastAsia="黑体" w:cs="??_GB2312"/>
          <w:bCs/>
          <w:sz w:val="32"/>
          <w:szCs w:val="32"/>
        </w:rPr>
      </w:pPr>
      <w:r>
        <w:rPr>
          <w:rFonts w:hint="eastAsia" w:ascii="黑体" w:hAnsi="??" w:eastAsia="黑体"/>
          <w:bCs/>
          <w:sz w:val="28"/>
          <w:szCs w:val="28"/>
        </w:rPr>
        <w:t>专栏</w:t>
      </w:r>
      <w:r>
        <w:rPr>
          <w:rFonts w:ascii="黑体" w:hAnsi="??" w:eastAsia="黑体"/>
          <w:bCs/>
          <w:sz w:val="28"/>
          <w:szCs w:val="28"/>
        </w:rPr>
        <w:t xml:space="preserve">9 </w:t>
      </w:r>
      <w:r>
        <w:rPr>
          <w:rFonts w:hint="eastAsia" w:ascii="黑体" w:hAnsi="黑体" w:eastAsia="黑体"/>
          <w:bCs/>
          <w:sz w:val="28"/>
          <w:szCs w:val="28"/>
        </w:rPr>
        <w:t>城市建设重点项目</w:t>
      </w:r>
    </w:p>
    <w:tbl>
      <w:tblPr>
        <w:tblStyle w:val="13"/>
        <w:tblW w:w="86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9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699" w:type="dxa"/>
          </w:tcPr>
          <w:p>
            <w:pPr>
              <w:spacing w:line="570" w:lineRule="exact"/>
              <w:ind w:firstLine="562" w:firstLineChars="200"/>
              <w:rPr>
                <w:rFonts w:ascii="仿宋_GB2312" w:eastAsia="仿宋_GB2312"/>
                <w:sz w:val="28"/>
                <w:szCs w:val="28"/>
              </w:rPr>
            </w:pPr>
            <w:r>
              <w:rPr>
                <w:rFonts w:hint="eastAsia" w:ascii="楷体_GB2312" w:hAnsi="华文楷体" w:eastAsia="楷体_GB2312" w:cs="华文楷体"/>
                <w:b/>
                <w:bCs/>
                <w:sz w:val="28"/>
                <w:szCs w:val="28"/>
              </w:rPr>
              <w:t>市政建设：</w:t>
            </w:r>
            <w:r>
              <w:rPr>
                <w:rFonts w:hint="eastAsia" w:ascii="仿宋_GB2312" w:eastAsia="仿宋_GB2312"/>
                <w:sz w:val="28"/>
                <w:szCs w:val="28"/>
              </w:rPr>
              <w:t>舜城新区路网工程、尧东滨河绿道、大渡口经开区拓展区道路建设、大渡口经开区道路提升、香隅镇产业大道、尧渡老街历史街区修复与保护、建设南路安置房、尧北路嘉瑞年华小区安置房、舜城新区安置房、</w:t>
            </w:r>
            <w:r>
              <w:rPr>
                <w:rFonts w:ascii="仿宋_GB2312" w:eastAsia="仿宋_GB2312"/>
                <w:sz w:val="28"/>
                <w:szCs w:val="28"/>
              </w:rPr>
              <w:t>DZCB-3</w:t>
            </w:r>
            <w:r>
              <w:rPr>
                <w:rFonts w:hint="eastAsia" w:ascii="仿宋_GB2312" w:eastAsia="仿宋_GB2312"/>
                <w:sz w:val="28"/>
                <w:szCs w:val="28"/>
              </w:rPr>
              <w:t>地块房地产开发、尧渡镇詹山安置房、舜城新区城市基础服务设施建设、城镇老旧小区改造、舜城新区“光耀城市”建设、舜城新区挑口住宅小区、毛田村安置房及配套设施建设、尧渡镇棚户区改造、东流老街修复（复建）与保护、大渡口经开区仙寓山小区拆迁安置房等项目。</w:t>
            </w:r>
          </w:p>
          <w:p>
            <w:pPr>
              <w:spacing w:line="570" w:lineRule="exact"/>
              <w:ind w:firstLine="551" w:firstLineChars="196"/>
              <w:rPr>
                <w:rFonts w:ascii="??_GB2312" w:eastAsia="Times New Roman"/>
                <w:sz w:val="28"/>
                <w:szCs w:val="28"/>
              </w:rPr>
            </w:pPr>
            <w:r>
              <w:rPr>
                <w:rFonts w:hint="eastAsia" w:ascii="楷体_GB2312" w:hAnsi="华文楷体" w:eastAsia="楷体_GB2312" w:cs="华文楷体"/>
                <w:b/>
                <w:bCs/>
                <w:sz w:val="28"/>
                <w:szCs w:val="28"/>
              </w:rPr>
              <w:t>市政配套：</w:t>
            </w:r>
            <w:r>
              <w:rPr>
                <w:rFonts w:hint="eastAsia" w:ascii="仿宋_GB2312" w:eastAsia="仿宋_GB2312"/>
                <w:sz w:val="28"/>
                <w:szCs w:val="28"/>
              </w:rPr>
              <w:t>东至县城乡供水一体化、滨湖区和站前区地下综合管廊建设、县主城区污水管网改造提升、县城强电下地工程、县城排水防涝系统化工程、龙江水厂改扩建、县城污水处理厂二期工程、东至经开区污水处理厂二期工程、东至经开区综合管廊、东至经开区工业废料综合处置工程、农村污水处理</w:t>
            </w:r>
            <w:r>
              <w:rPr>
                <w:rFonts w:ascii="仿宋_GB2312" w:eastAsia="仿宋_GB2312"/>
                <w:sz w:val="28"/>
                <w:szCs w:val="28"/>
              </w:rPr>
              <w:t>PPP</w:t>
            </w:r>
            <w:r>
              <w:rPr>
                <w:rFonts w:hint="eastAsia" w:ascii="仿宋_GB2312" w:eastAsia="仿宋_GB2312"/>
                <w:sz w:val="28"/>
                <w:szCs w:val="28"/>
              </w:rPr>
              <w:t>、城乡路网升级改造、东流老街陶公文化旅游街区配套基础设施建设等项目。</w:t>
            </w:r>
          </w:p>
        </w:tc>
      </w:tr>
    </w:tbl>
    <w:p>
      <w:pPr>
        <w:pStyle w:val="4"/>
        <w:spacing w:beforeLines="80" w:afterLines="80" w:line="570" w:lineRule="exact"/>
        <w:jc w:val="center"/>
        <w:rPr>
          <w:rFonts w:ascii="黑体" w:hAnsi="楷体" w:cs="楷体"/>
          <w:sz w:val="30"/>
          <w:szCs w:val="30"/>
        </w:rPr>
      </w:pPr>
      <w:bookmarkStart w:id="109" w:name="_Toc58430130"/>
      <w:bookmarkStart w:id="110" w:name="_Toc54004371"/>
      <w:bookmarkStart w:id="111" w:name="_Toc13580"/>
      <w:bookmarkStart w:id="112" w:name="_Toc28314"/>
      <w:r>
        <w:rPr>
          <w:rFonts w:hint="eastAsia" w:ascii="黑体" w:hAnsi="楷体" w:cs="楷体"/>
          <w:sz w:val="30"/>
          <w:szCs w:val="30"/>
        </w:rPr>
        <w:t>第四章全力</w:t>
      </w:r>
      <w:bookmarkEnd w:id="109"/>
      <w:bookmarkEnd w:id="110"/>
      <w:bookmarkEnd w:id="111"/>
      <w:r>
        <w:rPr>
          <w:rFonts w:hint="eastAsia" w:ascii="黑体" w:hAnsi="楷体" w:cs="楷体"/>
          <w:sz w:val="30"/>
          <w:szCs w:val="30"/>
        </w:rPr>
        <w:t>推动乡镇特色化发展</w:t>
      </w:r>
      <w:bookmarkEnd w:id="112"/>
    </w:p>
    <w:p>
      <w:pPr>
        <w:pStyle w:val="2"/>
        <w:widowControl/>
        <w:snapToGrid w:val="0"/>
        <w:spacing w:line="570" w:lineRule="exact"/>
        <w:ind w:left="0" w:leftChars="0"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推动乡镇分类发展。</w:t>
      </w:r>
      <w:r>
        <w:rPr>
          <w:rFonts w:hint="eastAsia" w:ascii="仿宋_GB2312" w:hAnsi="宋体" w:eastAsia="仿宋_GB2312" w:cs="宋体"/>
          <w:sz w:val="30"/>
          <w:szCs w:val="30"/>
        </w:rPr>
        <w:t>基于发展基础、区位条件、资源禀赋等因素，探索实施乡镇分类指导、分类考核。持续推进新型城镇化建设发展，充分发挥乡镇作为城乡一体化发展的重要载体作用，提高尧渡、大渡口、东流、香隅城镇化水平。重点强化城区与毗邻乡镇的协同发展，共享城区公共设施配套和交通设施，着力推进经济强镇基础设施和配套服务功能的现代化，加快发展先进制造业和现代服务业，加快推动具有特色产业乡镇培育发展新兴产业，按镇级市和经济发达镇标准培育打造一批产业突出的经济强镇，在南部山区选择若干个经济强镇建设为中心镇，推动龙泉镇打造南部山区经济发达镇、省际有影响力的边界镇。积极支持资源丰富乡镇发展旅游度假、康体娱乐、都市农业观光等产业，打造一批突出生态休闲和民族风情的文旅和商贸乡镇。</w:t>
      </w:r>
    </w:p>
    <w:p>
      <w:pPr>
        <w:pStyle w:val="2"/>
        <w:widowControl/>
        <w:snapToGrid w:val="0"/>
        <w:spacing w:line="570" w:lineRule="exact"/>
        <w:ind w:left="0" w:leftChars="0" w:firstLine="602" w:firstLineChars="200"/>
        <w:rPr>
          <w:rFonts w:ascii="仿宋_GB2312" w:eastAsia="仿宋_GB2312"/>
          <w:sz w:val="30"/>
          <w:szCs w:val="30"/>
        </w:rPr>
      </w:pPr>
      <w:r>
        <w:rPr>
          <w:rFonts w:hint="eastAsia" w:ascii="楷体_GB2312" w:hAnsi="楷体" w:eastAsia="楷体_GB2312" w:cs="楷体"/>
          <w:b/>
          <w:bCs/>
          <w:sz w:val="30"/>
          <w:szCs w:val="30"/>
        </w:rPr>
        <w:t>打造特色镇域经济。</w:t>
      </w:r>
      <w:r>
        <w:rPr>
          <w:rFonts w:hint="eastAsia" w:ascii="仿宋_GB2312" w:hAnsi="宋体" w:eastAsia="仿宋_GB2312" w:cs="宋体"/>
          <w:sz w:val="30"/>
          <w:szCs w:val="30"/>
        </w:rPr>
        <w:t>实施镇域经济崛起工程，鼓励乡镇培育“双创”产业园，鼓励发展“飞地经济”，建立乡镇与开发区项目统筹落户与税收分成机制，支持成熟的“双创”产业园纳入省级开发区“飞地园区”管理。鼓励乡镇发展特色小镇，强化资金、土地、人才、先行先试权等政策支持，打造特色小镇示范样板，形成可复制可推广经验模式。持续加强尧渡袜业小镇建设，加快创建东流文旅小镇、龙泉樱花小镇、木塔红旅小镇、泥溪食旅小镇、花园茶旅风情小镇、香隅温泉小镇、官港山货小镇、胜利康养小镇、葛公茶饮小镇、张溪电商小镇等特色城镇，加快形成各具特色的镇域支柱产业，形成“一镇一特色”的良好布局。</w:t>
      </w:r>
    </w:p>
    <w:p>
      <w:pPr>
        <w:pStyle w:val="4"/>
        <w:spacing w:beforeLines="80" w:afterLines="80" w:line="570" w:lineRule="exact"/>
        <w:jc w:val="center"/>
        <w:rPr>
          <w:rFonts w:ascii="黑体" w:hAnsi="楷体" w:cs="楷体"/>
          <w:sz w:val="30"/>
          <w:szCs w:val="30"/>
        </w:rPr>
      </w:pPr>
      <w:bookmarkStart w:id="113" w:name="_Toc3573"/>
      <w:bookmarkStart w:id="114" w:name="_Toc58430131"/>
      <w:bookmarkStart w:id="115" w:name="_Toc54004380"/>
      <w:bookmarkStart w:id="116" w:name="_Toc13087"/>
      <w:bookmarkStart w:id="117" w:name="_Toc17634"/>
      <w:bookmarkStart w:id="118" w:name="_Toc54004374"/>
      <w:r>
        <w:rPr>
          <w:rFonts w:hint="eastAsia" w:ascii="黑体" w:hAnsi="楷体" w:cs="楷体"/>
          <w:sz w:val="30"/>
          <w:szCs w:val="30"/>
        </w:rPr>
        <w:t>第五章</w:t>
      </w:r>
      <w:bookmarkEnd w:id="113"/>
      <w:bookmarkEnd w:id="114"/>
      <w:bookmarkEnd w:id="115"/>
      <w:r>
        <w:rPr>
          <w:rFonts w:hint="eastAsia" w:ascii="黑体" w:hAnsi="楷体" w:cs="楷体"/>
          <w:sz w:val="30"/>
          <w:szCs w:val="30"/>
        </w:rPr>
        <w:t>持续夯实基础设施体系</w:t>
      </w:r>
      <w:bookmarkEnd w:id="116"/>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加快推进基础设施补短板。</w:t>
      </w:r>
      <w:r>
        <w:rPr>
          <w:rFonts w:hint="eastAsia" w:ascii="仿宋_GB2312" w:hAnsi="宋体" w:eastAsia="仿宋_GB2312" w:cs="宋体"/>
          <w:sz w:val="30"/>
          <w:szCs w:val="30"/>
        </w:rPr>
        <w:t>聚焦全面加强基础设施，加快推进基础设施现代化、布局网络化和建设人性化，全面提升城市基础设施承载力与要素资源活力，构建系统完备、高效实用、智能绿色、安全可靠的现代化基础设施体系。实施开发区基础设施提质增效行动，布局园区新型基础设施，补齐交通、水利等“老基建”重点领域短板，强化重大基础设施和新型基础设施建设，加快布局和建设数字转型、智能升级、融合创新等“新基建”，形成“老基建”托底、“新基建”赋能的良好局面。</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构建现代化综合立体交通网络。</w:t>
      </w:r>
      <w:r>
        <w:rPr>
          <w:rFonts w:hint="eastAsia" w:ascii="仿宋_GB2312" w:hAnsi="宋体" w:eastAsia="仿宋_GB2312" w:cs="宋体"/>
          <w:sz w:val="30"/>
          <w:szCs w:val="30"/>
        </w:rPr>
        <w:t>贯彻落实《交通强国建设纲要》，推动交通发展方式转变，全方位推动基础设施联网优化、运输服务提质升级、各种交通运输形式融合发展，加快构建现代化综合交通体系。谋划建设通用机场。推进基础设施互联互通，推动高速铁路前期工作有实质性进展，力争融入轨道上的长三角，全力推进池州</w:t>
      </w:r>
      <w:r>
        <w:rPr>
          <w:rFonts w:ascii="仿宋_GB2312" w:hAnsi="宋体" w:eastAsia="仿宋_GB2312" w:cs="宋体"/>
          <w:sz w:val="30"/>
          <w:szCs w:val="30"/>
        </w:rPr>
        <w:t>-</w:t>
      </w:r>
      <w:r>
        <w:rPr>
          <w:rFonts w:hint="eastAsia" w:ascii="仿宋_GB2312" w:hAnsi="宋体" w:eastAsia="仿宋_GB2312" w:cs="宋体"/>
          <w:sz w:val="30"/>
          <w:szCs w:val="30"/>
        </w:rPr>
        <w:t>东至</w:t>
      </w:r>
      <w:r>
        <w:rPr>
          <w:rFonts w:ascii="仿宋_GB2312" w:hAnsi="宋体" w:eastAsia="仿宋_GB2312" w:cs="宋体"/>
          <w:sz w:val="30"/>
          <w:szCs w:val="30"/>
        </w:rPr>
        <w:t>-</w:t>
      </w:r>
      <w:r>
        <w:rPr>
          <w:rFonts w:hint="eastAsia" w:ascii="仿宋_GB2312" w:hAnsi="宋体" w:eastAsia="仿宋_GB2312" w:cs="宋体"/>
          <w:sz w:val="30"/>
          <w:szCs w:val="30"/>
        </w:rPr>
        <w:t>九江（南沿江）、宿松</w:t>
      </w:r>
      <w:r>
        <w:rPr>
          <w:rFonts w:ascii="仿宋_GB2312" w:hAnsi="宋体" w:eastAsia="仿宋_GB2312" w:cs="宋体"/>
          <w:sz w:val="30"/>
          <w:szCs w:val="30"/>
        </w:rPr>
        <w:t>-</w:t>
      </w:r>
      <w:r>
        <w:rPr>
          <w:rFonts w:hint="eastAsia" w:ascii="仿宋_GB2312" w:hAnsi="宋体" w:eastAsia="仿宋_GB2312" w:cs="宋体"/>
          <w:sz w:val="30"/>
          <w:szCs w:val="30"/>
        </w:rPr>
        <w:t>望江</w:t>
      </w:r>
      <w:r>
        <w:rPr>
          <w:rFonts w:ascii="仿宋_GB2312" w:hAnsi="宋体" w:eastAsia="仿宋_GB2312" w:cs="宋体"/>
          <w:sz w:val="30"/>
          <w:szCs w:val="30"/>
        </w:rPr>
        <w:t>-</w:t>
      </w:r>
      <w:r>
        <w:rPr>
          <w:rFonts w:hint="eastAsia" w:ascii="仿宋_GB2312" w:hAnsi="宋体" w:eastAsia="仿宋_GB2312" w:cs="宋体"/>
          <w:sz w:val="30"/>
          <w:szCs w:val="30"/>
        </w:rPr>
        <w:t>东至</w:t>
      </w:r>
      <w:r>
        <w:rPr>
          <w:rFonts w:ascii="仿宋_GB2312" w:hAnsi="宋体" w:eastAsia="仿宋_GB2312" w:cs="宋体"/>
          <w:sz w:val="30"/>
          <w:szCs w:val="30"/>
        </w:rPr>
        <w:t>-</w:t>
      </w:r>
      <w:r>
        <w:rPr>
          <w:rFonts w:hint="eastAsia" w:ascii="仿宋_GB2312" w:hAnsi="宋体" w:eastAsia="仿宋_GB2312" w:cs="宋体"/>
          <w:sz w:val="30"/>
          <w:szCs w:val="30"/>
        </w:rPr>
        <w:t>宣城等高速铁路和东至</w:t>
      </w:r>
      <w:r>
        <w:rPr>
          <w:rFonts w:ascii="仿宋_GB2312" w:hAnsi="宋体" w:eastAsia="仿宋_GB2312" w:cs="宋体"/>
          <w:sz w:val="30"/>
          <w:szCs w:val="30"/>
        </w:rPr>
        <w:t>-</w:t>
      </w:r>
      <w:r>
        <w:rPr>
          <w:rFonts w:hint="eastAsia" w:ascii="仿宋_GB2312" w:hAnsi="宋体" w:eastAsia="仿宋_GB2312" w:cs="宋体"/>
          <w:sz w:val="30"/>
          <w:szCs w:val="30"/>
        </w:rPr>
        <w:t>鄱阳（良田</w:t>
      </w:r>
      <w:r>
        <w:rPr>
          <w:rFonts w:ascii="仿宋_GB2312" w:hAnsi="宋体" w:eastAsia="仿宋_GB2312" w:cs="宋体"/>
          <w:sz w:val="30"/>
          <w:szCs w:val="30"/>
        </w:rPr>
        <w:t>-</w:t>
      </w:r>
      <w:r>
        <w:rPr>
          <w:rFonts w:hint="eastAsia" w:ascii="仿宋_GB2312" w:hAnsi="宋体" w:eastAsia="仿宋_GB2312" w:cs="宋体"/>
          <w:sz w:val="30"/>
          <w:szCs w:val="30"/>
        </w:rPr>
        <w:t>田畈街）、东至</w:t>
      </w:r>
      <w:r>
        <w:rPr>
          <w:rFonts w:ascii="仿宋_GB2312" w:hAnsi="宋体" w:eastAsia="仿宋_GB2312" w:cs="宋体"/>
          <w:sz w:val="30"/>
          <w:szCs w:val="30"/>
        </w:rPr>
        <w:t>-</w:t>
      </w:r>
      <w:r>
        <w:rPr>
          <w:rFonts w:hint="eastAsia" w:ascii="仿宋_GB2312" w:hAnsi="宋体" w:eastAsia="仿宋_GB2312" w:cs="宋体"/>
          <w:sz w:val="30"/>
          <w:szCs w:val="30"/>
        </w:rPr>
        <w:t>石台</w:t>
      </w:r>
      <w:r>
        <w:rPr>
          <w:rFonts w:ascii="仿宋_GB2312" w:hAnsi="宋体" w:eastAsia="仿宋_GB2312" w:cs="宋体"/>
          <w:sz w:val="30"/>
          <w:szCs w:val="30"/>
        </w:rPr>
        <w:t>-</w:t>
      </w:r>
      <w:r>
        <w:rPr>
          <w:rFonts w:hint="eastAsia" w:ascii="仿宋_GB2312" w:hAnsi="宋体" w:eastAsia="仿宋_GB2312" w:cs="宋体"/>
          <w:sz w:val="30"/>
          <w:szCs w:val="30"/>
        </w:rPr>
        <w:t>宣城、东至</w:t>
      </w:r>
      <w:r>
        <w:rPr>
          <w:rFonts w:ascii="仿宋_GB2312" w:hAnsi="宋体" w:eastAsia="仿宋_GB2312" w:cs="宋体"/>
          <w:sz w:val="30"/>
          <w:szCs w:val="30"/>
        </w:rPr>
        <w:t>-</w:t>
      </w:r>
      <w:r>
        <w:rPr>
          <w:rFonts w:hint="eastAsia" w:ascii="仿宋_GB2312" w:hAnsi="宋体" w:eastAsia="仿宋_GB2312" w:cs="宋体"/>
          <w:sz w:val="30"/>
          <w:szCs w:val="30"/>
        </w:rPr>
        <w:t>太湖高速开展前期工作，积极争取安庆</w:t>
      </w:r>
      <w:r>
        <w:rPr>
          <w:rFonts w:ascii="仿宋_GB2312" w:hAnsi="宋体" w:eastAsia="仿宋_GB2312" w:cs="宋体"/>
          <w:sz w:val="30"/>
          <w:szCs w:val="30"/>
        </w:rPr>
        <w:t>-</w:t>
      </w:r>
      <w:r>
        <w:rPr>
          <w:rFonts w:hint="eastAsia" w:ascii="仿宋_GB2312" w:hAnsi="宋体" w:eastAsia="仿宋_GB2312" w:cs="宋体"/>
          <w:sz w:val="30"/>
          <w:szCs w:val="30"/>
        </w:rPr>
        <w:t>东至</w:t>
      </w:r>
      <w:r>
        <w:rPr>
          <w:rFonts w:ascii="仿宋_GB2312" w:hAnsi="宋体" w:eastAsia="仿宋_GB2312" w:cs="宋体"/>
          <w:sz w:val="30"/>
          <w:szCs w:val="30"/>
        </w:rPr>
        <w:t>-</w:t>
      </w:r>
      <w:r>
        <w:rPr>
          <w:rFonts w:hint="eastAsia" w:ascii="仿宋_GB2312" w:hAnsi="宋体" w:eastAsia="仿宋_GB2312" w:cs="宋体"/>
          <w:sz w:val="30"/>
          <w:szCs w:val="30"/>
        </w:rPr>
        <w:t>景德镇高速铁路规划线型途经东至，加快推进济广高速在花园乡境内开通出口。完善全县公路网建设，完成</w:t>
      </w:r>
      <w:r>
        <w:rPr>
          <w:rFonts w:ascii="仿宋_GB2312" w:hAnsi="宋体" w:eastAsia="仿宋_GB2312" w:cs="宋体"/>
          <w:sz w:val="30"/>
          <w:szCs w:val="30"/>
        </w:rPr>
        <w:t>G530</w:t>
      </w:r>
      <w:r>
        <w:rPr>
          <w:rFonts w:hint="eastAsia" w:ascii="仿宋_GB2312" w:hAnsi="宋体" w:eastAsia="仿宋_GB2312" w:cs="宋体"/>
          <w:sz w:val="30"/>
          <w:szCs w:val="30"/>
        </w:rPr>
        <w:t>查桥至牛矶段、</w:t>
      </w:r>
      <w:r>
        <w:rPr>
          <w:rFonts w:ascii="仿宋_GB2312" w:hAnsi="宋体" w:eastAsia="仿宋_GB2312" w:cs="宋体"/>
          <w:sz w:val="30"/>
          <w:szCs w:val="30"/>
        </w:rPr>
        <w:t>G236</w:t>
      </w:r>
      <w:r>
        <w:rPr>
          <w:rFonts w:hint="eastAsia" w:ascii="仿宋_GB2312" w:hAnsi="宋体" w:eastAsia="仿宋_GB2312" w:cs="宋体"/>
          <w:sz w:val="30"/>
          <w:szCs w:val="30"/>
        </w:rPr>
        <w:t>殷汇至查桥段一级公路建设，推进</w:t>
      </w:r>
      <w:r>
        <w:rPr>
          <w:rFonts w:ascii="仿宋_GB2312" w:hAnsi="宋体" w:eastAsia="仿宋_GB2312" w:cs="宋体"/>
          <w:sz w:val="30"/>
          <w:szCs w:val="30"/>
        </w:rPr>
        <w:t>G236</w:t>
      </w:r>
      <w:r>
        <w:rPr>
          <w:rFonts w:hint="eastAsia" w:ascii="仿宋_GB2312" w:hAnsi="宋体" w:eastAsia="仿宋_GB2312" w:cs="宋体"/>
          <w:sz w:val="30"/>
          <w:szCs w:val="30"/>
        </w:rPr>
        <w:t>官港至龙泉段、南沿江一级公路大渡口至东流段、</w:t>
      </w:r>
      <w:r>
        <w:rPr>
          <w:rFonts w:ascii="仿宋_GB2312" w:hAnsi="宋体" w:eastAsia="仿宋_GB2312" w:cs="宋体"/>
          <w:sz w:val="30"/>
          <w:szCs w:val="30"/>
        </w:rPr>
        <w:t>G206</w:t>
      </w:r>
      <w:r>
        <w:rPr>
          <w:rFonts w:hint="eastAsia" w:ascii="仿宋_GB2312" w:hAnsi="宋体" w:eastAsia="仿宋_GB2312" w:cs="宋体"/>
          <w:sz w:val="30"/>
          <w:szCs w:val="30"/>
        </w:rPr>
        <w:t>尧渡至官港段、</w:t>
      </w:r>
      <w:r>
        <w:rPr>
          <w:rFonts w:ascii="仿宋_GB2312" w:hAnsi="宋体" w:eastAsia="仿宋_GB2312" w:cs="宋体"/>
          <w:sz w:val="30"/>
          <w:szCs w:val="30"/>
        </w:rPr>
        <w:t>G206</w:t>
      </w:r>
      <w:r>
        <w:rPr>
          <w:rFonts w:hint="eastAsia" w:ascii="仿宋_GB2312" w:hAnsi="宋体" w:eastAsia="仿宋_GB2312" w:cs="宋体"/>
          <w:sz w:val="30"/>
          <w:szCs w:val="30"/>
        </w:rPr>
        <w:t>大渡口至东流段、</w:t>
      </w:r>
      <w:r>
        <w:rPr>
          <w:rFonts w:ascii="仿宋_GB2312" w:hAnsi="宋体" w:eastAsia="仿宋_GB2312" w:cs="宋体"/>
          <w:sz w:val="30"/>
          <w:szCs w:val="30"/>
        </w:rPr>
        <w:t>S473</w:t>
      </w:r>
      <w:r>
        <w:rPr>
          <w:rFonts w:hint="eastAsia" w:ascii="仿宋_GB2312" w:hAnsi="宋体" w:eastAsia="仿宋_GB2312" w:cs="宋体"/>
          <w:sz w:val="30"/>
          <w:szCs w:val="30"/>
        </w:rPr>
        <w:t>源头至黄柏段改扩建和花园高速出口公路建设。持续推进“四好农村路”建设，实施县乡公路提质改造、建制村通双车道公路改造、资源路产业路旅游路、危桥改造、较大自然村通硬化路和农村公路养护工程、安全生命防护工程。加快构建高等级航道网，依托长江黄金水道，建成东至经开区长江干线铁水联运设施联通、长江干线武汉至安庆段航道整治（</w:t>
      </w:r>
      <w:r>
        <w:rPr>
          <w:rFonts w:ascii="仿宋_GB2312" w:hAnsi="宋体" w:eastAsia="仿宋_GB2312" w:cs="宋体"/>
          <w:sz w:val="30"/>
          <w:szCs w:val="30"/>
        </w:rPr>
        <w:t>V</w:t>
      </w:r>
      <w:r>
        <w:rPr>
          <w:rFonts w:hint="eastAsia" w:ascii="仿宋_GB2312" w:hAnsi="宋体" w:eastAsia="仿宋_GB2312" w:cs="宋体"/>
          <w:sz w:val="30"/>
          <w:szCs w:val="30"/>
        </w:rPr>
        <w:t>标段）工程、矿港廊一体化等重点项目。加快小散码头整合，推进东流、大渡口、香隅三大港区建设，打造沿江现代化码头和港口现代物流园。推进尧渡河航道疏浚项目，加快内河高等级航道建设。</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推进水利基础设施建设。</w:t>
      </w:r>
      <w:r>
        <w:rPr>
          <w:rFonts w:hint="eastAsia" w:ascii="仿宋_GB2312" w:hAnsi="宋体" w:eastAsia="仿宋_GB2312" w:cs="宋体"/>
          <w:sz w:val="30"/>
          <w:szCs w:val="30"/>
        </w:rPr>
        <w:t>提升水资源优化配置和水旱灾害防御能力，完善防洪保安体系建设，全面提升重要区域城防、镇防和堤防的防洪保安能力，谋划推进东至经开区防洪体系建设。加快灾后水利水毁修复和薄弱环节性治理，实施新一轮“一规四补”水利设施建设三年行动，打造现代化水网。推进省级开发区防洪提升工程、长江干堤提标升级和河道治理工程。系统治理尧渡河、黄湓河、龙泉河，实施中小水库除险加固、洪沟治理、重点中型灌区节水改造、重点闸站拆改建、杨墩排涝站拆除重建工程。谋划推动长江重点滩圩垸整治、尧渡河闸、枫林口水库、杨井坞水库、洪方水库建设。实施供水管网改造工程，持续推进城乡供水一体化，大力实施农村饮水安全提质增效工程，提升农村水利建设水平。</w:t>
      </w:r>
    </w:p>
    <w:p>
      <w:pPr>
        <w:spacing w:line="600" w:lineRule="exact"/>
        <w:jc w:val="center"/>
        <w:rPr>
          <w:rFonts w:ascii="黑体" w:hAnsi="宋体" w:eastAsia="黑体" w:cs="宋体"/>
          <w:sz w:val="32"/>
          <w:szCs w:val="32"/>
        </w:rPr>
      </w:pPr>
      <w:r>
        <w:rPr>
          <w:rFonts w:hint="eastAsia" w:ascii="黑体" w:hAnsi="??" w:eastAsia="黑体"/>
          <w:bCs/>
          <w:sz w:val="28"/>
          <w:szCs w:val="28"/>
        </w:rPr>
        <w:t>专栏</w:t>
      </w:r>
      <w:r>
        <w:rPr>
          <w:rFonts w:ascii="黑体" w:hAnsi="??" w:eastAsia="黑体"/>
          <w:bCs/>
          <w:sz w:val="28"/>
          <w:szCs w:val="28"/>
        </w:rPr>
        <w:t xml:space="preserve">10  </w:t>
      </w:r>
      <w:r>
        <w:rPr>
          <w:rFonts w:hint="eastAsia" w:ascii="黑体" w:hAnsi="黑体" w:eastAsia="黑体"/>
          <w:bCs/>
          <w:sz w:val="28"/>
          <w:szCs w:val="28"/>
        </w:rPr>
        <w:t>水利工程重点项目</w:t>
      </w:r>
    </w:p>
    <w:tbl>
      <w:tblPr>
        <w:tblStyle w:val="13"/>
        <w:tblW w:w="86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609" w:type="dxa"/>
          </w:tcPr>
          <w:p>
            <w:pPr>
              <w:pStyle w:val="2"/>
              <w:spacing w:line="540" w:lineRule="exact"/>
              <w:ind w:left="0" w:leftChars="0" w:firstLine="420" w:firstLineChars="150"/>
              <w:rPr>
                <w:rFonts w:ascii="仿宋_GB2312" w:eastAsia="仿宋_GB2312"/>
              </w:rPr>
            </w:pPr>
            <w:r>
              <w:rPr>
                <w:rFonts w:hint="eastAsia" w:ascii="仿宋_GB2312" w:hAnsi="仿宋" w:eastAsia="仿宋_GB2312" w:cs="仿宋"/>
                <w:sz w:val="28"/>
                <w:szCs w:val="28"/>
              </w:rPr>
              <w:t>长江池州河段河道综合整治工程、杨墩站（含北闸站）拆除重建工程、东至县水土保持工程、重点易涝区排涝泵站建设工程、尧渡河步头湾至欧窑段防洪治理工程、黄湓河流域水环境综合治理工程、黄湓河马田段防洪治理工程、黄湓河丁香段防洪治理工程、黄湓河板桥段防洪治理工程、黄湓河洪方段防洪治理工程、龙泉河流域水环境综合治理工程、龙泉河泥溪段防洪能力提升工程、龙泉河上游段防洪治理工程、龙泉河龙泉段防洪治理工程、龙泉河流域主干支流石城河中小流域灾后治理、尧渡河主干支流秧田畈河中小流域灾后治理、尧渡河欧窑至东流老闸段防洪治理工程、尧渡河香隅段防洪治理工程、尧渡河步头湾以上段防洪治理工程、七里湖人居水环境治理工程、七里湖低排渠支沟整治工程等项目，推进花园水库、洪方水库、枫林口水库新建工程前期工作。</w:t>
            </w:r>
          </w:p>
        </w:tc>
      </w:tr>
      <w:bookmarkEnd w:id="117"/>
      <w:bookmarkEnd w:id="118"/>
    </w:tbl>
    <w:p>
      <w:pPr>
        <w:pStyle w:val="3"/>
        <w:spacing w:before="0" w:after="0" w:line="600" w:lineRule="exact"/>
        <w:jc w:val="center"/>
        <w:rPr>
          <w:rFonts w:ascii="方正小标宋简体" w:hAnsi="华文楷体" w:eastAsia="方正小标宋简体" w:cs="华文楷体"/>
          <w:sz w:val="36"/>
          <w:szCs w:val="36"/>
        </w:rPr>
      </w:pPr>
      <w:bookmarkStart w:id="119" w:name="_Toc17170"/>
      <w:r>
        <w:rPr>
          <w:rFonts w:ascii="华文楷体" w:hAnsi="华文楷体" w:eastAsia="华文楷体" w:cs="华文楷体"/>
          <w:sz w:val="36"/>
          <w:szCs w:val="36"/>
        </w:rPr>
        <w:br w:type="page"/>
      </w:r>
      <w:r>
        <w:rPr>
          <w:rFonts w:hint="eastAsia" w:ascii="方正小标宋简体" w:hAnsi="华文楷体" w:eastAsia="方正小标宋简体" w:cs="华文楷体"/>
          <w:sz w:val="36"/>
          <w:szCs w:val="36"/>
        </w:rPr>
        <w:t>第八篇推动更深层次改革，全面激发内生发展新活力</w:t>
      </w:r>
      <w:bookmarkEnd w:id="119"/>
    </w:p>
    <w:p>
      <w:pPr>
        <w:shd w:val="clear" w:color="auto" w:fill="FFFFFF"/>
        <w:spacing w:line="600" w:lineRule="exact"/>
        <w:ind w:firstLine="640" w:firstLineChars="200"/>
        <w:rPr>
          <w:rFonts w:ascii="??_GB2312" w:hAnsi="宋体" w:eastAsia="Times New Roman" w:cs="宋体"/>
          <w:sz w:val="32"/>
          <w:szCs w:val="32"/>
        </w:rPr>
      </w:pPr>
    </w:p>
    <w:p>
      <w:pPr>
        <w:shd w:val="clear" w:color="auto" w:fill="FFFFFF"/>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发挥好改革的突破和先导作用，依靠改革破除发展瓶颈、汇聚发展优势、增强发展动力。持续巩固全面深化改革重要成果，扎实推进财税金融、行政管理等重点领域改革。加强改革系统集成、协调联动，进一步完善市场体系、激发各类市场主体活力，用深化改革的办法优化营商环境，在更高起点推进基础性关键改革，积极探索更多符合东至实际的“微改革”，持续增强高质量发展的内在动力和活力。</w:t>
      </w:r>
    </w:p>
    <w:p>
      <w:pPr>
        <w:pStyle w:val="4"/>
        <w:spacing w:beforeLines="80" w:afterLines="80" w:line="570" w:lineRule="exact"/>
        <w:jc w:val="center"/>
        <w:rPr>
          <w:rFonts w:ascii="黑体" w:hAnsi="楷体" w:cs="楷体"/>
          <w:sz w:val="30"/>
          <w:szCs w:val="30"/>
        </w:rPr>
      </w:pPr>
      <w:bookmarkStart w:id="120" w:name="_Toc20331"/>
      <w:bookmarkStart w:id="121" w:name="_Toc15015"/>
      <w:r>
        <w:rPr>
          <w:rFonts w:hint="eastAsia" w:ascii="黑体" w:hAnsi="楷体" w:cs="楷体"/>
          <w:sz w:val="30"/>
          <w:szCs w:val="30"/>
        </w:rPr>
        <w:t>第一章激发各类市场主体活力</w:t>
      </w:r>
      <w:bookmarkEnd w:id="120"/>
    </w:p>
    <w:p>
      <w:pPr>
        <w:pStyle w:val="2"/>
        <w:spacing w:line="570" w:lineRule="exact"/>
        <w:ind w:left="0" w:leftChars="0" w:firstLine="594" w:firstLineChars="200"/>
        <w:rPr>
          <w:rFonts w:ascii="仿宋_GB2312" w:hAnsi="??_GB2312" w:eastAsia="仿宋_GB2312" w:cs="??_GB2312"/>
          <w:spacing w:val="-2"/>
          <w:sz w:val="30"/>
          <w:szCs w:val="30"/>
        </w:rPr>
      </w:pPr>
      <w:r>
        <w:rPr>
          <w:rFonts w:hint="eastAsia" w:ascii="楷体_GB2312" w:hAnsi="楷体_GB2312" w:eastAsia="楷体_GB2312" w:cs="楷体_GB2312"/>
          <w:b/>
          <w:spacing w:val="-2"/>
          <w:sz w:val="30"/>
          <w:szCs w:val="30"/>
        </w:rPr>
        <w:t>强化市场主体制度保障。</w:t>
      </w:r>
      <w:r>
        <w:rPr>
          <w:rFonts w:hint="eastAsia" w:ascii="仿宋_GB2312" w:hAnsi="宋体" w:eastAsia="仿宋_GB2312" w:cs="宋体"/>
          <w:spacing w:val="-2"/>
          <w:sz w:val="30"/>
          <w:szCs w:val="30"/>
        </w:rPr>
        <w:t>毫不动摇巩固和发展公有制经济，毫不动摇鼓励、支持、引导非公有制经济发展。推进民营经济高质量发展，全面落实放宽民营企业市场准入的政策措施，依法平等保护民营企业产权和企业家权益，坚决破除各类显性和隐性壁垒。深化国资国企改革，做强做优做大国有资本和国有企业。加快国有经济布局优化和结构调整。完善促进中小微企业和个体工商户发展的法规规章和政策体系，打造惠企政策“直通车”，促进非公有制经济健康发展和非公有制经济人士健康成长。</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_GB2312" w:eastAsia="楷体_GB2312" w:cs="楷体_GB2312"/>
          <w:b/>
          <w:sz w:val="30"/>
          <w:szCs w:val="30"/>
        </w:rPr>
        <w:t>完善公平竞争市场体系。</w:t>
      </w:r>
      <w:r>
        <w:rPr>
          <w:rFonts w:hint="eastAsia" w:ascii="仿宋_GB2312" w:hAnsi="宋体" w:eastAsia="仿宋_GB2312" w:cs="宋体"/>
          <w:sz w:val="30"/>
          <w:szCs w:val="30"/>
        </w:rPr>
        <w:t>落实民法典和相关法律法规，健全以公平为原则的产权保护制度，实施高标准市场体系建设行动，形成高效规范、公平竞争的统一市场。健全市场准入负面清单制度和市场主体退出机制，健全公平竞争审查机制，加强反垄断和反不正当竞争执法司法，在要素获取、准入许可、经营运行、政府采购和招投标等方面对各类所有制企业平等对待。深化土地、劳动力、资本、技术、数据等要素市场化改革，完善交易规则和服务体系，促进商品和要素自由流动、平等交换。</w:t>
      </w:r>
    </w:p>
    <w:p>
      <w:pPr>
        <w:pStyle w:val="4"/>
        <w:spacing w:beforeLines="80" w:afterLines="80" w:line="570" w:lineRule="exact"/>
        <w:jc w:val="center"/>
        <w:rPr>
          <w:rFonts w:ascii="黑体" w:hAnsi="楷体" w:cs="楷体"/>
          <w:sz w:val="30"/>
          <w:szCs w:val="30"/>
        </w:rPr>
      </w:pPr>
      <w:bookmarkStart w:id="122" w:name="_Toc15042"/>
      <w:r>
        <w:rPr>
          <w:rFonts w:hint="eastAsia" w:ascii="黑体" w:hAnsi="楷体" w:cs="楷体"/>
          <w:sz w:val="30"/>
          <w:szCs w:val="30"/>
        </w:rPr>
        <w:t>第二章打造一流营商环境</w:t>
      </w:r>
      <w:bookmarkEnd w:id="122"/>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实施新一轮营商环境提升行动。</w:t>
      </w:r>
      <w:r>
        <w:rPr>
          <w:rFonts w:hint="eastAsia" w:ascii="仿宋_GB2312" w:hAnsi="宋体" w:eastAsia="仿宋_GB2312" w:cs="宋体"/>
          <w:sz w:val="30"/>
          <w:szCs w:val="30"/>
        </w:rPr>
        <w:t>坚持问题导向和目标导向，聚焦办事创业的痛点、难点、堵点，实施高标准市场体系建设行动，全面优化市场主体准入环境，推行“马上办”“一次办”“一网通办”的政务环境，稳步推进实施企业登记全程电子化管理。严格落实政府权力清单和投资准入负面清单，精简行政许可事项，分类推进投资审批制度改革。深化工程建设项目审批制度改革，实现消防、人防、技防等技术审查联合审图、联合验收，持续推进“多证合一”“证照分离”“照后减证”。加快转变政府职能，建设职责明确、依法行政的政府治理体系，深化简政放权，全面推进行政审批“两集中”“两到位”，加强三级便民服务中心建设，进一步提高政府效能。</w:t>
      </w:r>
    </w:p>
    <w:p>
      <w:pPr>
        <w:pStyle w:val="7"/>
        <w:snapToGrid/>
        <w:spacing w:line="570" w:lineRule="exact"/>
        <w:ind w:firstLine="602" w:firstLineChars="200"/>
        <w:jc w:val="both"/>
        <w:rPr>
          <w:rFonts w:ascii="仿宋_GB2312" w:hAnsi="宋体" w:eastAsia="仿宋_GB2312" w:cs="宋体"/>
          <w:sz w:val="30"/>
          <w:szCs w:val="30"/>
        </w:rPr>
      </w:pPr>
      <w:r>
        <w:rPr>
          <w:rFonts w:hint="eastAsia" w:ascii="楷体_GB2312" w:hAnsi="楷体" w:eastAsia="楷体_GB2312" w:cs="楷体"/>
          <w:b/>
          <w:bCs/>
          <w:sz w:val="30"/>
          <w:szCs w:val="30"/>
        </w:rPr>
        <w:t>纵深开展“四送一服”。</w:t>
      </w:r>
      <w:r>
        <w:rPr>
          <w:rFonts w:hint="eastAsia" w:ascii="仿宋_GB2312" w:hAnsi="宋体" w:eastAsia="仿宋_GB2312" w:cs="宋体"/>
          <w:sz w:val="30"/>
          <w:szCs w:val="30"/>
        </w:rPr>
        <w:t>深入开展“四送一服”专项行动和常态化活动，持续优化“四最”营商环境，推进政务服务标准化、规范化、便利化。落实县级负责人常态化联系重点企业、联系推进重点工业项目机制，利用省“四送一服”综合服务平台搭建完善“政企直通车”，切实做好问题办理反馈，常态长效帮助解决企业困难，激发企业发展新动能，积极构建亲清政商关系。</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强化营商环境评估与监管。</w:t>
      </w:r>
      <w:r>
        <w:rPr>
          <w:rFonts w:hint="eastAsia" w:ascii="仿宋_GB2312" w:hAnsi="宋体" w:eastAsia="仿宋_GB2312" w:cs="宋体"/>
          <w:sz w:val="30"/>
          <w:szCs w:val="30"/>
        </w:rPr>
        <w:t>加强重大政策事前评估和事后评价，畅通参与政策制定渠道，提高科学决策、民主决策、依法决策水平。深化政务服务“一网一门一次”改革，推进各个层级政府之间、政府部门之间、部门内部之间数据互联互通，完善</w:t>
      </w:r>
      <w:r>
        <w:rPr>
          <w:rFonts w:ascii="仿宋_GB2312" w:hAnsi="宋体" w:eastAsia="仿宋_GB2312" w:cs="宋体"/>
          <w:sz w:val="30"/>
          <w:szCs w:val="30"/>
        </w:rPr>
        <w:t>7</w:t>
      </w:r>
      <w:r>
        <w:rPr>
          <w:rFonts w:hint="eastAsia" w:ascii="仿宋_GB2312" w:hAnsi="宋体" w:eastAsia="仿宋_GB2312" w:cs="宋体"/>
          <w:sz w:val="30"/>
          <w:szCs w:val="30"/>
        </w:rPr>
        <w:t>×</w:t>
      </w:r>
      <w:r>
        <w:rPr>
          <w:rFonts w:ascii="仿宋_GB2312" w:hAnsi="宋体" w:eastAsia="仿宋_GB2312" w:cs="宋体"/>
          <w:sz w:val="30"/>
          <w:szCs w:val="30"/>
        </w:rPr>
        <w:t>24</w:t>
      </w:r>
      <w:r>
        <w:rPr>
          <w:rFonts w:hint="eastAsia" w:ascii="仿宋_GB2312" w:hAnsi="宋体" w:eastAsia="仿宋_GB2312" w:cs="宋体"/>
          <w:sz w:val="30"/>
          <w:szCs w:val="30"/>
        </w:rPr>
        <w:t>小时不打烊“随时办”服务机制，全面推行“双随机一公开”，加强事中事后监管，对新产业新业态实行包容审慎监管。推动营商环境第三方评估机制，推进“互联网</w:t>
      </w:r>
      <w:r>
        <w:rPr>
          <w:rFonts w:ascii="仿宋_GB2312" w:hAnsi="宋体" w:eastAsia="仿宋_GB2312" w:cs="宋体"/>
          <w:sz w:val="30"/>
          <w:szCs w:val="30"/>
        </w:rPr>
        <w:t>+</w:t>
      </w:r>
      <w:r>
        <w:rPr>
          <w:rFonts w:hint="eastAsia" w:ascii="仿宋_GB2312" w:hAnsi="宋体" w:eastAsia="仿宋_GB2312" w:cs="宋体"/>
          <w:sz w:val="30"/>
          <w:szCs w:val="30"/>
        </w:rPr>
        <w:t>营商环境监测”，动态监测、定期公布营商环境指数。逐步建立健全信用制度和标准规范体系，优化市场监管环境，全面合力共治，加强区域市场监管联动，大力推进“互联网</w:t>
      </w:r>
      <w:r>
        <w:rPr>
          <w:rFonts w:ascii="仿宋_GB2312" w:hAnsi="宋体" w:eastAsia="仿宋_GB2312" w:cs="宋体"/>
          <w:sz w:val="30"/>
          <w:szCs w:val="30"/>
        </w:rPr>
        <w:t>+</w:t>
      </w:r>
      <w:r>
        <w:rPr>
          <w:rFonts w:hint="eastAsia" w:ascii="仿宋_GB2312" w:hAnsi="宋体" w:eastAsia="仿宋_GB2312" w:cs="宋体"/>
          <w:sz w:val="30"/>
          <w:szCs w:val="30"/>
        </w:rPr>
        <w:t>监管”，对侵权假冒商品的生产、流通、销售形成全链条打击。</w:t>
      </w:r>
    </w:p>
    <w:p>
      <w:pPr>
        <w:pStyle w:val="4"/>
        <w:spacing w:beforeLines="80" w:afterLines="80" w:line="570" w:lineRule="exact"/>
        <w:jc w:val="center"/>
        <w:rPr>
          <w:rFonts w:ascii="黑体" w:hAnsi="楷体" w:cs="楷体"/>
          <w:sz w:val="30"/>
          <w:szCs w:val="30"/>
        </w:rPr>
      </w:pPr>
      <w:bookmarkStart w:id="123" w:name="_Toc29606"/>
      <w:r>
        <w:rPr>
          <w:rFonts w:hint="eastAsia" w:ascii="黑体" w:hAnsi="楷体" w:cs="楷体"/>
          <w:sz w:val="30"/>
          <w:szCs w:val="30"/>
        </w:rPr>
        <w:t>第三章推进重点领域改革</w:t>
      </w:r>
      <w:bookmarkEnd w:id="123"/>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推动财税金融体制改革。</w:t>
      </w:r>
      <w:r>
        <w:rPr>
          <w:rFonts w:hint="eastAsia" w:ascii="仿宋_GB2312" w:hAnsi="宋体" w:eastAsia="仿宋_GB2312" w:cs="宋体"/>
          <w:sz w:val="30"/>
          <w:szCs w:val="30"/>
        </w:rPr>
        <w:t>加强财政资源统筹，加强中期财政规划管理，增强全县重大决策财力保障。深入推进预算管理制度改革，全面完善预算绩效管理，推进规范化、标准化、自动化，提高财政资金使用效率。落实财政事权和支出责任划分改革，实施新一轮县乡财政体制改革，合理划分县乡责任，增强基层公共服务保障能力。完善落实减税降费政策工作机制，平稳推进税制改革，健全高质量税费征管体系。多渠道提高直接融资比重。引导金融资本重点支持制造业和中小微企业，建立政府产业基金，强化政府基金对实体经济、科技创新、战略项目的金融保障作用。推动党建引领信用村提质扩面，鼓励金融机构创新更多金融产品，支持县域经济发展。</w:t>
      </w:r>
    </w:p>
    <w:p>
      <w:pPr>
        <w:pStyle w:val="2"/>
        <w:spacing w:line="570" w:lineRule="exact"/>
        <w:ind w:left="0" w:leftChars="0" w:firstLine="602" w:firstLineChars="200"/>
        <w:rPr>
          <w:rFonts w:ascii="仿宋_GB2312" w:hAnsi="宋体" w:eastAsia="仿宋_GB2312" w:cs="宋体"/>
          <w:sz w:val="30"/>
          <w:szCs w:val="30"/>
        </w:rPr>
      </w:pPr>
      <w:bookmarkStart w:id="124" w:name="_Toc19196"/>
      <w:bookmarkStart w:id="125" w:name="_Toc54004381"/>
      <w:r>
        <w:rPr>
          <w:rFonts w:hint="eastAsia" w:ascii="楷体_GB2312" w:hAnsi="楷体" w:eastAsia="楷体_GB2312" w:cs="楷体"/>
          <w:b/>
          <w:bCs/>
          <w:sz w:val="30"/>
          <w:szCs w:val="30"/>
        </w:rPr>
        <w:t>推进要素市场化配置改革</w:t>
      </w:r>
      <w:bookmarkEnd w:id="124"/>
      <w:bookmarkEnd w:id="125"/>
      <w:r>
        <w:rPr>
          <w:rFonts w:hint="eastAsia" w:ascii="楷体_GB2312" w:hAnsi="楷体" w:eastAsia="楷体_GB2312" w:cs="楷体"/>
          <w:b/>
          <w:bCs/>
          <w:sz w:val="30"/>
          <w:szCs w:val="30"/>
        </w:rPr>
        <w:t>。</w:t>
      </w:r>
      <w:r>
        <w:rPr>
          <w:rFonts w:hint="eastAsia" w:ascii="仿宋_GB2312" w:hAnsi="宋体" w:eastAsia="仿宋_GB2312" w:cs="宋体"/>
          <w:sz w:val="30"/>
          <w:szCs w:val="30"/>
        </w:rPr>
        <w:t>深化土地管理制度改革，加强工业用地保障，深化“亩均论英雄”机制，在开发区推行“标准地”改革，盘活存量建设用地。畅通人力资源流通渠道，深化户籍制度改革和人力资源市场改革，完善城乡劳动就业制度，率先建立与长三角地区协调衔接的劳动力、人才流动政策体系和交流合作机制，完善技术技能评价制度，促进人力资源有序流动和有效配置。加快发展资源技术要素市场，健全自然资源资产产权制度，加强自然资源调查评价监测和确权登记，建立生态产品价值实现机制，完善市场化、多元化生态补偿。探索需求侧改革，培育数据要素市场，扩大电力等市场化规模，加大知识产权保护力度，支持数据要素、技术要素与资本要素融合发展，拓展完善公共资源交易平台功能。</w:t>
      </w:r>
    </w:p>
    <w:p>
      <w:pPr>
        <w:shd w:val="clear" w:color="auto" w:fill="FFFFFF"/>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深化收入分配制度改革。</w:t>
      </w:r>
      <w:r>
        <w:rPr>
          <w:rFonts w:hint="eastAsia" w:ascii="仿宋_GB2312" w:hAnsi="宋体" w:eastAsia="仿宋_GB2312" w:cs="宋体"/>
          <w:sz w:val="30"/>
          <w:szCs w:val="30"/>
        </w:rPr>
        <w:t>实行有利于缩小收入差距的政策，健全工资合理增长机制，提高低收入者收入水平，扩大中等收入者比重，提高劳动报酬在初次分配中的比重。完善按要素分配政策制度，保护合法收入，清理规范工资外收入，严格规范非税收入，打击和取缔非法收入，完善再分配机制，发挥第三次分配作用，完善现代支付和收入监测体系，构建透明合理的收入分配秩序。</w:t>
      </w:r>
    </w:p>
    <w:p>
      <w:pPr>
        <w:pStyle w:val="3"/>
        <w:spacing w:before="0" w:after="0" w:line="600" w:lineRule="exact"/>
        <w:jc w:val="center"/>
        <w:rPr>
          <w:rFonts w:ascii="方正小标宋简体" w:hAnsi="华文楷体" w:eastAsia="方正小标宋简体" w:cs="华文楷体"/>
          <w:sz w:val="36"/>
          <w:szCs w:val="36"/>
        </w:rPr>
      </w:pPr>
      <w:r>
        <w:rPr>
          <w:rFonts w:ascii="华文楷体" w:hAnsi="华文楷体" w:eastAsia="华文楷体" w:cs="华文楷体"/>
          <w:sz w:val="36"/>
          <w:szCs w:val="36"/>
        </w:rPr>
        <w:br w:type="page"/>
      </w:r>
      <w:r>
        <w:rPr>
          <w:rFonts w:hint="eastAsia" w:ascii="方正小标宋简体" w:hAnsi="华文楷体" w:eastAsia="方正小标宋简体" w:cs="华文楷体"/>
          <w:sz w:val="36"/>
          <w:szCs w:val="36"/>
        </w:rPr>
        <w:t>第九篇深度融入长三角，</w:t>
      </w:r>
      <w:bookmarkEnd w:id="121"/>
      <w:r>
        <w:rPr>
          <w:rFonts w:hint="eastAsia" w:ascii="方正小标宋简体" w:hAnsi="华文楷体" w:eastAsia="方正小标宋简体" w:cs="华文楷体"/>
          <w:sz w:val="36"/>
          <w:szCs w:val="36"/>
        </w:rPr>
        <w:t>打造省际有影响力的边界县</w:t>
      </w:r>
    </w:p>
    <w:p>
      <w:pPr>
        <w:spacing w:line="560" w:lineRule="exact"/>
        <w:ind w:firstLine="640" w:firstLineChars="200"/>
        <w:rPr>
          <w:rFonts w:ascii="??_GB2312" w:hAnsi="宋体" w:eastAsia="Times New Roman" w:cs="宋体"/>
          <w:sz w:val="32"/>
          <w:szCs w:val="32"/>
        </w:rPr>
      </w:pPr>
      <w:bookmarkStart w:id="126" w:name="_Toc55894274"/>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充分发挥东至作为安徽“西南门户”和省际交汇优势，加快“引进来、走出去”步伐，实行更加主动的开放战略，建设更高水平开放型经济新体制，全方位高水平推进对外开放，积极策应安徽打造成为国内大循环重要节点、国内国际双循环战略链接，深度融入长三角一体化，全面提升县域外向度，在长三角一体化中展现更多东至作为。</w:t>
      </w:r>
    </w:p>
    <w:p>
      <w:pPr>
        <w:keepNext/>
        <w:keepLines/>
        <w:spacing w:beforeLines="80" w:afterLines="80" w:line="570" w:lineRule="exact"/>
        <w:jc w:val="center"/>
        <w:outlineLvl w:val="1"/>
        <w:rPr>
          <w:rFonts w:ascii="黑体" w:hAnsi="楷体" w:eastAsia="黑体" w:cs="黑体"/>
          <w:b/>
          <w:bCs/>
          <w:sz w:val="30"/>
          <w:szCs w:val="30"/>
        </w:rPr>
      </w:pPr>
      <w:bookmarkStart w:id="127" w:name="_Toc24419"/>
      <w:r>
        <w:rPr>
          <w:rFonts w:hint="eastAsia" w:ascii="黑体" w:hAnsi="楷体" w:eastAsia="黑体" w:cs="黑体"/>
          <w:b/>
          <w:bCs/>
          <w:sz w:val="30"/>
          <w:szCs w:val="30"/>
        </w:rPr>
        <w:t>第一章构建对外开放新格局</w:t>
      </w:r>
      <w:bookmarkEnd w:id="126"/>
      <w:bookmarkEnd w:id="127"/>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坚持全面开放发展。</w:t>
      </w:r>
      <w:r>
        <w:rPr>
          <w:rFonts w:hint="eastAsia" w:ascii="仿宋_GB2312" w:hAnsi="宋体" w:eastAsia="仿宋_GB2312" w:cs="宋体"/>
          <w:sz w:val="30"/>
          <w:szCs w:val="30"/>
        </w:rPr>
        <w:t>全面提高对外开放水平，在更高层次、更高水平上开放开发，在更大范围、更广领域、更深层次参与国内外经济竞争与合作。强化开放思维，着力做强开放园区，持续提升开放功能，加大政策扶持力度，更大力度优化发展环境，拓展对外开放的广度和深度。坚持内源与外源互动，构筑对外开放新格局，树立开明大气、兼容并蓄理念，强化开放与合作精神，以更加积极主动的姿态融入全球化。大力发展跨境电商，拓展“一带一路”沿线国家市场，加大在农业、科技、能源、文化、教育等领域广泛交流合作，加快走出去步伐，提升知名度和美誉度。</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坚持借力借智借势发展。</w:t>
      </w:r>
      <w:r>
        <w:rPr>
          <w:rFonts w:hint="eastAsia" w:ascii="仿宋_GB2312" w:hAnsi="宋体" w:eastAsia="仿宋_GB2312" w:cs="宋体"/>
          <w:sz w:val="30"/>
          <w:szCs w:val="30"/>
        </w:rPr>
        <w:t>抢抓长三角一体化发展和安徽自贸区建设机遇，构建“大交通”“大枢纽”“大物流”发展格局，积极融入合肥都市圈、武汉都市圈、长三角区域，建设对外开放新高地。聚焦县域特色产业，积极参与进博会、世界制造业大会和国际徽商大会，推动科技与产业创新体系向外深度融合，大力招引生态工业，努力打造省际边界县发展样板。进一步依靠国内外先进科技力量，加快创新驱动，进一步推动制造业尤其是主导产业融入国内外产业分工体系，增强本地产品竞争力，占领市场制高点。</w:t>
      </w:r>
    </w:p>
    <w:p>
      <w:pPr>
        <w:shd w:val="clear" w:color="auto" w:fill="FFFFFF"/>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sz w:val="30"/>
          <w:szCs w:val="30"/>
        </w:rPr>
        <w:t>持续做好招商引资。</w:t>
      </w:r>
      <w:r>
        <w:rPr>
          <w:rFonts w:hint="eastAsia" w:ascii="仿宋_GB2312" w:hAnsi="宋体" w:eastAsia="仿宋_GB2312" w:cs="宋体"/>
          <w:sz w:val="30"/>
          <w:szCs w:val="30"/>
        </w:rPr>
        <w:t>坚持把招商引资作为推动高质量发展的第一抓手，积极推进产业链招商、以商招商、基金招商、平台招商和委托招商，引进一批牵动性强、成长性好的重点项目。坚持引资与引智引技并举，推动县外研发成果在东至实现产业化。支持开发区成立专业招商公司，制定精准招商引资政策，新建项目土地投资强度不低于</w:t>
      </w:r>
      <w:r>
        <w:rPr>
          <w:rFonts w:ascii="仿宋_GB2312" w:hAnsi="宋体" w:eastAsia="仿宋_GB2312" w:cs="宋体"/>
          <w:sz w:val="30"/>
          <w:szCs w:val="30"/>
        </w:rPr>
        <w:t>150</w:t>
      </w:r>
      <w:r>
        <w:rPr>
          <w:rFonts w:hint="eastAsia" w:ascii="仿宋_GB2312" w:hAnsi="宋体" w:eastAsia="仿宋_GB2312" w:cs="宋体"/>
          <w:sz w:val="30"/>
          <w:szCs w:val="30"/>
        </w:rPr>
        <w:t>万元</w:t>
      </w:r>
      <w:r>
        <w:rPr>
          <w:rFonts w:ascii="仿宋_GB2312" w:hAnsi="宋体" w:eastAsia="仿宋_GB2312" w:cs="宋体"/>
          <w:sz w:val="30"/>
          <w:szCs w:val="30"/>
        </w:rPr>
        <w:t>/</w:t>
      </w:r>
      <w:r>
        <w:rPr>
          <w:rFonts w:hint="eastAsia" w:ascii="仿宋_GB2312" w:hAnsi="宋体" w:eastAsia="仿宋_GB2312" w:cs="宋体"/>
          <w:sz w:val="30"/>
          <w:szCs w:val="30"/>
        </w:rPr>
        <w:t>亩，或预期亩均税收（不含土地使用税）不少于</w:t>
      </w:r>
      <w:r>
        <w:rPr>
          <w:rFonts w:ascii="仿宋_GB2312" w:hAnsi="宋体" w:eastAsia="仿宋_GB2312" w:cs="宋体"/>
          <w:sz w:val="30"/>
          <w:szCs w:val="30"/>
        </w:rPr>
        <w:t>10</w:t>
      </w:r>
      <w:r>
        <w:rPr>
          <w:rFonts w:hint="eastAsia" w:ascii="仿宋_GB2312" w:hAnsi="宋体" w:eastAsia="仿宋_GB2312" w:cs="宋体"/>
          <w:sz w:val="30"/>
          <w:szCs w:val="30"/>
        </w:rPr>
        <w:t>万元</w:t>
      </w:r>
      <w:r>
        <w:rPr>
          <w:rFonts w:ascii="仿宋_GB2312" w:hAnsi="宋体" w:eastAsia="仿宋_GB2312" w:cs="宋体"/>
          <w:sz w:val="30"/>
          <w:szCs w:val="30"/>
        </w:rPr>
        <w:t>/</w:t>
      </w:r>
      <w:r>
        <w:rPr>
          <w:rFonts w:hint="eastAsia" w:ascii="仿宋_GB2312" w:hAnsi="宋体" w:eastAsia="仿宋_GB2312" w:cs="宋体"/>
          <w:sz w:val="30"/>
          <w:szCs w:val="30"/>
        </w:rPr>
        <w:t>年。加大引进外资力度，省级开发区年度利用外资超</w:t>
      </w:r>
      <w:r>
        <w:rPr>
          <w:rFonts w:ascii="仿宋_GB2312" w:hAnsi="宋体" w:eastAsia="仿宋_GB2312" w:cs="宋体"/>
          <w:sz w:val="30"/>
          <w:szCs w:val="30"/>
        </w:rPr>
        <w:t>5000</w:t>
      </w:r>
      <w:r>
        <w:rPr>
          <w:rFonts w:hint="eastAsia" w:ascii="仿宋_GB2312" w:hAnsi="宋体" w:eastAsia="仿宋_GB2312" w:cs="宋体"/>
          <w:sz w:val="30"/>
          <w:szCs w:val="30"/>
        </w:rPr>
        <w:t>万美元。</w:t>
      </w:r>
    </w:p>
    <w:p>
      <w:pPr>
        <w:keepNext/>
        <w:keepLines/>
        <w:spacing w:beforeLines="80" w:afterLines="80" w:line="570" w:lineRule="exact"/>
        <w:jc w:val="center"/>
        <w:outlineLvl w:val="1"/>
        <w:rPr>
          <w:rFonts w:ascii="黑体" w:hAnsi="楷体" w:eastAsia="黑体" w:cs="黑体"/>
          <w:b/>
          <w:bCs/>
          <w:sz w:val="30"/>
          <w:szCs w:val="30"/>
        </w:rPr>
      </w:pPr>
      <w:bookmarkStart w:id="128" w:name="_Toc18278"/>
      <w:bookmarkStart w:id="129" w:name="_Toc26939"/>
      <w:r>
        <w:rPr>
          <w:rFonts w:hint="eastAsia" w:ascii="黑体" w:hAnsi="楷体" w:eastAsia="黑体" w:cs="黑体"/>
          <w:b/>
          <w:bCs/>
          <w:sz w:val="30"/>
          <w:szCs w:val="30"/>
        </w:rPr>
        <w:t>第二章深度融入长三角一体化</w:t>
      </w:r>
      <w:bookmarkEnd w:id="128"/>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深入推进开放合作一体化。</w:t>
      </w:r>
      <w:r>
        <w:rPr>
          <w:rFonts w:hint="eastAsia" w:ascii="仿宋_GB2312" w:hAnsi="宋体" w:eastAsia="仿宋_GB2312" w:cs="宋体"/>
          <w:sz w:val="30"/>
          <w:szCs w:val="30"/>
        </w:rPr>
        <w:t>优化交通、能源、信息等基础设施规划布局，围绕“铁、公、机、水”等领域谋划推进一批重大项目，参与区域内交通、水利、环境治理等重大项目建设，加快推进重大基础和新型基础设施互联互通。深化长三角口岸物流项目合作，加快融入大通关一体化，推进本地产品本地报关。全面提升教育、医疗等民生保障水平，加快推进与长三角区域教育、医疗、养老等方面的合作，吸引更多优质资源来东至合作。加快推进政务数据、民生数据共建共享，实现异地就医结算、社会保险异地办理、民生档案异地查询等方面与长三角接轨，加强技术、信息和人才合作，推动要素资源互通共享，努力实现在长三角全域内享受无障碍服务。</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深入推进产业发展一体化。</w:t>
      </w:r>
      <w:r>
        <w:rPr>
          <w:rFonts w:hint="eastAsia" w:ascii="仿宋_GB2312" w:hAnsi="宋体" w:eastAsia="仿宋_GB2312" w:cs="宋体"/>
          <w:sz w:val="30"/>
          <w:szCs w:val="30"/>
        </w:rPr>
        <w:t>主动加强与长三角区域的对接联系，聚焦先进制造业发展，积极承接生物医药、高端装备、绿色化工等长三角优势产业生产环节和配套环节转移。充分发挥</w:t>
      </w:r>
      <w:r>
        <w:rPr>
          <w:rFonts w:ascii="仿宋_GB2312" w:hAnsi="宋体" w:eastAsia="仿宋_GB2312" w:cs="宋体"/>
          <w:sz w:val="30"/>
          <w:szCs w:val="30"/>
        </w:rPr>
        <w:t>2</w:t>
      </w:r>
      <w:r>
        <w:rPr>
          <w:rFonts w:hint="eastAsia" w:ascii="仿宋_GB2312" w:hAnsi="宋体" w:eastAsia="仿宋_GB2312" w:cs="宋体"/>
          <w:sz w:val="30"/>
          <w:szCs w:val="30"/>
        </w:rPr>
        <w:t>个省级开发区的主平台作用，通过园区合作、企业合作，积极打造产业联盟，推动与长三角地区合作共建“园中园”，设立“飞地”，加快融入长三角产业分工合作体系。以产业创新服务综合体为载体，强化与长三角科研机构合作，积极谋划在长三角城市建设“科技飞地”，探索建立研发在外地、落地在东至的研发机构，引导和支持企业、高校和科研机构加强科技研发和成果转化，促进创业空间、创新资源、金融服务共享，实现人才工作生活在飞地、服务贡献为东至。</w:t>
      </w:r>
      <w:bookmarkStart w:id="130" w:name="_Toc55894273"/>
      <w:r>
        <w:rPr>
          <w:rFonts w:hint="eastAsia" w:ascii="仿宋_GB2312" w:hAnsi="宋体" w:eastAsia="仿宋_GB2312" w:cs="宋体"/>
          <w:sz w:val="30"/>
          <w:szCs w:val="30"/>
        </w:rPr>
        <w:t>因地制宜积极培育资源节约型、环境友好型产业，进一步做大做强文旅、康养等现代服务业和特色现代农业，加强与长三角大型旅行社合作，建立指定疗休养基地，积极组织或承办具有长三角影响力的论坛、会议、赛事等活动。结合东至优势农业资源，创立农产品品牌，争取进入长三角菜篮子工程以及各大品牌超市、农贸市场采购体系，谋划建立一批农产品直销点，深入打造长三角重要旅游目的地、长三角重要休闲康养基地、长三角绿色有机农产品生产供应基地。</w:t>
      </w:r>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深入推进安全环保一体化。</w:t>
      </w:r>
      <w:r>
        <w:rPr>
          <w:rFonts w:hint="eastAsia" w:ascii="仿宋_GB2312" w:hAnsi="宋体" w:eastAsia="仿宋_GB2312" w:cs="宋体"/>
          <w:sz w:val="30"/>
          <w:szCs w:val="30"/>
        </w:rPr>
        <w:t>坚定扛起长江大保护的政治责任，聚力抓好生态保护、环境治理和绿色转型，积极参与长江流域跨区域联防联控和长三角跨界水体污染、大气污染、固废危废联防联治，确保大气、水、土壤环境质量持续向好。不断加强城市管理和社会治安防控体系建设，积极参与长三角重大灾害事故、应急救援维稳等领域联防联控机制建设。</w:t>
      </w:r>
    </w:p>
    <w:p>
      <w:pPr>
        <w:keepNext/>
        <w:keepLines/>
        <w:spacing w:beforeLines="80" w:afterLines="80" w:line="570" w:lineRule="exact"/>
        <w:jc w:val="center"/>
        <w:outlineLvl w:val="1"/>
        <w:rPr>
          <w:rFonts w:ascii="黑体" w:hAnsi="楷体" w:eastAsia="黑体" w:cs="黑体"/>
          <w:b/>
          <w:bCs/>
          <w:sz w:val="30"/>
          <w:szCs w:val="30"/>
        </w:rPr>
      </w:pPr>
      <w:bookmarkStart w:id="131" w:name="_Toc25772"/>
      <w:r>
        <w:rPr>
          <w:rFonts w:hint="eastAsia" w:ascii="黑体" w:hAnsi="楷体" w:eastAsia="黑体" w:cs="黑体"/>
          <w:b/>
          <w:bCs/>
          <w:sz w:val="30"/>
          <w:szCs w:val="30"/>
        </w:rPr>
        <w:t>第三</w:t>
      </w:r>
      <w:bookmarkEnd w:id="130"/>
      <w:r>
        <w:rPr>
          <w:rFonts w:hint="eastAsia" w:ascii="黑体" w:hAnsi="楷体" w:eastAsia="黑体" w:cs="黑体"/>
          <w:b/>
          <w:bCs/>
          <w:sz w:val="30"/>
          <w:szCs w:val="30"/>
        </w:rPr>
        <w:t>章大力发展外向型经济</w:t>
      </w:r>
      <w:bookmarkEnd w:id="131"/>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加快外贸转型升级。</w:t>
      </w:r>
      <w:r>
        <w:rPr>
          <w:rFonts w:hint="eastAsia" w:ascii="仿宋_GB2312" w:hAnsi="宋体" w:eastAsia="仿宋_GB2312" w:cs="宋体"/>
          <w:sz w:val="30"/>
          <w:szCs w:val="30"/>
        </w:rPr>
        <w:t>以国际化提速、竞争力提升为取向，放大临江、临港和“左右逢源”区位优势，积极承接安徽自贸试验区溢出效应，打造现代化工产品、绿色农产品、服装、箱包出口基地。加快“走出去”步伐，鼓励东至中小企业开拓国际市场，支持优势企业与外贸企业合作发展。实施外贸主体倍增计划，支持优势企业与外贸企业合作发展，支持进出口孵化促进机构建设，引导帮助中小企业开展外贸业务。加快发展外贸企业新业态新模式，支持企业建设境外产品展示交易中心，海外仓储、分拨和配送中心，售后服务中心等境外营销网络，积极争创省级跨境电子商务产业园。加快外贸转型升级，引导外贸企业调整产能结构，扩大国内市场业务，推动大渡口外贸转型升级基地建设。力争到</w:t>
      </w:r>
      <w:r>
        <w:rPr>
          <w:rFonts w:ascii="仿宋_GB2312" w:hAnsi="宋体" w:eastAsia="仿宋_GB2312" w:cs="宋体"/>
          <w:sz w:val="30"/>
          <w:szCs w:val="30"/>
        </w:rPr>
        <w:t>2025</w:t>
      </w:r>
      <w:r>
        <w:rPr>
          <w:rFonts w:hint="eastAsia" w:ascii="仿宋_GB2312" w:hAnsi="宋体" w:eastAsia="仿宋_GB2312" w:cs="宋体"/>
          <w:sz w:val="30"/>
          <w:szCs w:val="30"/>
        </w:rPr>
        <w:t>年，外贸企业增加至</w:t>
      </w:r>
      <w:r>
        <w:rPr>
          <w:rFonts w:ascii="仿宋_GB2312" w:hAnsi="宋体" w:eastAsia="仿宋_GB2312" w:cs="宋体"/>
          <w:sz w:val="30"/>
          <w:szCs w:val="30"/>
        </w:rPr>
        <w:t>200</w:t>
      </w:r>
      <w:r>
        <w:rPr>
          <w:rFonts w:hint="eastAsia" w:ascii="仿宋_GB2312" w:hAnsi="宋体" w:eastAsia="仿宋_GB2312" w:cs="宋体"/>
          <w:sz w:val="30"/>
          <w:szCs w:val="30"/>
        </w:rPr>
        <w:t>余家，培育</w:t>
      </w:r>
      <w:r>
        <w:rPr>
          <w:rFonts w:ascii="仿宋_GB2312" w:hAnsi="宋体" w:eastAsia="仿宋_GB2312" w:cs="宋体"/>
          <w:sz w:val="30"/>
          <w:szCs w:val="30"/>
        </w:rPr>
        <w:t>10</w:t>
      </w:r>
      <w:r>
        <w:rPr>
          <w:rFonts w:hint="eastAsia" w:ascii="仿宋_GB2312" w:hAnsi="宋体" w:eastAsia="仿宋_GB2312" w:cs="宋体"/>
          <w:sz w:val="30"/>
          <w:szCs w:val="30"/>
        </w:rPr>
        <w:t>家千万美元以上外贸进出口企业。</w:t>
      </w:r>
    </w:p>
    <w:p>
      <w:pPr>
        <w:pStyle w:val="7"/>
        <w:snapToGrid/>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加大对外开放营销力度。</w:t>
      </w:r>
      <w:r>
        <w:rPr>
          <w:rFonts w:hint="eastAsia" w:ascii="仿宋_GB2312" w:hAnsi="宋体" w:eastAsia="仿宋_GB2312" w:cs="宋体"/>
          <w:sz w:val="30"/>
          <w:szCs w:val="30"/>
        </w:rPr>
        <w:t>推进加工贸易，加快服务贸易、服务外包、跨境电子商务发展，加强和完善对“引进来”和“走出去”的宏观指导引导和服务，加强外贸专业人才开发、培养和培训，大力培育出口品牌。落实长三角地区海关区域通关一体化，支持企业开展保税加工、物流仓储、展示交易等业务。</w:t>
      </w:r>
    </w:p>
    <w:p>
      <w:pPr>
        <w:spacing w:line="570" w:lineRule="exact"/>
        <w:ind w:firstLine="602" w:firstLineChars="200"/>
        <w:rPr>
          <w:rFonts w:ascii="仿宋_GB2312" w:hAnsi="仿宋" w:eastAsia="仿宋_GB2312"/>
          <w:sz w:val="30"/>
          <w:szCs w:val="30"/>
        </w:rPr>
      </w:pPr>
      <w:r>
        <w:rPr>
          <w:rFonts w:hint="eastAsia" w:ascii="楷体_GB2312" w:hAnsi="楷体" w:eastAsia="楷体_GB2312" w:cs="楷体"/>
          <w:b/>
          <w:bCs/>
          <w:sz w:val="30"/>
          <w:szCs w:val="30"/>
        </w:rPr>
        <w:t>加速推进区域合作进程。</w:t>
      </w:r>
      <w:r>
        <w:rPr>
          <w:rFonts w:hint="eastAsia" w:ascii="仿宋_GB2312" w:hAnsi="宋体" w:eastAsia="仿宋_GB2312" w:cs="宋体"/>
          <w:sz w:val="30"/>
          <w:szCs w:val="30"/>
        </w:rPr>
        <w:t>深度参与皖南国际文化旅游示范区、合肥都市圈发展协作、产业合作，强化与池州市、安庆市、黄山市的产业协同及融合发展。立足区位优势，大力推进跨省合作发展战略机遇，健全皖赣联系合作机制，重点加强与江西省景德镇、九江等地产业对接，加强在文化旅游、体育交流、产业互补、基础互通、生态共享等领域开展对接与合作，壮大产业发展承载平台。依托长江黄金水道，加强与沿江市县协作联动，打造省际交界县域“门户担当”。</w:t>
      </w:r>
    </w:p>
    <w:p>
      <w:pPr>
        <w:keepNext/>
        <w:keepLines/>
        <w:spacing w:beforeLines="80" w:afterLines="80" w:line="570" w:lineRule="exact"/>
        <w:jc w:val="center"/>
        <w:outlineLvl w:val="1"/>
        <w:rPr>
          <w:rFonts w:ascii="黑体" w:hAnsi="楷体" w:eastAsia="黑体" w:cs="黑体"/>
          <w:b/>
          <w:bCs/>
          <w:sz w:val="30"/>
          <w:szCs w:val="30"/>
        </w:rPr>
      </w:pPr>
      <w:bookmarkStart w:id="132" w:name="_Toc30056"/>
      <w:bookmarkStart w:id="133" w:name="_Toc58430112"/>
      <w:bookmarkStart w:id="134" w:name="_Toc17690"/>
      <w:r>
        <w:rPr>
          <w:rFonts w:hint="eastAsia" w:ascii="黑体" w:hAnsi="楷体" w:eastAsia="黑体" w:cs="黑体"/>
          <w:b/>
          <w:bCs/>
          <w:sz w:val="30"/>
          <w:szCs w:val="30"/>
        </w:rPr>
        <w:t>第四</w:t>
      </w:r>
      <w:bookmarkEnd w:id="132"/>
      <w:bookmarkEnd w:id="133"/>
      <w:r>
        <w:rPr>
          <w:rFonts w:hint="eastAsia" w:ascii="黑体" w:hAnsi="楷体" w:eastAsia="黑体" w:cs="黑体"/>
          <w:b/>
          <w:bCs/>
          <w:sz w:val="30"/>
          <w:szCs w:val="30"/>
        </w:rPr>
        <w:t>章实施扩大内需战略</w:t>
      </w:r>
      <w:bookmarkEnd w:id="134"/>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发展内需主导型经济。</w:t>
      </w:r>
      <w:r>
        <w:rPr>
          <w:rFonts w:hint="eastAsia" w:ascii="仿宋_GB2312" w:hAnsi="宋体" w:eastAsia="仿宋_GB2312" w:cs="宋体"/>
          <w:sz w:val="30"/>
          <w:szCs w:val="30"/>
        </w:rPr>
        <w:t>坚持扩大内需这个战略基点，以供给侧结构性改革引领和需求侧改革导向，注重需求侧管理，推动农业、制造业、风电资源融入全国产业循环，推动金融、房地产均衡发展。积极探索县域参与国际国内双循环的有效途径，培育发展新经济新业态新模式，推进产业组织、商业模式、供应链、物流链创新，提升融入国内大市场的程度，积极谋划推进钙产品交易中心、林权交易中心、化工产品交易中心、长江下游</w:t>
      </w:r>
      <w:r>
        <w:rPr>
          <w:rFonts w:ascii="仿宋_GB2312" w:hAnsi="宋体" w:eastAsia="仿宋_GB2312" w:cs="宋体"/>
          <w:sz w:val="30"/>
          <w:szCs w:val="30"/>
        </w:rPr>
        <w:t>LNG</w:t>
      </w:r>
      <w:r>
        <w:rPr>
          <w:rFonts w:hint="eastAsia" w:ascii="仿宋_GB2312" w:hAnsi="宋体" w:eastAsia="仿宋_GB2312" w:cs="宋体"/>
          <w:sz w:val="30"/>
          <w:szCs w:val="30"/>
        </w:rPr>
        <w:t>区域中心，连通强大的国内市场。</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全面拓展消费需求。</w:t>
      </w:r>
      <w:r>
        <w:rPr>
          <w:rFonts w:hint="eastAsia" w:ascii="仿宋_GB2312" w:hAnsi="宋体" w:eastAsia="仿宋_GB2312" w:cs="宋体"/>
          <w:sz w:val="30"/>
          <w:szCs w:val="30"/>
        </w:rPr>
        <w:t>顺应消费升级趋势，实施“增品种、提品质、创品牌”战略和品牌发展提升工程，提升传统消费，培育新型消费，适当增加公共消费。推动汽车等消费品由购买管理向使用管理转变，促进住房消费健康发展。鼓励消费新模式新业态发展，发展线上消费、无接触交易服务，开拓城乡消费市场，培育旅游、教育、文体、康养、家政等消费热点，促进消费向绿色、健康、安全发展。放宽服务消费领域市场准入，严格落实带薪休假制度，扩大节假日消费。扩大电商进农村覆盖面，推进商贸物流、休闲旅游、健康养老设施建设，引导大型商贸企业、餐饮企业和特色街区发展夜经济，开展放心满意消费创建活动，强化消费者权益保护，大力开拓城乡消费市场。</w:t>
      </w:r>
    </w:p>
    <w:p>
      <w:pPr>
        <w:spacing w:line="570" w:lineRule="exact"/>
        <w:ind w:firstLine="602" w:firstLineChars="200"/>
        <w:rPr>
          <w:rFonts w:ascii="仿宋_GB2312" w:eastAsia="仿宋_GB2312"/>
          <w:sz w:val="30"/>
          <w:szCs w:val="30"/>
        </w:rPr>
      </w:pPr>
      <w:r>
        <w:rPr>
          <w:rFonts w:hint="eastAsia" w:ascii="楷体_GB2312" w:hAnsi="楷体" w:eastAsia="楷体_GB2312" w:cs="楷体"/>
          <w:b/>
          <w:bCs/>
          <w:sz w:val="30"/>
          <w:szCs w:val="30"/>
        </w:rPr>
        <w:t>精准扩大有效投资。</w:t>
      </w:r>
      <w:r>
        <w:rPr>
          <w:rFonts w:hint="eastAsia" w:ascii="仿宋_GB2312" w:hAnsi="宋体" w:eastAsia="仿宋_GB2312" w:cs="宋体"/>
          <w:sz w:val="30"/>
          <w:szCs w:val="30"/>
        </w:rPr>
        <w:t>深化“四督四保”“三个走”“集中开工”、县领导联系重点项目等项目工作机制，推行“容缺受理</w:t>
      </w:r>
      <w:r>
        <w:rPr>
          <w:rFonts w:ascii="仿宋_GB2312" w:hAnsi="宋体" w:eastAsia="仿宋_GB2312" w:cs="宋体"/>
          <w:sz w:val="30"/>
          <w:szCs w:val="30"/>
        </w:rPr>
        <w:t>+</w:t>
      </w:r>
      <w:r>
        <w:rPr>
          <w:rFonts w:hint="eastAsia" w:ascii="仿宋_GB2312" w:hAnsi="宋体" w:eastAsia="仿宋_GB2312" w:cs="宋体"/>
          <w:sz w:val="30"/>
          <w:szCs w:val="30"/>
        </w:rPr>
        <w:t>承诺”，优化投资结构，保持强劲投资态势。加快补齐基础设施、市政工程、农业农村、公共安全、生态环保、公共卫生、物资储备、防灾减灾、民生保障等领域短板，推动企业设备更新和技术改造，扩大战略性新兴产业投资。推进新型基础设施、新型城镇化、交通水利等重大工程建设，支持有利于城乡区域协调发展的重大项目建设。发挥政府投资撬动作用，用足地方政府专项债券政策。建立项目推介长效机制，持续激发民间投资活力。</w:t>
      </w:r>
    </w:p>
    <w:bookmarkEnd w:id="129"/>
    <w:p>
      <w:pPr>
        <w:pStyle w:val="3"/>
        <w:spacing w:before="220" w:after="100" w:line="560" w:lineRule="exact"/>
        <w:jc w:val="center"/>
        <w:rPr>
          <w:rFonts w:ascii="方正小标宋简体" w:hAnsi="华文楷体" w:eastAsia="方正小标宋简体" w:cs="华文楷体"/>
          <w:spacing w:val="-8"/>
          <w:sz w:val="36"/>
          <w:szCs w:val="36"/>
        </w:rPr>
      </w:pPr>
      <w:bookmarkStart w:id="135" w:name="_Toc4737"/>
      <w:r>
        <w:rPr>
          <w:rFonts w:ascii="华文楷体" w:hAnsi="华文楷体" w:eastAsia="华文楷体" w:cs="华文楷体"/>
          <w:sz w:val="36"/>
          <w:szCs w:val="36"/>
        </w:rPr>
        <w:br w:type="page"/>
      </w:r>
      <w:r>
        <w:rPr>
          <w:rFonts w:hint="eastAsia" w:ascii="方正小标宋简体" w:hAnsi="华文楷体" w:eastAsia="方正小标宋简体" w:cs="华文楷体"/>
          <w:spacing w:val="-8"/>
          <w:sz w:val="36"/>
          <w:szCs w:val="36"/>
        </w:rPr>
        <w:t>第十篇改善人民生活品质，建设共同富裕幸福东至</w:t>
      </w:r>
      <w:bookmarkEnd w:id="135"/>
    </w:p>
    <w:p>
      <w:pPr>
        <w:spacing w:line="600" w:lineRule="exact"/>
        <w:ind w:firstLine="640" w:firstLineChars="200"/>
        <w:rPr>
          <w:rFonts w:ascii="宋体" w:cs="宋体"/>
          <w:sz w:val="32"/>
          <w:szCs w:val="32"/>
        </w:rPr>
      </w:pPr>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坚持把实现好、维护好、发展好最广大人民根本利益作为发展的出发点和落脚点，尽力而为、量力而行，提高民生工程精准度，健全基本公共服务体系，完善共建共治共享的社会治理制度，注重统筹经济和社会协调发展，巩固脱贫攻坚成果，推进义务教育均衡发展，促进就业创业，推动文体繁荣发展，提高卫生与人口计生服务水平，健全社会保障体系，不断提高城乡居民收入，推动共同富裕。</w:t>
      </w:r>
    </w:p>
    <w:p>
      <w:pPr>
        <w:keepNext/>
        <w:keepLines/>
        <w:spacing w:beforeLines="80" w:afterLines="80" w:line="570" w:lineRule="exact"/>
        <w:jc w:val="center"/>
        <w:outlineLvl w:val="1"/>
        <w:rPr>
          <w:rFonts w:ascii="黑体" w:hAnsi="楷体" w:eastAsia="黑体" w:cs="楷体"/>
          <w:b/>
          <w:sz w:val="30"/>
          <w:szCs w:val="30"/>
        </w:rPr>
      </w:pPr>
      <w:bookmarkStart w:id="136" w:name="_Toc30234"/>
      <w:bookmarkStart w:id="137" w:name="_Toc54004399"/>
      <w:bookmarkStart w:id="138" w:name="_Toc22502"/>
      <w:r>
        <w:rPr>
          <w:rFonts w:hint="eastAsia" w:ascii="黑体" w:hAnsi="楷体" w:eastAsia="黑体" w:cs="楷体"/>
          <w:b/>
          <w:sz w:val="30"/>
          <w:szCs w:val="30"/>
        </w:rPr>
        <w:t>第一章</w:t>
      </w:r>
      <w:bookmarkEnd w:id="136"/>
      <w:bookmarkEnd w:id="137"/>
      <w:r>
        <w:rPr>
          <w:rFonts w:hint="eastAsia" w:ascii="黑体" w:hAnsi="楷体" w:eastAsia="黑体" w:cs="楷体"/>
          <w:b/>
          <w:sz w:val="30"/>
          <w:szCs w:val="30"/>
        </w:rPr>
        <w:t>提高人民收入水平</w:t>
      </w:r>
      <w:bookmarkEnd w:id="138"/>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合理增加工资性收入。</w:t>
      </w:r>
      <w:r>
        <w:rPr>
          <w:rFonts w:hint="eastAsia" w:ascii="仿宋_GB2312" w:hAnsi="宋体" w:eastAsia="仿宋_GB2312" w:cs="宋体"/>
          <w:sz w:val="30"/>
          <w:szCs w:val="30"/>
        </w:rPr>
        <w:t>加强对企业工资的调控和指导，全面推行劳动合同制度和工资集体协商制度，建立合理的企业工资决定及正常增长机制和支付保障机制，完善并严格执行最低工资制度，建立健全工资支付保障金、欠薪应急周转金等制度，完善工资指导线制度，建立最低工资标准调整机制，着力提高低收入群体收入，实行有利于缩小收入差距的政策。</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多渠道增加居民收入。</w:t>
      </w:r>
      <w:r>
        <w:rPr>
          <w:rFonts w:hint="eastAsia" w:ascii="仿宋_GB2312" w:hAnsi="宋体" w:eastAsia="仿宋_GB2312" w:cs="宋体"/>
          <w:sz w:val="30"/>
          <w:szCs w:val="30"/>
        </w:rPr>
        <w:t>健全资本、知识、技术、管理等生产要素由市场决定的报酬机制，多渠道增加居民财产性收入，拓宽居民财产保值增值方式。维护好农民的根本利益和经营主体地位，通过土地制度改革让农民在土地出让中获得收入，鼓励生产农户形成合作组织，将更多的农户纳入产业化经营链条，提高农户获利比例。</w:t>
      </w:r>
    </w:p>
    <w:p>
      <w:pPr>
        <w:keepNext/>
        <w:keepLines/>
        <w:spacing w:beforeLines="80" w:afterLines="80" w:line="570" w:lineRule="exact"/>
        <w:jc w:val="center"/>
        <w:outlineLvl w:val="1"/>
        <w:rPr>
          <w:rFonts w:ascii="黑体" w:hAnsi="楷体" w:eastAsia="黑体" w:cs="楷体"/>
          <w:b/>
          <w:sz w:val="30"/>
          <w:szCs w:val="30"/>
        </w:rPr>
      </w:pPr>
      <w:bookmarkStart w:id="139" w:name="_Toc1791"/>
      <w:bookmarkStart w:id="140" w:name="_Toc54004393"/>
      <w:bookmarkStart w:id="141" w:name="_Toc20958"/>
      <w:r>
        <w:rPr>
          <w:rFonts w:hint="eastAsia" w:ascii="黑体" w:hAnsi="楷体" w:eastAsia="黑体" w:cs="楷体"/>
          <w:b/>
          <w:sz w:val="30"/>
          <w:szCs w:val="30"/>
        </w:rPr>
        <w:t>第二章</w:t>
      </w:r>
      <w:bookmarkEnd w:id="139"/>
      <w:bookmarkEnd w:id="140"/>
      <w:r>
        <w:rPr>
          <w:rFonts w:hint="eastAsia" w:ascii="黑体" w:hAnsi="楷体" w:eastAsia="黑体" w:cs="楷体"/>
          <w:b/>
          <w:sz w:val="30"/>
          <w:szCs w:val="30"/>
        </w:rPr>
        <w:t>全面提高就业质量</w:t>
      </w:r>
      <w:bookmarkEnd w:id="141"/>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搭建就业服务平台。</w:t>
      </w:r>
      <w:r>
        <w:rPr>
          <w:rFonts w:hint="eastAsia" w:ascii="仿宋_GB2312" w:hAnsi="宋体" w:eastAsia="仿宋_GB2312" w:cs="宋体"/>
          <w:sz w:val="30"/>
          <w:szCs w:val="30"/>
        </w:rPr>
        <w:t>落实各项援企、减负、稳岗、扩就业的支持性政策，千方百计稳定和扩大就业。实施就业优先政策，持续开展“四进一促”专项行动，做好高校毕业生、退役军人、农民工、受灾群众、退捕渔民等群体就业工作，扩大公益性岗位安置，帮扶残疾人、零就业家庭成员就业。加强就业服务队伍建设，加速就业服务资源向社区（村）延伸，健全城乡均等的公共就业服务体系，大力推动农民返乡创业示范园、大学生村官产业示范基地、电子商务创业园等平台载体建设，扶持中小微企业和新就业业态。积极实施“互联网</w:t>
      </w:r>
      <w:r>
        <w:rPr>
          <w:rFonts w:ascii="仿宋_GB2312" w:hAnsi="宋体" w:eastAsia="仿宋_GB2312" w:cs="宋体"/>
          <w:sz w:val="30"/>
          <w:szCs w:val="30"/>
        </w:rPr>
        <w:t>+</w:t>
      </w:r>
      <w:r>
        <w:rPr>
          <w:rFonts w:hint="eastAsia" w:ascii="仿宋_GB2312" w:hAnsi="宋体" w:eastAsia="仿宋_GB2312" w:cs="宋体"/>
          <w:sz w:val="30"/>
          <w:szCs w:val="30"/>
        </w:rPr>
        <w:t>就业”行动计划，推进人力资源市场体系建设，搭建信息化就业创业服务平台。健全就业需求调查和失业监测预警机制。</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加强就业技能培训。</w:t>
      </w:r>
      <w:r>
        <w:rPr>
          <w:rFonts w:hint="eastAsia" w:ascii="仿宋_GB2312" w:hAnsi="宋体" w:eastAsia="仿宋_GB2312" w:cs="宋体"/>
          <w:sz w:val="30"/>
          <w:szCs w:val="30"/>
        </w:rPr>
        <w:t>更加注重缓解结构性就业矛盾，加快提升劳动者技能素质，完善重点群体就业支持体系，统筹城乡就业政策体系。完善职业技能培训机制，提供面向劳动者需要和用人单位需求的定单式培训服务，加强面向新成长劳动力、农民工、失业人员的职业培训。继续抓好安徽省技工大省技能培训民生工程，抓好免费技能培训、企业员工转岗培训、创业培训“点餐式”技能脱贫培训等各类培训工作，加快建设一批高技能人才培训基地、公共实训基地、就业实训基地等培训基地，帮助劳动者提高就业创业能力。进一步完善政府购买培训成果的机制，大力推进校企联合、工学一体等技能人才培养方式。到</w:t>
      </w:r>
      <w:r>
        <w:rPr>
          <w:rFonts w:ascii="仿宋_GB2312" w:hAnsi="宋体" w:eastAsia="仿宋_GB2312" w:cs="宋体"/>
          <w:sz w:val="30"/>
          <w:szCs w:val="30"/>
        </w:rPr>
        <w:t>2025</w:t>
      </w:r>
      <w:r>
        <w:rPr>
          <w:rFonts w:hint="eastAsia" w:ascii="仿宋_GB2312" w:hAnsi="宋体" w:eastAsia="仿宋_GB2312" w:cs="宋体"/>
          <w:sz w:val="30"/>
          <w:szCs w:val="30"/>
        </w:rPr>
        <w:t>年，全县专业技术人才中高、中、初级人才总数大幅提高。</w:t>
      </w:r>
    </w:p>
    <w:p>
      <w:pPr>
        <w:keepNext/>
        <w:keepLines/>
        <w:spacing w:beforeLines="80" w:afterLines="80" w:line="570" w:lineRule="exact"/>
        <w:jc w:val="center"/>
        <w:outlineLvl w:val="1"/>
        <w:rPr>
          <w:rFonts w:ascii="黑体" w:hAnsi="楷体" w:eastAsia="黑体" w:cs="楷体"/>
          <w:b/>
          <w:sz w:val="30"/>
          <w:szCs w:val="30"/>
        </w:rPr>
      </w:pPr>
      <w:bookmarkStart w:id="142" w:name="_Toc19630"/>
      <w:bookmarkStart w:id="143" w:name="_Toc20647"/>
      <w:bookmarkStart w:id="144" w:name="_Toc54004395"/>
      <w:r>
        <w:rPr>
          <w:rFonts w:hint="eastAsia" w:ascii="黑体" w:hAnsi="楷体" w:eastAsia="黑体" w:cs="楷体"/>
          <w:b/>
          <w:sz w:val="30"/>
          <w:szCs w:val="30"/>
        </w:rPr>
        <w:t>第三章推进更加优质现代教育</w:t>
      </w:r>
      <w:bookmarkEnd w:id="142"/>
      <w:bookmarkEnd w:id="143"/>
      <w:bookmarkEnd w:id="144"/>
    </w:p>
    <w:p>
      <w:pPr>
        <w:spacing w:line="570" w:lineRule="exact"/>
        <w:ind w:firstLine="602" w:firstLineChars="200"/>
        <w:rPr>
          <w:rFonts w:ascii="仿宋_GB2312" w:hAnsi="??_GB2312" w:eastAsia="仿宋_GB2312" w:cs="??_GB2312"/>
          <w:bCs/>
          <w:sz w:val="30"/>
          <w:szCs w:val="30"/>
        </w:rPr>
      </w:pPr>
      <w:bookmarkStart w:id="145" w:name="_Toc54004396"/>
      <w:bookmarkStart w:id="146" w:name="_Toc21774"/>
      <w:bookmarkStart w:id="147" w:name="_Toc3205"/>
      <w:r>
        <w:rPr>
          <w:rFonts w:hint="eastAsia" w:ascii="楷体_GB2312" w:hAnsi="楷体" w:eastAsia="楷体_GB2312" w:cs="楷体"/>
          <w:b/>
          <w:bCs/>
          <w:sz w:val="30"/>
          <w:szCs w:val="30"/>
        </w:rPr>
        <w:t>完善教育体系。</w:t>
      </w:r>
      <w:r>
        <w:rPr>
          <w:rFonts w:hint="eastAsia" w:ascii="仿宋_GB2312" w:hAnsi="宋体" w:eastAsia="仿宋_GB2312" w:cs="宋体"/>
          <w:sz w:val="30"/>
          <w:szCs w:val="30"/>
        </w:rPr>
        <w:t>全面贯彻党的教育方针，坚持立德树人，加强师德师风建设，重视青少年身体素质和心理健康教育，培养德智体美劳全面发展的社会主义建设者和接班人，办好人民满意教育。深化教育领域综合改革，推动各类教育协调发展。继续加大公办幼儿园建设，全面提升学前教育发展水平。持续改善义务教育办学水平，推进优质均衡发展。深化高中特色多样化发展机制，提升普通高中教育质量。优化调整职业教育专业设置，建立适应经济社会发展的现代职业教育体系，推动校企合作办学、产教融合，探索特色学徒制，大力培养技能人才，推动现代职业教育加快发展。支持和规范民办教育发展，规范校外培训机构。到</w:t>
      </w:r>
      <w:r>
        <w:rPr>
          <w:rFonts w:ascii="仿宋_GB2312" w:hAnsi="宋体" w:eastAsia="仿宋_GB2312" w:cs="宋体"/>
          <w:sz w:val="30"/>
          <w:szCs w:val="30"/>
        </w:rPr>
        <w:t>2025</w:t>
      </w:r>
      <w:r>
        <w:rPr>
          <w:rFonts w:hint="eastAsia" w:ascii="仿宋_GB2312" w:hAnsi="宋体" w:eastAsia="仿宋_GB2312" w:cs="宋体"/>
          <w:sz w:val="30"/>
          <w:szCs w:val="30"/>
        </w:rPr>
        <w:t>年，力争学前教育公办率达到</w:t>
      </w:r>
      <w:r>
        <w:rPr>
          <w:rFonts w:ascii="仿宋_GB2312" w:hAnsi="宋体" w:eastAsia="仿宋_GB2312" w:cs="宋体"/>
          <w:sz w:val="30"/>
          <w:szCs w:val="30"/>
        </w:rPr>
        <w:t>50%</w:t>
      </w:r>
      <w:r>
        <w:rPr>
          <w:rFonts w:hint="eastAsia" w:ascii="仿宋_GB2312" w:hAnsi="宋体" w:eastAsia="仿宋_GB2312" w:cs="宋体"/>
          <w:sz w:val="30"/>
          <w:szCs w:val="30"/>
        </w:rPr>
        <w:t>、普惠率达到</w:t>
      </w:r>
      <w:r>
        <w:rPr>
          <w:rFonts w:ascii="仿宋_GB2312" w:hAnsi="宋体" w:eastAsia="仿宋_GB2312" w:cs="宋体"/>
          <w:sz w:val="30"/>
          <w:szCs w:val="30"/>
        </w:rPr>
        <w:t>80%</w:t>
      </w:r>
      <w:r>
        <w:rPr>
          <w:rFonts w:hint="eastAsia" w:ascii="仿宋_GB2312" w:hAnsi="宋体" w:eastAsia="仿宋_GB2312" w:cs="宋体"/>
          <w:sz w:val="30"/>
          <w:szCs w:val="30"/>
        </w:rPr>
        <w:t>以上。</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强化教育保障力量。</w:t>
      </w:r>
      <w:r>
        <w:rPr>
          <w:rFonts w:hint="eastAsia" w:ascii="仿宋_GB2312" w:hAnsi="宋体" w:eastAsia="仿宋_GB2312" w:cs="宋体"/>
          <w:sz w:val="30"/>
          <w:szCs w:val="30"/>
        </w:rPr>
        <w:t>落实教育经费“三个增长”，持续增加教育投入，全面改善中小学办学条件，加强信息化基础建设，提高教育信息化水平。全面加强师德师风建设，健全师德建设长效机制。健全教师培养培训体系，抓好新任教师岗前培训、在职教师岗位培训、骨干教师研修培训、管理队伍能力培训，继续实施“国培计划”“省培计划”“青蓝工程”，建立健全新任教师入职跟岗培训制度，促进教师终身学习和专业发展。推进金牌教师工作室建设，积极开展名师、名班主任、骨干教师、学科带头人等培育工作，加强新时代乡村教师队伍建设，提升教师能力素质。</w:t>
      </w:r>
    </w:p>
    <w:p>
      <w:pPr>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sz w:val="30"/>
          <w:szCs w:val="30"/>
        </w:rPr>
        <w:t>加快促进教育公平。</w:t>
      </w:r>
      <w:r>
        <w:rPr>
          <w:rFonts w:hint="eastAsia" w:ascii="仿宋_GB2312" w:hAnsi="宋体" w:eastAsia="仿宋_GB2312" w:cs="宋体"/>
          <w:sz w:val="30"/>
          <w:szCs w:val="30"/>
        </w:rPr>
        <w:t>加强县级统筹管理，优化职业教育发展环境，提高池州工业学校整体办学水平。坚持教育公益性原则，推动义务教育均衡发展和城乡一体化，深化高中阶段教育普及攻坚，实现特殊教育全面覆盖。扶持和规范普惠性幼儿园发展，扩大公办幼儿园资源，完善对普惠性民办幼儿园的扶持政策。加快发展残疾儿童学前教育和以职业教育为主的残疾人高中阶段教育。科学合理优化教育资源布局，建成舜城教育园区，加强农村“两类”学校建设，完成</w:t>
      </w:r>
      <w:r>
        <w:rPr>
          <w:rFonts w:ascii="仿宋_GB2312" w:hAnsi="宋体" w:eastAsia="仿宋_GB2312" w:cs="宋体"/>
          <w:sz w:val="30"/>
          <w:szCs w:val="30"/>
        </w:rPr>
        <w:t>61</w:t>
      </w:r>
      <w:r>
        <w:rPr>
          <w:rFonts w:hint="eastAsia" w:ascii="仿宋_GB2312" w:hAnsi="宋体" w:eastAsia="仿宋_GB2312" w:cs="宋体"/>
          <w:sz w:val="30"/>
          <w:szCs w:val="30"/>
        </w:rPr>
        <w:t>所智慧学校建设。加快普通高中攻坚和改造计划，支持普通高中校舍改扩建、图书和教学仪器配备、教育教学设施更新与维护、体育运动场等设施建设，改善普通高中办学条件。合理调配和培养优质教师资源，提升优质教育供给，健全公共教育普惠机制，切实做好进城务工随迁子女、引进人才子女等群体享受公平教育权利。到</w:t>
      </w:r>
      <w:r>
        <w:rPr>
          <w:rFonts w:ascii="仿宋_GB2312" w:hAnsi="宋体" w:eastAsia="仿宋_GB2312" w:cs="宋体"/>
          <w:sz w:val="30"/>
          <w:szCs w:val="30"/>
        </w:rPr>
        <w:t>2025</w:t>
      </w:r>
      <w:r>
        <w:rPr>
          <w:rFonts w:hint="eastAsia" w:ascii="仿宋_GB2312" w:hAnsi="宋体" w:eastAsia="仿宋_GB2312" w:cs="宋体"/>
          <w:sz w:val="30"/>
          <w:szCs w:val="30"/>
        </w:rPr>
        <w:t>年，残疾儿童少年义务教育入学率达到</w:t>
      </w:r>
      <w:r>
        <w:rPr>
          <w:rFonts w:ascii="仿宋_GB2312" w:hAnsi="宋体" w:eastAsia="仿宋_GB2312" w:cs="宋体"/>
          <w:sz w:val="30"/>
          <w:szCs w:val="30"/>
        </w:rPr>
        <w:t>95%</w:t>
      </w:r>
      <w:r>
        <w:rPr>
          <w:rFonts w:hint="eastAsia" w:ascii="仿宋_GB2312" w:hAnsi="宋体" w:eastAsia="仿宋_GB2312" w:cs="宋体"/>
          <w:sz w:val="30"/>
          <w:szCs w:val="30"/>
        </w:rPr>
        <w:t>以上。</w:t>
      </w:r>
    </w:p>
    <w:p>
      <w:pPr>
        <w:keepNext/>
        <w:keepLines/>
        <w:spacing w:beforeLines="80" w:afterLines="80" w:line="570" w:lineRule="exact"/>
        <w:jc w:val="center"/>
        <w:outlineLvl w:val="1"/>
        <w:rPr>
          <w:rFonts w:ascii="黑体" w:hAnsi="楷体" w:eastAsia="黑体" w:cs="楷体"/>
          <w:b/>
          <w:sz w:val="30"/>
          <w:szCs w:val="30"/>
        </w:rPr>
      </w:pPr>
      <w:r>
        <w:rPr>
          <w:rFonts w:hint="eastAsia" w:ascii="黑体" w:hAnsi="楷体" w:eastAsia="黑体" w:cs="楷体"/>
          <w:b/>
          <w:sz w:val="30"/>
          <w:szCs w:val="30"/>
        </w:rPr>
        <w:t>第四章</w:t>
      </w:r>
      <w:bookmarkEnd w:id="145"/>
      <w:bookmarkEnd w:id="146"/>
      <w:r>
        <w:rPr>
          <w:rFonts w:hint="eastAsia" w:ascii="黑体" w:hAnsi="楷体" w:eastAsia="黑体" w:cs="楷体"/>
          <w:b/>
          <w:sz w:val="30"/>
          <w:szCs w:val="30"/>
        </w:rPr>
        <w:t>繁荣发展文旅事业产业</w:t>
      </w:r>
      <w:bookmarkEnd w:id="147"/>
    </w:p>
    <w:p>
      <w:pPr>
        <w:spacing w:line="570" w:lineRule="exact"/>
        <w:ind w:firstLine="602" w:firstLineChars="200"/>
        <w:rPr>
          <w:rFonts w:ascii="仿宋_GB2312" w:hAnsi="宋体" w:eastAsia="仿宋_GB2312" w:cs="宋体"/>
          <w:sz w:val="30"/>
          <w:szCs w:val="30"/>
        </w:rPr>
      </w:pPr>
      <w:bookmarkStart w:id="148" w:name="_Toc10422"/>
      <w:bookmarkStart w:id="149" w:name="_Toc54004397"/>
      <w:bookmarkStart w:id="150" w:name="_Toc25617"/>
      <w:bookmarkStart w:id="151" w:name="_Toc54004398"/>
      <w:bookmarkStart w:id="152" w:name="_Toc32214"/>
      <w:r>
        <w:rPr>
          <w:rFonts w:hint="eastAsia" w:ascii="楷体_GB2312" w:hAnsi="楷体" w:eastAsia="楷体_GB2312" w:cs="楷体"/>
          <w:b/>
          <w:bCs/>
          <w:sz w:val="30"/>
          <w:szCs w:val="30"/>
        </w:rPr>
        <w:t>提高社会文明程度。</w:t>
      </w:r>
      <w:r>
        <w:rPr>
          <w:rFonts w:hint="eastAsia" w:ascii="仿宋_GB2312" w:hAnsi="宋体" w:eastAsia="仿宋_GB2312" w:cs="宋体"/>
          <w:sz w:val="30"/>
          <w:szCs w:val="30"/>
        </w:rPr>
        <w:t>深入开展习近平新时代中国特色社会主义思想学习教育，推动形成适应新时代要求的思想观念、精神面貌、文明风尚、行为规范。拓展新时代文明实践中心建设，深入推进新时代文明实践中心与融媒体中心融合发展，打造网上理论传播矩阵。加强党史、新中国史、改革开放史、社会主义发展史教育，用好东至特色党史资源、红色文化资源，持续寻找老支书精神，深入挖掘治水精神，重点推进东至革命历史纪念馆、东至治水精神展馆建设，打造红色文化实景课堂。实施文明创建工程，推进公民道德建设，持续打造东至好人品牌。健全志愿服务体系广泛开展志愿服务关爱行动。弘扬诚信文化，建设诚信社会。提倡艰苦奋斗、勤俭节约，大力弘扬劳模精神、劳动精神、工匠精神，开展以劳动创造幸福为主题的宣传教育。加强家庭、家教、家风建设，深入挖掘弘扬东至好家风好家训。加强网络文明建设，净化网络空间，发展积极健康的网络文化。严格落实意识形态工作责任制，强化阵地建设和管理，唱响主旋律，弘扬正能量。</w:t>
      </w:r>
    </w:p>
    <w:p>
      <w:pPr>
        <w:spacing w:line="570" w:lineRule="exact"/>
        <w:ind w:firstLine="641"/>
        <w:rPr>
          <w:rFonts w:ascii="仿宋_GB2312" w:hAnsi="宋体" w:eastAsia="仿宋_GB2312" w:cs="宋体"/>
          <w:sz w:val="30"/>
          <w:szCs w:val="30"/>
        </w:rPr>
      </w:pPr>
      <w:r>
        <w:rPr>
          <w:rFonts w:hint="eastAsia" w:ascii="楷体_GB2312" w:hAnsi="楷体" w:eastAsia="楷体_GB2312" w:cs="楷体"/>
          <w:b/>
          <w:bCs/>
          <w:sz w:val="30"/>
          <w:szCs w:val="30"/>
        </w:rPr>
        <w:t>提升公共文化服务水平。</w:t>
      </w:r>
      <w:r>
        <w:rPr>
          <w:rFonts w:hint="eastAsia" w:ascii="仿宋_GB2312" w:hAnsi="宋体" w:eastAsia="仿宋_GB2312" w:cs="宋体"/>
          <w:sz w:val="30"/>
          <w:szCs w:val="30"/>
        </w:rPr>
        <w:t>推进媒体深度融合，做强新型主流媒体，推动县级融媒体中心提质增效。加强城乡公共文化服务体系一体建设，推进乡镇综合性文化服务中心、农民文化乐园、社区文化活动中心建设，建成东至县博物馆。创新实施文化惠民工程，完善公共文化服务设施，推进基层公共文化设施社会化运营。培育挖掘乡土文化人才，广泛开展群众性文化活动，组织开展基层题材文艺创作生产，推出具有浓郁东至特色、深受欢迎的文艺作品。传承弘扬中华优秀传统文化，持续挖掘尧舜文化、陶公文化、周氏文化，保护传承弘扬长江文化，提升东流老街的影响力，建成周氏家风文化园。</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繁荣发展文化事业。</w:t>
      </w:r>
      <w:r>
        <w:rPr>
          <w:rFonts w:hint="eastAsia" w:ascii="仿宋_GB2312" w:hAnsi="宋体" w:eastAsia="仿宋_GB2312" w:cs="宋体"/>
          <w:sz w:val="30"/>
          <w:szCs w:val="30"/>
        </w:rPr>
        <w:t>全面繁荣新闻出版、广播影视、文学艺术、哲学社会科学事业，提升城市文化魅力。加强文物保护，用足用好文物保护专项资金，推进华龙洞遗址发掘保护工作，建设华龙洞遗址公园。实施革命遗址遗存保护利用工程，持续推进东至木塔红军纪念馆、东至革命历史纪念馆、东至县烈士陵园等阵地建设，保护传承红色文化。加大非遗保护和传承，继续开展非遗“名师带徒”工程，加大对文南词、东至花灯、东至章氏吟诵及官港民歌等非物质文化遗产的保护，积极推进非遗综合展厅建设，推进非遗演出展演活动，提升传承利用水平。加强古镇古村古遗迹保护利用，加强传统文化挖掘保护开发，发展地方特色地域文化。广泛开展群众性文化活动，组织开展基层题材文艺创作生产，聚焦建党</w:t>
      </w:r>
      <w:r>
        <w:rPr>
          <w:rFonts w:ascii="仿宋_GB2312" w:hAnsi="宋体" w:eastAsia="仿宋_GB2312" w:cs="宋体"/>
          <w:sz w:val="30"/>
          <w:szCs w:val="30"/>
        </w:rPr>
        <w:t>100</w:t>
      </w:r>
      <w:r>
        <w:rPr>
          <w:rFonts w:hint="eastAsia" w:ascii="仿宋_GB2312" w:hAnsi="宋体" w:eastAsia="仿宋_GB2312" w:cs="宋体"/>
          <w:sz w:val="30"/>
          <w:szCs w:val="30"/>
        </w:rPr>
        <w:t>周年、党的二十大等重要时间节点推出一批“四个讴歌”重点作品，推出具有浓郁东至特色、深受欢迎的东至题材文艺作品。</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大力发展文化产业。</w:t>
      </w:r>
      <w:r>
        <w:rPr>
          <w:rFonts w:hint="eastAsia" w:ascii="仿宋_GB2312" w:hAnsi="宋体" w:eastAsia="仿宋_GB2312" w:cs="宋体"/>
          <w:sz w:val="30"/>
          <w:szCs w:val="30"/>
        </w:rPr>
        <w:t>加强文化市场体系建设，加强文化品牌建设，实施文化产业优化升级工程，扩大优质文化产品供给，以文化制造、影视演艺、文化创意、数字内容等为重点，优化文化旅游产业空间布局，加快发展新型文化企业、文化业态、文化消费模式，积极发展信息文化产业，培育发展创意文化产业，推进优秀传统文化、红色文化等文化传承创新示范区建设，加大文化产业培育力度。培育农村文化产业，发展适合农村的演艺文化市场。完善现代文化产业市场体系，推动文化产业与旅游产业融合发展。力争到</w:t>
      </w:r>
      <w:r>
        <w:rPr>
          <w:rFonts w:ascii="仿宋_GB2312" w:hAnsi="宋体" w:eastAsia="仿宋_GB2312" w:cs="宋体"/>
          <w:sz w:val="30"/>
          <w:szCs w:val="30"/>
        </w:rPr>
        <w:t>2025</w:t>
      </w:r>
      <w:r>
        <w:rPr>
          <w:rFonts w:hint="eastAsia" w:ascii="仿宋_GB2312" w:hAnsi="宋体" w:eastAsia="仿宋_GB2312" w:cs="宋体"/>
          <w:sz w:val="30"/>
          <w:szCs w:val="30"/>
        </w:rPr>
        <w:t>年，文化产业产值年均增速超过</w:t>
      </w:r>
      <w:r>
        <w:rPr>
          <w:rFonts w:ascii="仿宋_GB2312" w:hAnsi="宋体" w:eastAsia="仿宋_GB2312" w:cs="宋体"/>
          <w:sz w:val="30"/>
          <w:szCs w:val="30"/>
        </w:rPr>
        <w:t>10%</w:t>
      </w:r>
      <w:r>
        <w:rPr>
          <w:rFonts w:hint="eastAsia" w:ascii="仿宋_GB2312" w:hAnsi="宋体" w:eastAsia="仿宋_GB2312" w:cs="宋体"/>
          <w:sz w:val="30"/>
          <w:szCs w:val="30"/>
        </w:rPr>
        <w:t>。</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创建国家全域旅游示范区。</w:t>
      </w:r>
      <w:r>
        <w:rPr>
          <w:rFonts w:hint="eastAsia" w:ascii="仿宋_GB2312" w:hAnsi="宋体" w:eastAsia="仿宋_GB2312" w:cs="宋体"/>
          <w:sz w:val="30"/>
          <w:szCs w:val="30"/>
        </w:rPr>
        <w:t>以文旅融合发展为主线，充分利用红色文化、民俗文化、非遗文化等资源，整合升金湖、大历山、南溪古寨等旅游资源，打响东至旅游品牌，构筑旅游核心吸引力和竞争力，提升旅游附加值。大力发展生态游览、休闲康养、体育健身、露营自驾、科普研学、红色旅游等“旅游</w:t>
      </w:r>
      <w:r>
        <w:rPr>
          <w:rFonts w:ascii="仿宋_GB2312" w:hAnsi="宋体" w:eastAsia="仿宋_GB2312" w:cs="宋体"/>
          <w:sz w:val="30"/>
          <w:szCs w:val="30"/>
        </w:rPr>
        <w:t>+</w:t>
      </w:r>
      <w:r>
        <w:rPr>
          <w:rFonts w:hint="eastAsia" w:ascii="仿宋_GB2312" w:hAnsi="宋体" w:eastAsia="仿宋_GB2312" w:cs="宋体"/>
          <w:sz w:val="30"/>
          <w:szCs w:val="30"/>
        </w:rPr>
        <w:t>”新型业态，积极谋划和推进三条岭文化旅游康养小镇、“尧舜天路</w:t>
      </w:r>
      <w:r>
        <w:rPr>
          <w:rFonts w:ascii="仿宋_GB2312" w:hAnsi="宋体" w:eastAsia="仿宋_GB2312" w:cs="宋体"/>
          <w:sz w:val="30"/>
          <w:szCs w:val="30"/>
        </w:rPr>
        <w:t>-</w:t>
      </w:r>
      <w:r>
        <w:rPr>
          <w:rFonts w:hint="eastAsia" w:ascii="仿宋_GB2312" w:hAnsi="宋体" w:eastAsia="仿宋_GB2312" w:cs="宋体"/>
          <w:sz w:val="30"/>
          <w:szCs w:val="30"/>
        </w:rPr>
        <w:t>皖西南一号风景线”、小七里湖体育运动小镇、华龙洞考古遗址公园等重点文化旅游项目建设，尽快打造成新型旅游产品。以“互联网</w:t>
      </w:r>
      <w:r>
        <w:rPr>
          <w:rFonts w:ascii="仿宋_GB2312" w:hAnsi="宋体" w:eastAsia="仿宋_GB2312" w:cs="宋体"/>
          <w:sz w:val="30"/>
          <w:szCs w:val="30"/>
        </w:rPr>
        <w:t>+</w:t>
      </w:r>
      <w:r>
        <w:rPr>
          <w:rFonts w:hint="eastAsia" w:ascii="仿宋_GB2312" w:hAnsi="宋体" w:eastAsia="仿宋_GB2312" w:cs="宋体"/>
          <w:sz w:val="30"/>
          <w:szCs w:val="30"/>
        </w:rPr>
        <w:t>旅游”、智慧旅游建设推进，加快重要景区景点道路、停车场、旅游交通标识系统、旅游厕所、公共文化服务设施、卫生医疗配套等设施建设，持续推进国家全域旅游示范区、国家</w:t>
      </w:r>
      <w:r>
        <w:rPr>
          <w:rFonts w:ascii="仿宋_GB2312" w:hAnsi="宋体" w:eastAsia="仿宋_GB2312" w:cs="宋体"/>
          <w:sz w:val="30"/>
          <w:szCs w:val="30"/>
        </w:rPr>
        <w:t>A</w:t>
      </w:r>
      <w:r>
        <w:rPr>
          <w:rFonts w:hint="eastAsia" w:ascii="仿宋_GB2312" w:hAnsi="宋体" w:eastAsia="仿宋_GB2312" w:cs="宋体"/>
          <w:sz w:val="30"/>
          <w:szCs w:val="30"/>
        </w:rPr>
        <w:t>级旅游景区、文化旅游名县、特色旅游名镇、旅游度假区、文化旅游消费街区、特色旅游村和休闲旅游示范点等国家级旅游品牌创建，突出长三角及周边重点客源市场开展有针对性宣传营销，着力将东至县打造成长三角重要旅游目的地、重要休闲康养基地、长三角有影响力的省际边界文化旅游名县。</w:t>
      </w:r>
    </w:p>
    <w:p>
      <w:pPr>
        <w:keepNext/>
        <w:keepLines/>
        <w:spacing w:beforeLines="80" w:afterLines="80" w:line="570" w:lineRule="exact"/>
        <w:jc w:val="center"/>
        <w:outlineLvl w:val="1"/>
        <w:rPr>
          <w:rFonts w:ascii="黑体" w:hAnsi="楷体" w:eastAsia="黑体" w:cs="楷体"/>
          <w:b/>
          <w:sz w:val="30"/>
          <w:szCs w:val="30"/>
        </w:rPr>
      </w:pPr>
      <w:bookmarkStart w:id="153" w:name="_Toc15577"/>
      <w:r>
        <w:rPr>
          <w:rFonts w:hint="eastAsia" w:ascii="黑体" w:hAnsi="楷体" w:eastAsia="黑体" w:cs="楷体"/>
          <w:b/>
          <w:sz w:val="30"/>
          <w:szCs w:val="30"/>
        </w:rPr>
        <w:t>第五章</w:t>
      </w:r>
      <w:bookmarkEnd w:id="148"/>
      <w:bookmarkEnd w:id="149"/>
      <w:r>
        <w:rPr>
          <w:rFonts w:hint="eastAsia" w:ascii="黑体" w:hAnsi="楷体" w:eastAsia="黑体" w:cs="楷体"/>
          <w:b/>
          <w:sz w:val="30"/>
          <w:szCs w:val="30"/>
        </w:rPr>
        <w:t>实施健康东至行动</w:t>
      </w:r>
      <w:bookmarkEnd w:id="150"/>
      <w:bookmarkEnd w:id="153"/>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提升公共卫生服务水平。</w:t>
      </w:r>
      <w:r>
        <w:rPr>
          <w:rFonts w:hint="eastAsia" w:ascii="仿宋_GB2312" w:hAnsi="宋体" w:eastAsia="仿宋_GB2312" w:cs="宋体"/>
          <w:sz w:val="30"/>
          <w:szCs w:val="30"/>
        </w:rPr>
        <w:t>把保障人民健康放在优先发展的战略位置，深入实施健康东至行动，实施国民营养计划，完善国民健康促进政策，争创国家级健康促进县，为人民提供全方位全周期健康服务。深化医药卫生体制综合改革，以总医院体制改革推进县域紧密型医共体建设，充分发挥县级医院在紧密型医共体建设中的领头作用，加强县级医院能力建设和重点学科建设，提高县级医院救治能力和救治水平，推进医药、医保、医院“三医”联动发展，建设高质量医共体。坚持中西医并重，大力发展中医药事业，促进中医药传承创新发展。加大公共卫生领域投入力度，构建强大的公共卫生体系，改革全县疾病预防控制体系，补齐公共卫生服务基础设施短板，完善重大疫情防控救治体制，建立健全公共卫生应急管理机制，提高传染性、重大疾病防控能力。提升健康教育、慢病管理和残疾康复服务质量，重视精神卫生和心理健康。加强公共卫生机构专业人才培养和队伍建设，谋划推进东至经开区化工专科医院建设项目，全面提升公共卫生防控和医疗救治水平。深入开展全民爱国卫生运动，促进全民养成文明健康生活方式。</w:t>
      </w:r>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强化医疗卫生优质供给。</w:t>
      </w:r>
      <w:r>
        <w:rPr>
          <w:rFonts w:hint="eastAsia" w:ascii="仿宋_GB2312" w:hAnsi="宋体" w:eastAsia="仿宋_GB2312" w:cs="宋体"/>
          <w:sz w:val="30"/>
          <w:szCs w:val="30"/>
        </w:rPr>
        <w:t>持续加强基层医疗卫生机构基础设施建设，实施提升乡“院”村“室”标准化水平，推动基层医疗机构“智医助理”高质量、常态化使用。推动智慧医疗建设，以物联网等技术手段统筹医疗服务资源，建设医疗信息共享平台，全面改善居民就医效率。推进紧密型县域医共体建设，有序推进医共体规范化管理、高效率运行。加大对乡镇中心卫生院建设发展的支持力度，扩建院区、增设急诊室、加强医护人员培训，推动基层医疗卫生事业发展，打造群众家门口的优质医院。落实“县管乡用”和“乡聘村用”机制，培养一批精医学、爱岗位、能奉献的医护人员。</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积极应对人口老龄化。</w:t>
      </w:r>
      <w:r>
        <w:rPr>
          <w:rFonts w:hint="eastAsia" w:ascii="仿宋_GB2312" w:hAnsi="宋体" w:eastAsia="仿宋_GB2312" w:cs="宋体"/>
          <w:sz w:val="30"/>
          <w:szCs w:val="30"/>
        </w:rPr>
        <w:t>提高优生优育服务水平，发展普惠托育服务体系，降低生育、养育、教育成本，促进人口长期均衡发展，提高人口素质。深化医养结合促进健康养老，推动医疗卫生服务向社区、家庭延伸，加快推进居民健康档案、健康教育、儿童孕产妇及老人健康管理、健康素养促进等基本公共卫生服务项目，促进基本公共卫生服务标准化、均等化、法定化。大力发展老年教育，积极开发老龄人力资源，发展银发经济。突出中医特色，实施中医药康复服务能力提升工程，打造面向长三角的康养基地。</w:t>
      </w:r>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大力发展体育事业。</w:t>
      </w:r>
      <w:r>
        <w:rPr>
          <w:rFonts w:hint="eastAsia" w:ascii="仿宋_GB2312" w:hAnsi="宋体" w:eastAsia="仿宋_GB2312" w:cs="宋体"/>
          <w:sz w:val="30"/>
          <w:szCs w:val="30"/>
        </w:rPr>
        <w:t>落实全民健身战略，推进实施新一轮全民健身计划，加强全民健身公共服务体系建设，抓好全民健身“六个身边”工程建设。扩大体育消费，促进健身休闲、竞赛表演产业发展，培育体育产业经济发展新动能。完善覆盖城乡、规范有序、富有活力的全民健身组织网络，带动各级各类单项体育组织开展全民健身活动。加强县、乡、村三级公共体育场地和设施建设，建成</w:t>
      </w:r>
      <w:r>
        <w:rPr>
          <w:rFonts w:ascii="仿宋_GB2312" w:hAnsi="宋体" w:eastAsia="仿宋_GB2312" w:cs="宋体"/>
          <w:sz w:val="30"/>
          <w:szCs w:val="30"/>
        </w:rPr>
        <w:t>1</w:t>
      </w:r>
      <w:r>
        <w:rPr>
          <w:rFonts w:hint="eastAsia" w:ascii="仿宋_GB2312" w:hAnsi="宋体" w:eastAsia="仿宋_GB2312" w:cs="宋体"/>
          <w:sz w:val="30"/>
          <w:szCs w:val="30"/>
        </w:rPr>
        <w:t>座综合性中型体育场馆，在城区布局“十五分钟”半径的健身场地，建设一批篮球场、</w:t>
      </w:r>
      <w:r>
        <w:rPr>
          <w:rFonts w:ascii="仿宋_GB2312" w:hAnsi="宋体" w:eastAsia="仿宋_GB2312" w:cs="宋体"/>
          <w:sz w:val="30"/>
          <w:szCs w:val="30"/>
        </w:rPr>
        <w:t>5</w:t>
      </w:r>
      <w:r>
        <w:rPr>
          <w:rFonts w:hint="eastAsia" w:ascii="仿宋_GB2312" w:hAnsi="宋体" w:eastAsia="仿宋_GB2312" w:cs="宋体"/>
          <w:sz w:val="30"/>
          <w:szCs w:val="30"/>
        </w:rPr>
        <w:t>人制（</w:t>
      </w:r>
      <w:r>
        <w:rPr>
          <w:rFonts w:ascii="仿宋_GB2312" w:hAnsi="宋体" w:eastAsia="仿宋_GB2312" w:cs="宋体"/>
          <w:sz w:val="30"/>
          <w:szCs w:val="30"/>
        </w:rPr>
        <w:t>7</w:t>
      </w:r>
      <w:r>
        <w:rPr>
          <w:rFonts w:hint="eastAsia" w:ascii="仿宋_GB2312" w:hAnsi="宋体" w:eastAsia="仿宋_GB2312" w:cs="宋体"/>
          <w:sz w:val="30"/>
          <w:szCs w:val="30"/>
        </w:rPr>
        <w:t>人制）足球场等公共健身场所，促进公共体育设施和体育场所向社会开放。发展群众体育，广泛开展群众性健身活动和各类体育竞赛，增强城乡人民身体素质。</w:t>
      </w:r>
    </w:p>
    <w:p>
      <w:pPr>
        <w:keepNext/>
        <w:keepLines/>
        <w:spacing w:beforeLines="80" w:afterLines="80" w:line="570" w:lineRule="exact"/>
        <w:jc w:val="center"/>
        <w:outlineLvl w:val="1"/>
        <w:rPr>
          <w:rFonts w:ascii="黑体" w:hAnsi="楷体" w:eastAsia="黑体" w:cs="楷体"/>
          <w:b/>
          <w:sz w:val="30"/>
          <w:szCs w:val="30"/>
        </w:rPr>
      </w:pPr>
      <w:bookmarkStart w:id="154" w:name="_Toc6728"/>
      <w:r>
        <w:rPr>
          <w:rFonts w:hint="eastAsia" w:ascii="黑体" w:hAnsi="楷体" w:eastAsia="黑体" w:cs="楷体"/>
          <w:b/>
          <w:sz w:val="30"/>
          <w:szCs w:val="30"/>
        </w:rPr>
        <w:t>第六章健全多层次社会保障体系</w:t>
      </w:r>
      <w:bookmarkEnd w:id="151"/>
      <w:bookmarkEnd w:id="152"/>
      <w:bookmarkEnd w:id="154"/>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深化社会保障制度改革。</w:t>
      </w:r>
      <w:r>
        <w:rPr>
          <w:rFonts w:hint="eastAsia" w:ascii="仿宋_GB2312" w:hAnsi="宋体" w:eastAsia="仿宋_GB2312" w:cs="宋体"/>
          <w:sz w:val="30"/>
          <w:szCs w:val="30"/>
        </w:rPr>
        <w:t>加快建立覆盖全民、统筹城乡、公平统一、可持续的多层次社会保障体系，完善养老服务设施网络，健全社会救助体系。全面实施全民参保计划，稳步推动医保城乡一体化改革，提高城镇职工和城乡居民两个参保群体的基本医保、大病保险医疗保险保障水平，推动建设统一的社会保险公共服务平台。建立健全社会保险待遇正常调整机制，基本实现法定人群参加社会保险全覆盖。健全灵活就业人员社保制度，健全退役军人工作体系和保障制度，坚持和完善社会统筹与个人账户相结合的制度模式，巩固和拓宽个人缴费、集体补助、政府补贴相结合的资金筹集渠道。</w:t>
      </w:r>
    </w:p>
    <w:p>
      <w:pPr>
        <w:spacing w:line="570" w:lineRule="exact"/>
        <w:ind w:firstLine="602" w:firstLineChars="200"/>
        <w:rPr>
          <w:rFonts w:ascii="仿宋_GB2312" w:hAnsi="??_GB2312" w:eastAsia="仿宋_GB2312" w:cs="??_GB2312"/>
          <w:bCs/>
          <w:sz w:val="30"/>
          <w:szCs w:val="30"/>
        </w:rPr>
      </w:pPr>
      <w:r>
        <w:rPr>
          <w:rFonts w:hint="eastAsia" w:ascii="楷体_GB2312" w:hAnsi="楷体" w:eastAsia="楷体_GB2312" w:cs="楷体"/>
          <w:b/>
          <w:bCs/>
          <w:sz w:val="30"/>
          <w:szCs w:val="30"/>
        </w:rPr>
        <w:t>完善社会救助政策。</w:t>
      </w:r>
      <w:r>
        <w:rPr>
          <w:rFonts w:hint="eastAsia" w:ascii="仿宋_GB2312" w:hAnsi="宋体" w:eastAsia="仿宋_GB2312" w:cs="宋体"/>
          <w:sz w:val="30"/>
          <w:szCs w:val="30"/>
        </w:rPr>
        <w:t>建立健全新型城乡社会救助体系、医疗救助制度和临时救助制度，完善最低生活保障、社会救助、法律援助、社会福利、慈善事业、优抚安置等制度。健全农村留守儿童、妇女、老年人关爱体系，大力发展残疾人事业。加强城乡低保管理，缩小城乡低保差距，扩大覆盖范围，提高保障标准，切实保障没有劳动能力生活困难农村人口基本生活。</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加强社会养老保障。</w:t>
      </w:r>
      <w:r>
        <w:rPr>
          <w:rFonts w:hint="eastAsia" w:ascii="仿宋_GB2312" w:hAnsi="宋体" w:eastAsia="仿宋_GB2312" w:cs="宋体"/>
          <w:sz w:val="30"/>
          <w:szCs w:val="30"/>
        </w:rPr>
        <w:t>大力发展多层次社会化养老服务，深入推进公办养老机构改革，加快养老机构和服务设施建设，提高小区养老服务配套设施比重，推动养老事业和养老产业联动发展。创新机构养老新模式，完善社区居家养老服务，推进居家社区养老服务全覆盖，打造一批健康养老示范基地，构建居家社区机构相协调、医养康养相结合的养老服务体系。健全养老保障体系，进一步延伸农村社会养老保险的管理服务网络，补齐农村养老服务短板。到</w:t>
      </w:r>
      <w:r>
        <w:rPr>
          <w:rFonts w:ascii="仿宋_GB2312" w:hAnsi="宋体" w:eastAsia="仿宋_GB2312" w:cs="宋体"/>
          <w:sz w:val="30"/>
          <w:szCs w:val="30"/>
        </w:rPr>
        <w:t>2025</w:t>
      </w:r>
      <w:r>
        <w:rPr>
          <w:rFonts w:hint="eastAsia" w:ascii="仿宋_GB2312" w:hAnsi="宋体" w:eastAsia="仿宋_GB2312" w:cs="宋体"/>
          <w:sz w:val="30"/>
          <w:szCs w:val="30"/>
        </w:rPr>
        <w:t>年，全面建立覆盖城乡的基本养老保险体系。</w:t>
      </w:r>
    </w:p>
    <w:p>
      <w:pPr>
        <w:jc w:val="center"/>
        <w:rPr>
          <w:rFonts w:ascii="黑体" w:eastAsia="黑体"/>
        </w:rPr>
      </w:pPr>
      <w:r>
        <w:rPr>
          <w:rFonts w:hint="eastAsia" w:ascii="黑体" w:hAnsi="??" w:eastAsia="黑体"/>
          <w:bCs/>
          <w:kern w:val="0"/>
          <w:sz w:val="28"/>
          <w:szCs w:val="28"/>
        </w:rPr>
        <w:t>专栏</w:t>
      </w:r>
      <w:r>
        <w:rPr>
          <w:rFonts w:ascii="黑体" w:hAnsi="??" w:eastAsia="黑体"/>
          <w:bCs/>
          <w:kern w:val="0"/>
          <w:sz w:val="28"/>
          <w:szCs w:val="28"/>
        </w:rPr>
        <w:t xml:space="preserve">11  </w:t>
      </w:r>
      <w:r>
        <w:rPr>
          <w:rFonts w:hint="eastAsia" w:ascii="黑体" w:hAnsi="黑体" w:eastAsia="黑体" w:cs="黑体"/>
          <w:sz w:val="28"/>
          <w:szCs w:val="28"/>
        </w:rPr>
        <w:t>社会事业重点项目</w:t>
      </w:r>
    </w:p>
    <w:tbl>
      <w:tblPr>
        <w:tblStyle w:val="13"/>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718" w:type="dxa"/>
          </w:tcPr>
          <w:p>
            <w:pPr>
              <w:shd w:val="clear" w:color="auto" w:fill="FFFFFF"/>
              <w:spacing w:line="570" w:lineRule="exact"/>
              <w:ind w:firstLine="562" w:firstLineChars="200"/>
              <w:rPr>
                <w:rFonts w:ascii="仿宋_GB2312" w:hAnsi="仿宋" w:eastAsia="仿宋_GB2312"/>
                <w:sz w:val="28"/>
                <w:szCs w:val="28"/>
              </w:rPr>
            </w:pPr>
            <w:r>
              <w:rPr>
                <w:rFonts w:hint="eastAsia" w:ascii="楷体_GB2312" w:hAnsi="华文楷体" w:eastAsia="楷体_GB2312" w:cs="华文楷体"/>
                <w:b/>
                <w:bCs/>
                <w:sz w:val="28"/>
                <w:szCs w:val="28"/>
              </w:rPr>
              <w:t>教育提升工程：</w:t>
            </w:r>
            <w:r>
              <w:rPr>
                <w:rFonts w:hint="eastAsia" w:ascii="仿宋_GB2312" w:hAnsi="仿宋" w:eastAsia="仿宋_GB2312"/>
                <w:sz w:val="28"/>
                <w:szCs w:val="28"/>
              </w:rPr>
              <w:t>舜城新区省示范高中、职业教育中心、九年制义务教育学校、幼儿园，尧城区城北初中新建、敬慈小学、城南幼儿园、河西幼儿园，乡镇中心学校（本部小学）新建、扩建、改建等项目。</w:t>
            </w:r>
          </w:p>
          <w:p>
            <w:pPr>
              <w:shd w:val="clear" w:color="auto" w:fill="FFFFFF"/>
              <w:spacing w:line="570" w:lineRule="exact"/>
              <w:ind w:firstLine="562" w:firstLineChars="200"/>
              <w:rPr>
                <w:rFonts w:ascii="仿宋_GB2312" w:hAnsi="仿宋" w:eastAsia="仿宋_GB2312"/>
                <w:b/>
                <w:bCs/>
                <w:sz w:val="28"/>
                <w:szCs w:val="28"/>
              </w:rPr>
            </w:pPr>
            <w:r>
              <w:rPr>
                <w:rFonts w:hint="eastAsia" w:ascii="楷体_GB2312" w:hAnsi="华文楷体" w:eastAsia="楷体_GB2312" w:cs="华文楷体"/>
                <w:b/>
                <w:bCs/>
                <w:sz w:val="28"/>
                <w:szCs w:val="28"/>
              </w:rPr>
              <w:t>体育健身项目：</w:t>
            </w:r>
            <w:r>
              <w:rPr>
                <w:rFonts w:hint="eastAsia" w:ascii="仿宋_GB2312" w:hAnsi="仿宋" w:eastAsia="仿宋_GB2312"/>
                <w:sz w:val="28"/>
                <w:szCs w:val="28"/>
              </w:rPr>
              <w:t>东至县体育公园（体育馆）、至德全民健身中心场馆建设、社会足球场建设、全民休闲健身步道、尧渡东流骑行道、乡镇全民健身中心、户外活动营地等项目。</w:t>
            </w:r>
          </w:p>
          <w:p>
            <w:pPr>
              <w:shd w:val="clear" w:color="auto" w:fill="FFFFFF"/>
              <w:spacing w:line="570" w:lineRule="exact"/>
              <w:ind w:firstLine="562" w:firstLineChars="200"/>
              <w:rPr>
                <w:rFonts w:ascii="仿宋_GB2312" w:hAnsi="仿宋" w:eastAsia="仿宋_GB2312"/>
                <w:sz w:val="28"/>
                <w:szCs w:val="28"/>
              </w:rPr>
            </w:pPr>
            <w:r>
              <w:rPr>
                <w:rFonts w:hint="eastAsia" w:ascii="楷体_GB2312" w:hAnsi="华文楷体" w:eastAsia="楷体_GB2312" w:cs="华文楷体"/>
                <w:b/>
                <w:bCs/>
                <w:sz w:val="28"/>
                <w:szCs w:val="28"/>
              </w:rPr>
              <w:t>医疗卫生项目：</w:t>
            </w:r>
            <w:r>
              <w:rPr>
                <w:rFonts w:hint="eastAsia" w:ascii="仿宋_GB2312" w:hAnsi="仿宋" w:eastAsia="仿宋_GB2312"/>
                <w:sz w:val="28"/>
                <w:szCs w:val="28"/>
              </w:rPr>
              <w:t>舜城新区医院新建、县婴幼儿照护服务中心新建、县总医院县中医院院区康复大楼新建、总医院基础设施建设、总医院能力提升建设、尧渡镇社区医院和发热门诊建设、公共卫生和服务保障能力提升、县防控应急救治中心、县域医疗分中心建设、乡镇卫生院改扩建等项目。</w:t>
            </w:r>
          </w:p>
          <w:p>
            <w:pPr>
              <w:pStyle w:val="2"/>
              <w:spacing w:line="570" w:lineRule="exact"/>
              <w:ind w:left="0" w:leftChars="0" w:firstLine="551" w:firstLineChars="196"/>
            </w:pPr>
            <w:r>
              <w:rPr>
                <w:rFonts w:hint="eastAsia" w:ascii="楷体_GB2312" w:hAnsi="华文楷体" w:eastAsia="楷体_GB2312" w:cs="华文楷体"/>
                <w:b/>
                <w:bCs/>
                <w:sz w:val="28"/>
                <w:szCs w:val="28"/>
              </w:rPr>
              <w:t>民政事业项目：</w:t>
            </w:r>
            <w:r>
              <w:rPr>
                <w:rFonts w:hint="eastAsia" w:ascii="仿宋_GB2312" w:hAnsi="仿宋" w:eastAsia="仿宋_GB2312"/>
                <w:sz w:val="28"/>
                <w:szCs w:val="28"/>
              </w:rPr>
              <w:t>东至县军队离退休人员服务中心（光荣院）、烈士陵园景观提升工程、乡镇养老院改扩建、乡镇公益性公墓等项目。</w:t>
            </w:r>
          </w:p>
        </w:tc>
      </w:tr>
    </w:tbl>
    <w:p>
      <w:pPr>
        <w:pStyle w:val="3"/>
        <w:spacing w:before="0" w:after="0" w:line="600" w:lineRule="exact"/>
        <w:rPr>
          <w:rFonts w:ascii="方正小标宋简体" w:hAnsi="华文楷体" w:eastAsia="方正小标宋简体" w:cs="华文楷体"/>
          <w:bCs/>
          <w:kern w:val="2"/>
          <w:sz w:val="36"/>
          <w:szCs w:val="36"/>
        </w:rPr>
      </w:pPr>
      <w:bookmarkStart w:id="155" w:name="_Toc15591"/>
      <w:r>
        <w:rPr>
          <w:rFonts w:ascii="华文楷体" w:hAnsi="华文楷体" w:eastAsia="华文楷体" w:cs="华文楷体"/>
          <w:sz w:val="36"/>
          <w:szCs w:val="36"/>
        </w:rPr>
        <w:br w:type="page"/>
      </w:r>
      <w:r>
        <w:rPr>
          <w:rFonts w:hint="eastAsia" w:ascii="方正小标宋简体" w:hAnsi="华文楷体" w:eastAsia="方正小标宋简体" w:cs="华文楷体"/>
          <w:bCs/>
          <w:kern w:val="2"/>
          <w:sz w:val="36"/>
          <w:szCs w:val="36"/>
        </w:rPr>
        <w:t>第十一篇建立现代治理体系，建设更高水平的平安东至</w:t>
      </w:r>
      <w:bookmarkEnd w:id="155"/>
    </w:p>
    <w:p>
      <w:pPr>
        <w:spacing w:line="600" w:lineRule="exact"/>
        <w:ind w:firstLine="640" w:firstLineChars="200"/>
        <w:rPr>
          <w:rFonts w:ascii="??_GB2312" w:hAnsi="宋体" w:eastAsia="Times New Roman" w:cs="宋体"/>
          <w:sz w:val="32"/>
          <w:szCs w:val="32"/>
        </w:rPr>
      </w:pPr>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践行总体国家安全观，落实国家安全战略和依法治国方略，维护国家安全，统筹传统安全和非传统安全，把安全发展贯穿经济社会发展各领域和全过程。转变社会治理理念，创新社会治理模式，显著提升社会治理水平，增强公共安全保障，推进县域社会治理现代化，构建充满活力、包容和谐的社会发展格局。</w:t>
      </w:r>
    </w:p>
    <w:p>
      <w:pPr>
        <w:pStyle w:val="4"/>
        <w:spacing w:beforeLines="80" w:afterLines="80" w:line="570" w:lineRule="exact"/>
        <w:jc w:val="center"/>
        <w:rPr>
          <w:rFonts w:ascii="黑体" w:hAnsi="楷体" w:cs="楷体"/>
          <w:sz w:val="30"/>
          <w:szCs w:val="30"/>
        </w:rPr>
      </w:pPr>
      <w:bookmarkStart w:id="156" w:name="_Toc30925"/>
      <w:bookmarkStart w:id="157" w:name="_Toc54004402"/>
      <w:bookmarkStart w:id="158" w:name="_Toc20916"/>
      <w:r>
        <w:rPr>
          <w:rFonts w:hint="eastAsia" w:ascii="黑体" w:hAnsi="楷体" w:cs="楷体"/>
          <w:sz w:val="30"/>
          <w:szCs w:val="30"/>
        </w:rPr>
        <w:t>第一章筑牢社会安全发展基础</w:t>
      </w:r>
      <w:bookmarkEnd w:id="156"/>
      <w:bookmarkEnd w:id="157"/>
      <w:bookmarkEnd w:id="158"/>
    </w:p>
    <w:p>
      <w:pPr>
        <w:pStyle w:val="12"/>
        <w:spacing w:line="570" w:lineRule="exact"/>
        <w:ind w:firstLine="602" w:firstLineChars="200"/>
        <w:jc w:val="both"/>
        <w:rPr>
          <w:rFonts w:ascii="仿宋_GB2312" w:hAnsi="宋体" w:eastAsia="仿宋_GB2312" w:cs="宋体"/>
          <w:kern w:val="2"/>
          <w:sz w:val="30"/>
          <w:szCs w:val="30"/>
        </w:rPr>
      </w:pPr>
      <w:r>
        <w:rPr>
          <w:rFonts w:hint="eastAsia" w:ascii="楷体_GB2312" w:hAnsi="楷体" w:eastAsia="楷体_GB2312" w:cs="楷体"/>
          <w:b/>
          <w:bCs/>
          <w:sz w:val="30"/>
          <w:szCs w:val="30"/>
        </w:rPr>
        <w:t>提高重大风险防范能力。</w:t>
      </w:r>
      <w:r>
        <w:rPr>
          <w:rFonts w:hint="eastAsia" w:ascii="仿宋_GB2312" w:hAnsi="宋体" w:eastAsia="仿宋_GB2312" w:cs="宋体"/>
          <w:kern w:val="2"/>
          <w:sz w:val="30"/>
          <w:szCs w:val="30"/>
        </w:rPr>
        <w:t>深入落实县委防范化解重大风险方案体系，强化县委国家安全委员会统筹协调作用。加强国家安全执法，开展国家安全宣传教育，增强全县人民国家安全意识，巩固国家安全人民防线。坚定维护国家政权安全、制度安全、意识形态安全，全面加强网络安全保障体系和能力建设。严密防范和严厉打击敌对势力渗透、破坏、颠覆、分裂活动。完善社会治理体系，健全党组织领导的自治、法治、德治相结合的城乡基层治理体系，完善基层民主协商制度，实现政府治理同社会调节、居民自治良性互动，建设人人有责、人人尽责、人人享有的社会治理共同体。加强经济安全风险预警、防控机制和能力建设。维护金融安全，守住不发生系统性金融风险的底线，坚决打击非法集资等非法金融活动，强化反垄断和防止资本无序扩张。持续加强政府债务风险管控，牢牢守住不发生系统性政府债务风险的底线。提高重点领域防范抵御风险能力，建立健全能源产供销体系、网络安全治理体系等重点领域风险防范处置机制、预案，维护电力、油气、交通、通信、网络等国家重要基础设施（东至县境内）安全，提高水资源集约安全利用水平。防止外来生物入侵，确保生态安全。</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加大公共安全保障力度。</w:t>
      </w:r>
      <w:r>
        <w:rPr>
          <w:rFonts w:hint="eastAsia" w:ascii="仿宋_GB2312" w:hAnsi="宋体" w:eastAsia="仿宋_GB2312" w:cs="宋体"/>
          <w:sz w:val="30"/>
          <w:szCs w:val="30"/>
        </w:rPr>
        <w:t>全面提高公共安全保障能力，健全党委领导、政府负责、社会协同、公众参与的公共安全保障，加强公共安全保障机制、体制、能力建设。建立公共安全隐患排查和防控体系，公共安全、安全生产、食品药品体系进一步完善，推进应急管理体系和能力现代化，夯实应急保障基础。推广智慧社区建设，提高社区便民服务能力，推进服务供给精细化。完善和落实安全生产责任制，加强安全生产监管执法，有效遏制危险化学品、矿山、建筑施工、交通等重特大安全事故。严格落实安全生产风险管控“六项机制”，加强重点行业、重点领域安全生产专项整治，推进安全监管常态化实效化，强化消防、道路运输等各类安全生产监管，全面落实企业安全生产主体责任，加强重点行业和领域安全隐患排查治理，有效遏制重特大安全事故发生。严格落实党管武装、党委议军制度，完善国防动员体系，加强现代人民防空建设。强化全面国防教育，巩固军政军民团结，建成省级“双拥”模范县。</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有效预防和化解社会矛盾。</w:t>
      </w:r>
      <w:r>
        <w:rPr>
          <w:rFonts w:hint="eastAsia" w:ascii="仿宋_GB2312" w:hAnsi="宋体" w:eastAsia="仿宋_GB2312" w:cs="宋体"/>
          <w:sz w:val="30"/>
          <w:szCs w:val="30"/>
        </w:rPr>
        <w:t>坚持发展新时代枫桥经验，完善社会矛盾隐患大排查大化解体系，巩固拓展信访突出问题“深督导、重化解、促落实”专项行动成果，总结“四下基层”“四最”试点工作经验，持续开展矛盾纠纷和信访隐患“大排查、大调处、大化解”专项行动，将矛盾纠纷化解在当地。加快建设在线矛盾纠纷化解平台，全面加强“诉源治理”，抓实“无案村”创建。加强阳光信访、责任信访、法治信访建设，构建矛盾纠纷多元化解体系，完善县领导开门接访、带案下访、包乡走村入户、公开手机号码等制度，畅通和规范群众诉求表达、权益保障通道。完善人民调解、行政调解、司法调解联动工作体系，积极推广“警民联调”模式。加强社会心理服务和危机干预，畅通和规范群众诉求表达、利益协调、权益保障通道，完善社会矛盾纠纷多元预防、调处、化解综合机制，努力将矛盾消除在基层。</w:t>
      </w:r>
    </w:p>
    <w:p>
      <w:pPr>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kern w:val="0"/>
          <w:sz w:val="30"/>
          <w:szCs w:val="30"/>
        </w:rPr>
        <w:t>提升防灾减灾救灾能力。</w:t>
      </w:r>
      <w:r>
        <w:rPr>
          <w:rFonts w:hint="eastAsia" w:ascii="仿宋_GB2312" w:hAnsi="宋体" w:eastAsia="仿宋_GB2312" w:cs="宋体"/>
          <w:sz w:val="30"/>
          <w:szCs w:val="30"/>
        </w:rPr>
        <w:t>坚持人民至上、生命至上，把保护人民生命安全摆在首位，全面提高公共安全保障能力。推进东至天气雷达、应急救援物资储备库和公共消防设施建设，加强洪灾、涝灾、旱灾、地震等自然灾害预测预警和消防设施建设，健全自然灾害、灾难事故、公共卫生事件、社会安全事件的预防预警和应急处置体系。实施抢险救援能力提升工程，推进应急管理体系和能力现代化，加强应急专业队伍、综合性消防救援队伍建设，开展综合减灾示范社区创建，提高防灾、减灾、抗灾、救灾能力。</w:t>
      </w:r>
    </w:p>
    <w:p>
      <w:pPr>
        <w:pStyle w:val="4"/>
        <w:spacing w:beforeLines="80" w:afterLines="80" w:line="570" w:lineRule="exact"/>
        <w:jc w:val="center"/>
        <w:rPr>
          <w:rFonts w:ascii="黑体" w:hAnsi="楷体" w:cs="楷体"/>
          <w:sz w:val="30"/>
          <w:szCs w:val="30"/>
        </w:rPr>
      </w:pPr>
      <w:bookmarkStart w:id="159" w:name="_Toc54004403"/>
      <w:bookmarkStart w:id="160" w:name="_Toc20375"/>
      <w:bookmarkStart w:id="161" w:name="_Toc21758"/>
      <w:r>
        <w:rPr>
          <w:rFonts w:hint="eastAsia" w:ascii="黑体" w:hAnsi="楷体" w:cs="楷体"/>
          <w:sz w:val="30"/>
          <w:szCs w:val="30"/>
        </w:rPr>
        <w:t>第二章深入推进法治东至建设</w:t>
      </w:r>
      <w:bookmarkEnd w:id="159"/>
      <w:bookmarkEnd w:id="160"/>
      <w:bookmarkEnd w:id="161"/>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全面落实依法治国方略。</w:t>
      </w:r>
      <w:r>
        <w:rPr>
          <w:rFonts w:hint="eastAsia" w:ascii="仿宋_GB2312" w:hAnsi="宋体" w:eastAsia="仿宋_GB2312" w:cs="宋体"/>
          <w:sz w:val="30"/>
          <w:szCs w:val="30"/>
        </w:rPr>
        <w:t>坚定不移发展社会主义民主政治，巩固和发展最广泛的爱国统一战线。协同推进法治城市、法治政府、法治社会一体建设，营造公平正义安全和谐的发展环境。持续开展法治宣传教育</w:t>
      </w:r>
      <w:r>
        <w:rPr>
          <w:rFonts w:ascii="仿宋_GB2312" w:hAnsi="宋体" w:eastAsia="仿宋_GB2312" w:cs="宋体"/>
          <w:sz w:val="30"/>
          <w:szCs w:val="30"/>
        </w:rPr>
        <w:t>,</w:t>
      </w:r>
      <w:r>
        <w:rPr>
          <w:rFonts w:hint="eastAsia" w:ascii="仿宋_GB2312" w:hAnsi="宋体" w:eastAsia="仿宋_GB2312" w:cs="宋体"/>
          <w:sz w:val="30"/>
          <w:szCs w:val="30"/>
        </w:rPr>
        <w:t>制定“八五”普法规划，进一步完善法治宣传教育工作机制，有效落实“谁执法谁普法”工作机制，切实增强全民法治观念，养成全民知法守法、依法办事的习惯。</w:t>
      </w:r>
    </w:p>
    <w:p>
      <w:pPr>
        <w:spacing w:line="570" w:lineRule="exact"/>
        <w:ind w:firstLine="602" w:firstLineChars="200"/>
        <w:rPr>
          <w:rFonts w:ascii="仿宋_GB2312" w:hAnsi="??_GB2312" w:eastAsia="仿宋_GB2312" w:cs="??_GB2312"/>
          <w:sz w:val="30"/>
          <w:szCs w:val="30"/>
        </w:rPr>
      </w:pPr>
      <w:r>
        <w:rPr>
          <w:rFonts w:hint="eastAsia" w:ascii="楷体_GB2312" w:hAnsi="楷体" w:eastAsia="楷体_GB2312" w:cs="楷体"/>
          <w:b/>
          <w:bCs/>
          <w:kern w:val="0"/>
          <w:sz w:val="30"/>
          <w:szCs w:val="30"/>
        </w:rPr>
        <w:t>持续完善民主决策机制。</w:t>
      </w:r>
      <w:r>
        <w:rPr>
          <w:rFonts w:hint="eastAsia" w:ascii="仿宋_GB2312" w:hAnsi="宋体" w:eastAsia="仿宋_GB2312" w:cs="宋体"/>
          <w:sz w:val="30"/>
          <w:szCs w:val="30"/>
        </w:rPr>
        <w:t>依法优化政府职能，完善重大行政决策公众参与、风险评估等依法科学民主决策机制。健全矛盾纠纷多元化解机制，及时解决群众合理诉求，依法规范信访行为，努力保持信访工作先进位次。</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扎实推进公正司法。</w:t>
      </w:r>
      <w:r>
        <w:rPr>
          <w:rFonts w:hint="eastAsia" w:ascii="仿宋_GB2312" w:hAnsi="宋体" w:eastAsia="仿宋_GB2312" w:cs="宋体"/>
          <w:sz w:val="30"/>
          <w:szCs w:val="30"/>
        </w:rPr>
        <w:t>深入实施司法改革，推进司法公开，保障人民群众参与司法，加强法治工作队伍建设，加快形成覆盖城乡、便捷高效、均等普惠的现代公共法律服务体系。深化行政执法体制改革，严格规范公正文明执法，建立完善执法协作联动机制，推动跨部门、跨领域综合执法体制改革，推动执法重心下沉，常态化开展关系群众切身利益重点领域执法监管。</w:t>
      </w:r>
    </w:p>
    <w:p>
      <w:pPr>
        <w:pStyle w:val="4"/>
        <w:spacing w:beforeLines="80" w:afterLines="80" w:line="570" w:lineRule="exact"/>
        <w:jc w:val="center"/>
        <w:rPr>
          <w:rFonts w:ascii="黑体" w:hAnsi="楷体" w:cs="楷体"/>
          <w:sz w:val="30"/>
          <w:szCs w:val="30"/>
        </w:rPr>
      </w:pPr>
      <w:bookmarkStart w:id="162" w:name="_Toc54004404"/>
      <w:bookmarkStart w:id="163" w:name="_Toc11830"/>
      <w:bookmarkStart w:id="164" w:name="_Toc7933"/>
      <w:r>
        <w:rPr>
          <w:rFonts w:hint="eastAsia" w:ascii="黑体" w:hAnsi="楷体" w:cs="楷体"/>
          <w:sz w:val="30"/>
          <w:szCs w:val="30"/>
        </w:rPr>
        <w:t>第三章</w:t>
      </w:r>
      <w:bookmarkEnd w:id="162"/>
      <w:bookmarkEnd w:id="163"/>
      <w:r>
        <w:rPr>
          <w:rFonts w:hint="eastAsia" w:ascii="黑体" w:hAnsi="楷体" w:cs="楷体"/>
          <w:sz w:val="30"/>
          <w:szCs w:val="30"/>
        </w:rPr>
        <w:t>加强社会安全体系和能力建设</w:t>
      </w:r>
      <w:bookmarkEnd w:id="164"/>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构建社会治安防控体系。</w:t>
      </w:r>
      <w:r>
        <w:rPr>
          <w:rFonts w:hint="eastAsia" w:ascii="仿宋_GB2312" w:hAnsi="宋体" w:eastAsia="仿宋_GB2312" w:cs="宋体"/>
          <w:sz w:val="30"/>
          <w:szCs w:val="30"/>
        </w:rPr>
        <w:t>加大网络安全监管力度，推动社会稳定风险评估提标扩面。加快构建源头治理、动态治理和应急处置相结合的治安防控机制，推动社会治理和服务重心向乡镇、村（社区）下移，深化街道体制与城市管理体制改革，建立完善“网络</w:t>
      </w:r>
      <w:r>
        <w:rPr>
          <w:rFonts w:ascii="仿宋_GB2312" w:hAnsi="宋体" w:eastAsia="仿宋_GB2312" w:cs="宋体"/>
          <w:sz w:val="30"/>
          <w:szCs w:val="30"/>
        </w:rPr>
        <w:t>+</w:t>
      </w:r>
      <w:r>
        <w:rPr>
          <w:rFonts w:hint="eastAsia" w:ascii="仿宋_GB2312" w:hAnsi="宋体" w:eastAsia="仿宋_GB2312" w:cs="宋体"/>
          <w:sz w:val="30"/>
          <w:szCs w:val="30"/>
        </w:rPr>
        <w:t>网格”基层治理模式，加强基层网格化服务管理中心建设，健全社区管理和服务机制。坚持群防群治，加强社会治安防控体系建设，扎实推进“雪亮工程”、公安检查站建设，深入开展“守护平安”行动，构建立体化、现代化社会治安防控体系。</w:t>
      </w:r>
    </w:p>
    <w:p>
      <w:pPr>
        <w:spacing w:line="570" w:lineRule="exact"/>
        <w:ind w:firstLine="602" w:firstLineChars="200"/>
        <w:rPr>
          <w:rFonts w:ascii="仿宋_GB2312" w:eastAsia="仿宋_GB2312"/>
          <w:bCs/>
          <w:sz w:val="30"/>
          <w:szCs w:val="30"/>
        </w:rPr>
      </w:pPr>
      <w:r>
        <w:rPr>
          <w:rFonts w:hint="eastAsia" w:ascii="楷体_GB2312" w:hAnsi="楷体" w:eastAsia="楷体_GB2312" w:cs="楷体"/>
          <w:b/>
          <w:bCs/>
          <w:kern w:val="0"/>
          <w:sz w:val="30"/>
          <w:szCs w:val="30"/>
        </w:rPr>
        <w:t>打造运行安全的社会环境。</w:t>
      </w:r>
      <w:r>
        <w:rPr>
          <w:rFonts w:hint="eastAsia" w:ascii="仿宋_GB2312" w:hAnsi="宋体" w:eastAsia="仿宋_GB2312" w:cs="宋体"/>
          <w:sz w:val="30"/>
          <w:szCs w:val="30"/>
        </w:rPr>
        <w:t>坚持专群结合、群防群治，加强社会治安防控体系建设，坚决防范和打击暴力恐怖、黑恶势力、新型网络犯罪和跨国犯罪，常态化开展扫黑除恶专项斗争，保持社会和谐稳定。健全社会心理服务体系和危机干预机制。加大民生领域违法犯罪打击力度，完善风险管控和隐患排查双预防机制，健全风险防范化解机制，强化消防、道路运输等各类安全生产监管，全面落实企业安全生产主体责任，持续开展“铸安”行动，加强重点行业和领域安全隐患排查治理，开展食品安全放心工程攻坚行动，完善食品药品质量安全追溯体系，有效遏制危险化学品、非煤矿山、建筑施工、交通等重特大安全事故发生。</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kern w:val="0"/>
          <w:sz w:val="30"/>
          <w:szCs w:val="30"/>
        </w:rPr>
        <w:t>加强社会治安人才队伍建设。</w:t>
      </w:r>
      <w:r>
        <w:rPr>
          <w:rFonts w:hint="eastAsia" w:ascii="仿宋_GB2312" w:hAnsi="宋体" w:eastAsia="仿宋_GB2312" w:cs="宋体"/>
          <w:sz w:val="30"/>
          <w:szCs w:val="30"/>
        </w:rPr>
        <w:t>着力培养造就信念坚定、执法为民、敢于担当、清正廉洁的社会治安人才队伍。</w:t>
      </w:r>
      <w:r>
        <w:rPr>
          <w:rFonts w:ascii="仿宋_GB2312" w:hAnsi="宋体" w:eastAsia="仿宋_GB2312" w:cs="宋体"/>
          <w:sz w:val="30"/>
          <w:szCs w:val="30"/>
        </w:rPr>
        <w:t>深入推进警务辅助人员管理改革，健全配套管理制度机制</w:t>
      </w:r>
      <w:r>
        <w:rPr>
          <w:rFonts w:hint="eastAsia" w:ascii="仿宋_GB2312" w:hAnsi="宋体" w:eastAsia="仿宋_GB2312" w:cs="宋体"/>
          <w:sz w:val="30"/>
          <w:szCs w:val="30"/>
        </w:rPr>
        <w:t>。加强法律法规学习，加强社情民意把握，加强新媒体运用能力，树立新理念、运用新技术、建立新机制，提高对各类风险发现、防范、化解、管控能力。</w:t>
      </w:r>
    </w:p>
    <w:p>
      <w:pPr>
        <w:pStyle w:val="4"/>
        <w:spacing w:beforeLines="80" w:afterLines="80" w:line="570" w:lineRule="exact"/>
        <w:jc w:val="center"/>
        <w:rPr>
          <w:rFonts w:ascii="黑体" w:hAnsi="楷体" w:cs="楷体"/>
          <w:sz w:val="30"/>
          <w:szCs w:val="30"/>
        </w:rPr>
      </w:pPr>
      <w:bookmarkStart w:id="165" w:name="_Toc15004"/>
      <w:bookmarkStart w:id="166" w:name="_Toc54004405"/>
      <w:bookmarkStart w:id="167" w:name="_Toc25556"/>
      <w:r>
        <w:rPr>
          <w:rFonts w:hint="eastAsia" w:ascii="黑体" w:hAnsi="楷体" w:cs="楷体"/>
          <w:sz w:val="30"/>
          <w:szCs w:val="30"/>
        </w:rPr>
        <w:t>第四章构建农村基层社会治理新格局</w:t>
      </w:r>
      <w:bookmarkEnd w:id="165"/>
      <w:bookmarkEnd w:id="166"/>
      <w:bookmarkEnd w:id="167"/>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加强农村基层党组织建设。</w:t>
      </w:r>
      <w:r>
        <w:rPr>
          <w:rFonts w:hint="eastAsia" w:ascii="仿宋_GB2312" w:hAnsi="宋体" w:eastAsia="仿宋_GB2312" w:cs="宋体"/>
          <w:sz w:val="30"/>
          <w:szCs w:val="30"/>
        </w:rPr>
        <w:t>推动社会治理重心向基层下移，减轻基层特别是村级组织负担，加强基层社会治理队伍建设，认真组织开展村两委换届工作，加强村干部管理考核，持续推动农村基层党组织标准化、规范化建设，构建网格化管理、精细化服务、信息化支撑、开放共享的基层管理服务平台。</w:t>
      </w:r>
    </w:p>
    <w:p>
      <w:pPr>
        <w:spacing w:line="570" w:lineRule="exact"/>
        <w:ind w:firstLine="602" w:firstLineChars="200"/>
        <w:rPr>
          <w:rFonts w:ascii="仿宋_GB2312" w:hAnsi="宋体" w:eastAsia="仿宋_GB2312" w:cs="宋体"/>
          <w:sz w:val="30"/>
          <w:szCs w:val="30"/>
        </w:rPr>
      </w:pPr>
      <w:r>
        <w:rPr>
          <w:rFonts w:hint="eastAsia" w:ascii="楷体_GB2312" w:hAnsi="楷体" w:eastAsia="楷体_GB2312" w:cs="楷体"/>
          <w:b/>
          <w:bCs/>
          <w:sz w:val="30"/>
          <w:szCs w:val="30"/>
        </w:rPr>
        <w:t>促进自治法治德治有机结合。</w:t>
      </w:r>
      <w:bookmarkStart w:id="168" w:name="_Hlk44152313"/>
      <w:r>
        <w:rPr>
          <w:rFonts w:hint="eastAsia" w:ascii="仿宋_GB2312" w:hAnsi="宋体" w:eastAsia="仿宋_GB2312" w:cs="宋体"/>
          <w:sz w:val="30"/>
          <w:szCs w:val="30"/>
        </w:rPr>
        <w:t>完善</w:t>
      </w:r>
      <w:bookmarkEnd w:id="168"/>
      <w:r>
        <w:rPr>
          <w:rFonts w:hint="eastAsia" w:ascii="仿宋_GB2312" w:hAnsi="宋体" w:eastAsia="仿宋_GB2312" w:cs="宋体"/>
          <w:sz w:val="30"/>
          <w:szCs w:val="30"/>
        </w:rPr>
        <w:t>村民自治制度，依法开展民主选举和自我管理，支持开展村民自治工作。提升乡村法治水平，深入开展法治宣传教育活动，积极推进村公共法律服务工作室建设。推进乡村德治建设，广泛开展最美人物、身边好人、新时代好少年等先进典范评选活动，涵育文明乡风。</w:t>
      </w:r>
    </w:p>
    <w:p>
      <w:pPr>
        <w:spacing w:line="570" w:lineRule="exact"/>
        <w:ind w:firstLine="602" w:firstLineChars="200"/>
        <w:rPr>
          <w:rFonts w:ascii="仿宋_GB2312" w:hAnsi="宋体" w:eastAsia="仿宋_GB2312" w:cs="宋体"/>
          <w:sz w:val="32"/>
          <w:szCs w:val="32"/>
        </w:rPr>
      </w:pPr>
      <w:r>
        <w:rPr>
          <w:rFonts w:hint="eastAsia" w:ascii="楷体_GB2312" w:hAnsi="楷体" w:eastAsia="楷体_GB2312" w:cs="楷体"/>
          <w:b/>
          <w:bCs/>
          <w:sz w:val="30"/>
          <w:szCs w:val="30"/>
        </w:rPr>
        <w:t>夯实农村基层政权。</w:t>
      </w:r>
      <w:r>
        <w:rPr>
          <w:rFonts w:hint="eastAsia" w:ascii="仿宋_GB2312" w:hAnsi="宋体" w:eastAsia="仿宋_GB2312" w:cs="宋体"/>
          <w:sz w:val="30"/>
          <w:szCs w:val="30"/>
        </w:rPr>
        <w:t>加强基层政权建设，合理设置基层政权结构和人力资源，加大从优秀选调生、乡镇事业编制人员、优秀村干部、大学生村官中选拔乡镇领导班子成员力度。创新基层管理体制机制，推进直接服务民生的公共事业部门改革，改进服务方式，提升乡村治理智能化水平。</w:t>
      </w:r>
    </w:p>
    <w:p>
      <w:pPr>
        <w:pStyle w:val="2"/>
        <w:spacing w:line="600" w:lineRule="exact"/>
      </w:pPr>
    </w:p>
    <w:p>
      <w:pPr>
        <w:pStyle w:val="3"/>
        <w:spacing w:before="0" w:after="0" w:line="600" w:lineRule="exact"/>
        <w:jc w:val="center"/>
        <w:rPr>
          <w:rFonts w:ascii="方正小标宋简体" w:hAnsi="华文楷体" w:eastAsia="方正小标宋简体" w:cs="华文楷体"/>
          <w:sz w:val="36"/>
          <w:szCs w:val="36"/>
        </w:rPr>
      </w:pPr>
      <w:bookmarkStart w:id="169" w:name="_Toc23385"/>
      <w:bookmarkStart w:id="170" w:name="_Toc7989"/>
      <w:r>
        <w:rPr>
          <w:rFonts w:ascii="华文楷体" w:hAnsi="华文楷体" w:eastAsia="华文楷体" w:cs="华文楷体"/>
          <w:w w:val="90"/>
          <w:sz w:val="36"/>
          <w:szCs w:val="36"/>
        </w:rPr>
        <w:br w:type="page"/>
      </w:r>
      <w:r>
        <w:rPr>
          <w:rFonts w:hint="eastAsia" w:ascii="方正小标宋简体" w:hAnsi="华文楷体" w:eastAsia="方正小标宋简体" w:cs="华文楷体"/>
          <w:sz w:val="36"/>
          <w:szCs w:val="36"/>
        </w:rPr>
        <w:t>第十二篇</w:t>
      </w:r>
      <w:bookmarkEnd w:id="169"/>
      <w:bookmarkEnd w:id="170"/>
      <w:r>
        <w:rPr>
          <w:rFonts w:hint="eastAsia" w:ascii="方正小标宋简体" w:hAnsi="华文楷体" w:eastAsia="方正小标宋简体" w:cs="华文楷体"/>
          <w:sz w:val="36"/>
          <w:szCs w:val="36"/>
        </w:rPr>
        <w:t>强化规划实施保障，形成建设新阶段现代化“三美东至”的强大合力</w:t>
      </w:r>
    </w:p>
    <w:p>
      <w:pPr>
        <w:spacing w:line="600" w:lineRule="exact"/>
        <w:ind w:firstLine="640" w:firstLineChars="200"/>
        <w:rPr>
          <w:rFonts w:ascii="??_GB2312" w:hAnsi="宋体" w:cs="宋体"/>
          <w:sz w:val="32"/>
          <w:szCs w:val="32"/>
        </w:rPr>
      </w:pPr>
      <w:bookmarkStart w:id="171" w:name="_Toc9810"/>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实现“十四五”规划和二〇三五年远景目标，必须把党的全面领导贯穿始终，充分调动一切积极因素，广泛团结一切可以团结的力量，凝聚形成推动发展的强大合力，建立健全规划实施机制，强化统筹协调和制度保障，充分调动全县人民积极性、主动性和创造性，形成推动建设新阶段现代化“三美东至”的强大合力，确保规划的主要目标和战略任务顺利实现。</w:t>
      </w:r>
    </w:p>
    <w:p>
      <w:pPr>
        <w:pStyle w:val="4"/>
        <w:spacing w:beforeLines="80" w:afterLines="80" w:line="570" w:lineRule="exact"/>
        <w:jc w:val="center"/>
        <w:rPr>
          <w:rFonts w:ascii="黑体" w:hAnsi="楷体" w:cs="楷体"/>
          <w:sz w:val="30"/>
          <w:szCs w:val="30"/>
        </w:rPr>
      </w:pPr>
      <w:bookmarkStart w:id="172" w:name="_Toc15626"/>
      <w:r>
        <w:rPr>
          <w:rFonts w:hint="eastAsia" w:ascii="黑体" w:hAnsi="楷体" w:cs="楷体"/>
          <w:sz w:val="30"/>
          <w:szCs w:val="30"/>
        </w:rPr>
        <w:t>第一章</w:t>
      </w:r>
      <w:bookmarkEnd w:id="171"/>
      <w:r>
        <w:rPr>
          <w:rFonts w:hint="eastAsia" w:ascii="黑体" w:hAnsi="楷体" w:cs="楷体"/>
          <w:sz w:val="30"/>
          <w:szCs w:val="30"/>
        </w:rPr>
        <w:t>坚持和加强党的全面领导</w:t>
      </w:r>
      <w:bookmarkEnd w:id="172"/>
    </w:p>
    <w:p>
      <w:pPr>
        <w:spacing w:line="570" w:lineRule="exact"/>
        <w:ind w:firstLine="600" w:firstLineChars="200"/>
        <w:rPr>
          <w:rFonts w:ascii="仿宋_GB2312" w:hAnsi="宋体" w:eastAsia="仿宋_GB2312" w:cs="宋体"/>
          <w:sz w:val="30"/>
          <w:szCs w:val="30"/>
        </w:rPr>
      </w:pPr>
      <w:bookmarkStart w:id="173" w:name="_Toc15211"/>
      <w:r>
        <w:rPr>
          <w:rFonts w:hint="eastAsia" w:ascii="仿宋_GB2312" w:hAnsi="宋体" w:eastAsia="仿宋_GB2312" w:cs="宋体"/>
          <w:sz w:val="30"/>
          <w:szCs w:val="30"/>
        </w:rPr>
        <w:t>坚持以习近平新时代中国特色社会主义思想为指导，坚决贯彻党的基本理论、基本路线、基本方略，增强“四个意识”，坚定“四个自信”，做到“两个维护”，严格贯彻党把方向、谋大局、定政策、促改革的要求，全面加强党总揽全局、协调各方的工作机制，严格落实党中央、省委、市委和县委决策部署，把党的领导落实到“十四五”规划实施的各领域和全过程。落实全面从严治党主体责任、监督责任，深入践行“三严三实”，深化“三个以案”警示教育，锲而不舍落实中央八项规定精神和省市实施细则，持续纠治形式主义、官僚主义。加强政治监督，推动党内政治监督谈话规范化、常态化</w:t>
      </w:r>
      <w:r>
        <w:rPr>
          <w:rFonts w:hint="eastAsia" w:ascii="仿宋_GB2312" w:hAnsi="宋体" w:eastAsia="仿宋_GB2312" w:cs="宋体"/>
          <w:color w:val="000000" w:themeColor="text1"/>
          <w:sz w:val="30"/>
          <w:szCs w:val="30"/>
        </w:rPr>
        <w:t>。</w:t>
      </w:r>
      <w:r>
        <w:rPr>
          <w:rFonts w:hint="eastAsia" w:ascii="仿宋_GB2312" w:hAnsi="仿宋_GB2312" w:eastAsia="仿宋_GB2312" w:cs="仿宋_GB2312"/>
          <w:color w:val="000000" w:themeColor="text1"/>
          <w:sz w:val="32"/>
          <w:szCs w:val="32"/>
        </w:rPr>
        <w:t>推动完善党和国家监督体系，强化对公权力运行的制约和监督，推动形成决策科学、执行坚决、监督有力的权力运行机制，不断提升监督治理效能。</w:t>
      </w:r>
      <w:r>
        <w:rPr>
          <w:rFonts w:hint="eastAsia" w:ascii="仿宋_GB2312" w:hAnsi="宋体" w:eastAsia="仿宋_GB2312" w:cs="宋体"/>
          <w:sz w:val="30"/>
          <w:szCs w:val="30"/>
        </w:rPr>
        <w:t>加强对“一把手”和领导班子监督，规范“小微权力”运行，不断优化政治生态，一体推进不敢腐、不能腐、不想腐体制机制建设，推动全面从严治党向基层一线、向群众身边延伸。坚持权责法定，推动用权公开，高质量推进巡视巡查全覆盖，着力推进规划实施的信息公开，把加强顶层设计和坚持问计于民统一起来，提高科学民主决策的能力，完善党委研究社会发展战略、定期分析经济社会形势、研究重大方针政策的工作机制，健全决策咨询机制。</w:t>
      </w:r>
    </w:p>
    <w:p>
      <w:pPr>
        <w:pStyle w:val="4"/>
        <w:spacing w:beforeLines="80" w:afterLines="80" w:line="570" w:lineRule="exact"/>
        <w:jc w:val="center"/>
        <w:rPr>
          <w:rFonts w:ascii="黑体" w:hAnsi="楷体" w:cs="楷体"/>
          <w:sz w:val="30"/>
          <w:szCs w:val="30"/>
        </w:rPr>
      </w:pPr>
      <w:bookmarkStart w:id="174" w:name="_Toc12334"/>
      <w:r>
        <w:rPr>
          <w:rFonts w:hint="eastAsia" w:ascii="黑体" w:hAnsi="楷体" w:cs="楷体"/>
          <w:sz w:val="30"/>
          <w:szCs w:val="30"/>
        </w:rPr>
        <w:t>第二章</w:t>
      </w:r>
      <w:bookmarkEnd w:id="173"/>
      <w:r>
        <w:rPr>
          <w:rFonts w:hint="eastAsia" w:ascii="黑体" w:hAnsi="楷体" w:cs="楷体"/>
          <w:sz w:val="30"/>
          <w:szCs w:val="30"/>
        </w:rPr>
        <w:t>凝聚强大发展合力</w:t>
      </w:r>
      <w:bookmarkEnd w:id="174"/>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以更大的政治勇气和智慧、更有力的措施和办法推动改革开放，进一步解放思想、增强社会创造活力。深化干部制度改革，探索建立同长三角一体化发展相适应的干部交流机制，健全选育管用全链条机制，大力发现培养选拔优秀年轻干部，统筹使用好各年龄段干部，合理配备女干部、少数民族干部和党外干部，着力打造高素质干部队伍。健全激励导向的绩效评价考核机制和尽职免责机制，提升干部履职能力，完善容错纠错机制，激发广大干部干事创业的积极性。面向社会深入宣传规划的思路、目标及重要任务，着力推进规划实施的信息公开，健全政府与企业、社会的信息沟通和交流机制，注重发挥新闻媒体、群团组织、社会团体、社会服务机构、基金会等桥梁和监督作用，汇聚社会各方面力量和智慧，形成群策群力、共建共享的生动局面。</w:t>
      </w:r>
    </w:p>
    <w:p>
      <w:pPr>
        <w:pStyle w:val="4"/>
        <w:spacing w:beforeLines="80" w:afterLines="80" w:line="570" w:lineRule="exact"/>
        <w:jc w:val="center"/>
        <w:rPr>
          <w:rFonts w:ascii="黑体" w:hAnsi="楷体" w:cs="楷体"/>
          <w:sz w:val="30"/>
          <w:szCs w:val="30"/>
        </w:rPr>
      </w:pPr>
      <w:bookmarkStart w:id="175" w:name="_Toc14911"/>
      <w:bookmarkStart w:id="176" w:name="_Toc8780"/>
      <w:r>
        <w:rPr>
          <w:rFonts w:hint="eastAsia" w:ascii="黑体" w:hAnsi="楷体" w:cs="楷体"/>
          <w:sz w:val="30"/>
          <w:szCs w:val="30"/>
        </w:rPr>
        <w:t>第三章</w:t>
      </w:r>
      <w:bookmarkEnd w:id="175"/>
      <w:r>
        <w:rPr>
          <w:rFonts w:hint="eastAsia" w:ascii="黑体" w:hAnsi="楷体" w:cs="楷体"/>
          <w:sz w:val="30"/>
          <w:szCs w:val="30"/>
        </w:rPr>
        <w:t>健全规划制定和政策支持</w:t>
      </w:r>
      <w:bookmarkEnd w:id="176"/>
    </w:p>
    <w:p>
      <w:pPr>
        <w:spacing w:line="570" w:lineRule="exact"/>
        <w:ind w:firstLine="600" w:firstLineChars="200"/>
        <w:rPr>
          <w:rFonts w:ascii="仿宋_GB2312" w:hAnsi="宋体" w:eastAsia="仿宋_GB2312" w:cs="宋体"/>
          <w:sz w:val="30"/>
          <w:szCs w:val="30"/>
        </w:rPr>
      </w:pPr>
      <w:bookmarkStart w:id="177" w:name="_Toc2841"/>
      <w:r>
        <w:rPr>
          <w:rFonts w:hint="eastAsia" w:ascii="仿宋_GB2312" w:hAnsi="宋体" w:eastAsia="仿宋_GB2312" w:cs="宋体"/>
          <w:sz w:val="30"/>
          <w:szCs w:val="30"/>
        </w:rPr>
        <w:t>以发展规划为引领，以国土空间规划为基础，以专项规划为支撑，形成定位准确、边界清晰、功能互补、统一衔接的县域规划体系。坚持规划定方向、财政金融做保障、其他政策相协调，构建发展规划、财政、金融、产业等政策协调和工作协同机制，加强财政预算、政府性投资计划与发展规划实施的衔接协调，财政性资金优先投入发展规划确定的重大战略任务，更好发挥地方政府专项债券作用，优化金融要素资源配置方向和结构。</w:t>
      </w:r>
    </w:p>
    <w:p>
      <w:pPr>
        <w:pStyle w:val="4"/>
        <w:spacing w:beforeLines="80" w:afterLines="80" w:line="570" w:lineRule="exact"/>
        <w:jc w:val="center"/>
        <w:rPr>
          <w:rFonts w:ascii="黑体" w:hAnsi="楷体" w:cs="楷体"/>
          <w:sz w:val="30"/>
          <w:szCs w:val="30"/>
        </w:rPr>
      </w:pPr>
      <w:bookmarkStart w:id="178" w:name="_Toc27842"/>
      <w:r>
        <w:rPr>
          <w:rFonts w:hint="eastAsia" w:ascii="黑体" w:hAnsi="楷体" w:cs="楷体"/>
          <w:sz w:val="30"/>
          <w:szCs w:val="30"/>
        </w:rPr>
        <w:t>第四章</w:t>
      </w:r>
      <w:bookmarkEnd w:id="177"/>
      <w:r>
        <w:rPr>
          <w:rFonts w:hint="eastAsia" w:ascii="黑体" w:hAnsi="楷体" w:cs="楷体"/>
          <w:sz w:val="30"/>
          <w:szCs w:val="30"/>
        </w:rPr>
        <w:t>严格落实工作机制和监督评估</w:t>
      </w:r>
      <w:bookmarkEnd w:id="178"/>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进一步细化县发展规划确定的发展目标、主要任务，明确牵头单位和工作责任。完善规划实施监督制度，完善政府向人大、政协报告和沟通机制，发挥社会各界对规划实施情况的监督作用。完善动态调整和考核机制，加强规划任务落实和评估考核，提升规划实施监测和评估能力，在规划实施中组织开展年度计划评估、中期评估和总结评估，确保党中央、省委、市委和县委关于“十四五”发展和二○三五年远景目标的决策部署不折不扣落到实处。</w:t>
      </w:r>
    </w:p>
    <w:p>
      <w:pPr>
        <w:pStyle w:val="4"/>
        <w:spacing w:beforeLines="80" w:afterLines="80" w:line="570" w:lineRule="exact"/>
        <w:jc w:val="center"/>
        <w:rPr>
          <w:rFonts w:ascii="黑体" w:hAnsi="楷体" w:cs="楷体"/>
          <w:sz w:val="30"/>
          <w:szCs w:val="30"/>
        </w:rPr>
      </w:pPr>
      <w:r>
        <w:rPr>
          <w:rFonts w:hint="eastAsia" w:ascii="黑体" w:hAnsi="楷体" w:cs="楷体"/>
          <w:sz w:val="30"/>
          <w:szCs w:val="30"/>
        </w:rPr>
        <w:t>第五章强化重大工程项目实施</w:t>
      </w:r>
    </w:p>
    <w:p>
      <w:pPr>
        <w:spacing w:line="570" w:lineRule="exact"/>
        <w:ind w:firstLine="600" w:firstLineChars="200"/>
        <w:rPr>
          <w:rFonts w:ascii="仿宋_GB2312" w:hAnsi="宋体" w:eastAsia="仿宋_GB2312" w:cs="宋体"/>
          <w:sz w:val="30"/>
          <w:szCs w:val="30"/>
        </w:rPr>
      </w:pPr>
      <w:r>
        <w:rPr>
          <w:rFonts w:hint="eastAsia" w:ascii="仿宋_GB2312" w:hAnsi="宋体" w:eastAsia="仿宋_GB2312" w:cs="宋体"/>
          <w:sz w:val="30"/>
          <w:szCs w:val="30"/>
        </w:rPr>
        <w:t>充分发挥投资对优化供给结构、推动经济高质量发展的关键性作用，坚持规划引领、项目支撑，谋划推进一批基础性、枢纽性的重大项目，以重大工程、重大项目实施支撑规划目标落实。全面落实高质量“四督四保”和“五项机制”，按照“土地要素跟着项目走、能耗指标围着项目走、严守生态保护红线优化路径走”要求，推动一批“十四五”规划重大工程项目早开工、早投产、早见效。</w:t>
      </w:r>
    </w:p>
    <w:sectPr>
      <w:footerReference r:id="rId6" w:type="default"/>
      <w:pgSz w:w="11906" w:h="16838"/>
      <w:pgMar w:top="1701" w:right="1588" w:bottom="1701" w:left="1588" w:header="851" w:footer="1418"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_GB2312">
    <w:altName w:val="Times New Roman"/>
    <w:panose1 w:val="00000000000000000000"/>
    <w:charset w:val="00"/>
    <w:family w:val="auto"/>
    <w:pitch w:val="default"/>
    <w:sig w:usb0="00000000" w:usb1="00000000" w:usb2="00000000" w:usb3="00000000" w:csb0="000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Text Box 1025" o:spid="_x0000_s1026" o:spt="202" type="#_x0000_t202" style="position:absolute;left:0pt;margin-left:190.15pt;margin-top:0pt;height:10.35pt;width:15pt;mso-position-horizontal-relative:margin;mso-wrap-style:none;z-index:251659264;mso-width-relative:page;mso-height-relative:page;" filled="f" stroked="f" coordsize="21600,21600" o:gfxdata="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UcseNIAAAAHAQAADwAAAAAAAAABACAAAAAiAAAAZHJzL2Rvd25yZXYueG1sUEsBAhQA&#10;FAAAAAgAh07iQCKrLT+/AQAAmQMAAA4AAAAAAAAAAQAgAAAAIQEAAGRycy9lMm9Eb2MueG1sUEsF&#10;BgAAAAAGAAYAWQEAAFIFAAAAAA==&#10;">
          <v:path/>
          <v:fill on="f" focussize="0,0"/>
          <v:stroke on="f" joinstyle="miter"/>
          <v:imagedata o:title=""/>
          <o:lock v:ext="edit"/>
          <v:textbox inset="0mm,0mm,0mm,0mm" style="mso-fit-shape-to-text:t;">
            <w:txbxContent>
              <w:p>
                <w:pPr>
                  <w:jc w:val="center"/>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iii</w:t>
                </w:r>
                <w:r>
                  <w:rPr>
                    <w:sz w:val="28"/>
                    <w:szCs w:val="28"/>
                  </w:rPr>
                  <w:fldChar w:fldCharType="end"/>
                </w:r>
                <w:r>
                  <w:rPr>
                    <w:sz w:val="28"/>
                    <w:szCs w:val="2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3073" o:spid="_x0000_s3073" o:spt="202" type="#_x0000_t202" style="position:absolute;left:0pt;margin-left:190.15pt;margin-top:0pt;height:10.35pt;width:15pt;mso-position-horizontal-relative:margin;mso-wrap-style:none;z-index:251659264;mso-width-relative:page;mso-height-relative:page;" filled="f" stroked="f" coordsize="21600,21600" o:gfxdata="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lHLHjSAAAABwEAAA8AAAAAAAAAAQAgAAAAIgAAAGRycy9kb3ducmV2LnhtbFBLAQIU&#10;ABQAAAAIAIdO4kAxzwFKwAEAAJkDAAAOAAAAAAAAAAEAIAAAACEBAABkcnMvZTJvRG9jLnhtbFBL&#10;BQYAAAAABgAGAFkBAABTBQAAAAA=&#10;">
          <v:path/>
          <v:fill on="f" focussize="0,0"/>
          <v:stroke on="f" joinstyle="miter"/>
          <v:imagedata o:title=""/>
          <o:lock v:ext="edit"/>
          <v:textbox inset="0mm,0mm,0mm,0mm" style="mso-fit-shape-to-text:t;">
            <w:txbxContent>
              <w:p>
                <w:pPr>
                  <w:jc w:val="center"/>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23</w:t>
                </w:r>
                <w:r>
                  <w:rPr>
                    <w:sz w:val="28"/>
                    <w:szCs w:val="28"/>
                  </w:rPr>
                  <w:fldChar w:fldCharType="end"/>
                </w:r>
                <w:r>
                  <w:rPr>
                    <w:sz w:val="28"/>
                    <w:szCs w:val="2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10"/>
      </w:pPr>
      <w:r>
        <w:rPr>
          <w:rStyle w:val="18"/>
          <w:rFonts w:ascii="楷体_GB2312" w:eastAsia="楷体_GB2312"/>
        </w:rPr>
        <w:footnoteRef/>
      </w:r>
      <w:r>
        <w:rPr>
          <w:rFonts w:hint="eastAsia" w:ascii="楷体_GB2312" w:hAnsi="宋体" w:eastAsia="楷体_GB2312" w:cs="宋体"/>
          <w:sz w:val="28"/>
          <w:szCs w:val="28"/>
        </w:rPr>
        <w:t>一极三地一门户：承接产业转移示范区的重要增长极，长三角重要旅游目的地、重要休闲康养基地、绿色有机农产品生产供应基地，长三角有影响力的省际边界</w:t>
      </w:r>
      <w:r>
        <w:rPr>
          <w:rFonts w:hint="eastAsia" w:ascii="楷体_GB2312" w:hAnsi="??_GB2312" w:eastAsia="楷体_GB2312" w:cs="??_GB2312"/>
          <w:sz w:val="28"/>
          <w:szCs w:val="28"/>
        </w:rPr>
        <w:t>“</w:t>
      </w:r>
      <w:r>
        <w:rPr>
          <w:rFonts w:hint="eastAsia" w:ascii="楷体_GB2312" w:hAnsi="宋体" w:eastAsia="楷体_GB2312" w:cs="宋体"/>
          <w:sz w:val="28"/>
          <w:szCs w:val="28"/>
        </w:rPr>
        <w:t>门户担当</w:t>
      </w:r>
      <w:r>
        <w:rPr>
          <w:rFonts w:hint="eastAsia" w:ascii="楷体_GB2312" w:hAnsi="??_GB2312" w:eastAsia="楷体_GB2312" w:cs="??_GB2312"/>
          <w:sz w:val="28"/>
          <w:szCs w:val="28"/>
        </w:rPr>
        <w:t>”</w:t>
      </w:r>
      <w:r>
        <w:rPr>
          <w:rFonts w:hint="eastAsia" w:ascii="楷体_GB2312" w:hAnsi="宋体" w:eastAsia="楷体_GB2312" w:cs="宋体"/>
          <w:sz w:val="28"/>
          <w:szCs w:val="28"/>
        </w:rPr>
        <w:t>县。</w:t>
      </w:r>
    </w:p>
  </w:footnote>
  <w:footnote w:id="1">
    <w:p>
      <w:pPr>
        <w:pStyle w:val="10"/>
      </w:pPr>
      <w:r>
        <w:rPr>
          <w:rStyle w:val="18"/>
          <w:rFonts w:ascii="楷体_GB2312" w:eastAsia="楷体_GB2312"/>
        </w:rPr>
        <w:footnoteRef/>
      </w:r>
      <w:r>
        <w:rPr>
          <w:rFonts w:hint="eastAsia" w:ascii="楷体_GB2312" w:hAnsi="??_GB2312" w:eastAsia="楷体_GB2312" w:cs="??_GB2312"/>
          <w:sz w:val="28"/>
          <w:szCs w:val="28"/>
        </w:rPr>
        <w:t>“</w:t>
      </w:r>
      <w:r>
        <w:rPr>
          <w:rFonts w:ascii="楷体_GB2312" w:hAnsi="??_GB2312" w:eastAsia="楷体_GB2312" w:cs="??_GB2312"/>
          <w:sz w:val="28"/>
          <w:szCs w:val="28"/>
        </w:rPr>
        <w:t>1122</w:t>
      </w:r>
      <w:r>
        <w:rPr>
          <w:rFonts w:hint="eastAsia" w:ascii="楷体_GB2312" w:hAnsi="??_GB2312" w:eastAsia="楷体_GB2312" w:cs="??_GB2312"/>
          <w:sz w:val="28"/>
          <w:szCs w:val="28"/>
        </w:rPr>
        <w:t>”</w:t>
      </w:r>
      <w:r>
        <w:rPr>
          <w:rFonts w:hint="eastAsia" w:ascii="楷体_GB2312" w:hAnsi="宋体" w:eastAsia="楷体_GB2312" w:cs="宋体"/>
          <w:sz w:val="28"/>
          <w:szCs w:val="28"/>
        </w:rPr>
        <w:t>产业提质工程：打造</w:t>
      </w:r>
      <w:r>
        <w:rPr>
          <w:rFonts w:ascii="楷体_GB2312" w:hAnsi="??_GB2312" w:eastAsia="楷体_GB2312"/>
          <w:sz w:val="28"/>
          <w:szCs w:val="28"/>
        </w:rPr>
        <w:t>1</w:t>
      </w:r>
      <w:r>
        <w:rPr>
          <w:rFonts w:hint="eastAsia" w:ascii="楷体_GB2312" w:hAnsi="宋体" w:eastAsia="楷体_GB2312" w:cs="宋体"/>
          <w:sz w:val="28"/>
          <w:szCs w:val="28"/>
        </w:rPr>
        <w:t>个三百亿（现代化工）、</w:t>
      </w:r>
      <w:r>
        <w:rPr>
          <w:rFonts w:ascii="楷体_GB2312" w:hAnsi="??_GB2312" w:eastAsia="楷体_GB2312"/>
          <w:sz w:val="28"/>
          <w:szCs w:val="28"/>
        </w:rPr>
        <w:t>1</w:t>
      </w:r>
      <w:r>
        <w:rPr>
          <w:rFonts w:hint="eastAsia" w:ascii="楷体_GB2312" w:hAnsi="宋体" w:eastAsia="楷体_GB2312" w:cs="宋体"/>
          <w:sz w:val="28"/>
          <w:szCs w:val="28"/>
        </w:rPr>
        <w:t>个一百亿（钙产业）、</w:t>
      </w:r>
      <w:r>
        <w:rPr>
          <w:rFonts w:ascii="楷体_GB2312" w:hAnsi="??_GB2312" w:eastAsia="楷体_GB2312"/>
          <w:sz w:val="28"/>
          <w:szCs w:val="28"/>
        </w:rPr>
        <w:t>2</w:t>
      </w:r>
      <w:r>
        <w:rPr>
          <w:rFonts w:hint="eastAsia" w:ascii="楷体_GB2312" w:hAnsi="宋体" w:eastAsia="楷体_GB2312" w:cs="宋体"/>
          <w:sz w:val="28"/>
          <w:szCs w:val="28"/>
        </w:rPr>
        <w:t>个五十亿产业（绿色食品、智能装备制造）、</w:t>
      </w:r>
      <w:r>
        <w:rPr>
          <w:rFonts w:ascii="楷体_GB2312" w:hAnsi="??_GB2312" w:eastAsia="楷体_GB2312"/>
          <w:sz w:val="28"/>
          <w:szCs w:val="28"/>
        </w:rPr>
        <w:t>2</w:t>
      </w:r>
      <w:r>
        <w:rPr>
          <w:rFonts w:hint="eastAsia" w:ascii="楷体_GB2312" w:hAnsi="宋体" w:eastAsia="楷体_GB2312" w:cs="宋体"/>
          <w:sz w:val="28"/>
          <w:szCs w:val="28"/>
        </w:rPr>
        <w:t>个二十亿产业（袜业服装箱包、文旅大健康）。</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dit="forms"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1,3"/>
    </o:shapelayout>
  </w:hdrShapeDefaults>
  <w:footnotePr>
    <w:footnote w:id="4"/>
    <w:footnote w:id="5"/>
  </w:foot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k5YmFjYWI0YzRlOGZjZGNhYzhmMWJiNjc1MDBmOGMifQ=="/>
  </w:docVars>
  <w:rsids>
    <w:rsidRoot w:val="00D31272"/>
    <w:rsid w:val="0000144F"/>
    <w:rsid w:val="000056E6"/>
    <w:rsid w:val="0001634D"/>
    <w:rsid w:val="000163B5"/>
    <w:rsid w:val="0004026D"/>
    <w:rsid w:val="00041CBA"/>
    <w:rsid w:val="00042299"/>
    <w:rsid w:val="000573B0"/>
    <w:rsid w:val="00060621"/>
    <w:rsid w:val="0006740E"/>
    <w:rsid w:val="00082C28"/>
    <w:rsid w:val="00083D63"/>
    <w:rsid w:val="00092E8B"/>
    <w:rsid w:val="00094451"/>
    <w:rsid w:val="00097C2E"/>
    <w:rsid w:val="000A169D"/>
    <w:rsid w:val="000B40FC"/>
    <w:rsid w:val="000B6267"/>
    <w:rsid w:val="000C78D9"/>
    <w:rsid w:val="000F1A62"/>
    <w:rsid w:val="000F3313"/>
    <w:rsid w:val="001020EE"/>
    <w:rsid w:val="00116248"/>
    <w:rsid w:val="00125188"/>
    <w:rsid w:val="00125C64"/>
    <w:rsid w:val="0012667E"/>
    <w:rsid w:val="001418F2"/>
    <w:rsid w:val="00146726"/>
    <w:rsid w:val="00151B2E"/>
    <w:rsid w:val="00155F67"/>
    <w:rsid w:val="0016304F"/>
    <w:rsid w:val="00167AF5"/>
    <w:rsid w:val="00181BA8"/>
    <w:rsid w:val="00190983"/>
    <w:rsid w:val="00195F15"/>
    <w:rsid w:val="00196EC4"/>
    <w:rsid w:val="001A007D"/>
    <w:rsid w:val="001A4912"/>
    <w:rsid w:val="001A5FF1"/>
    <w:rsid w:val="001B00C2"/>
    <w:rsid w:val="001B140F"/>
    <w:rsid w:val="001B49ED"/>
    <w:rsid w:val="001B5C2B"/>
    <w:rsid w:val="001B6028"/>
    <w:rsid w:val="001B7779"/>
    <w:rsid w:val="001C58DD"/>
    <w:rsid w:val="001C6D95"/>
    <w:rsid w:val="001D79A0"/>
    <w:rsid w:val="001E0C1A"/>
    <w:rsid w:val="001E591E"/>
    <w:rsid w:val="0020369C"/>
    <w:rsid w:val="0020416D"/>
    <w:rsid w:val="002124E5"/>
    <w:rsid w:val="002203B2"/>
    <w:rsid w:val="00230F3C"/>
    <w:rsid w:val="00232322"/>
    <w:rsid w:val="0023653A"/>
    <w:rsid w:val="002413E7"/>
    <w:rsid w:val="00245EF7"/>
    <w:rsid w:val="00260229"/>
    <w:rsid w:val="00280EA4"/>
    <w:rsid w:val="0028119A"/>
    <w:rsid w:val="00284BC9"/>
    <w:rsid w:val="002A209F"/>
    <w:rsid w:val="002A3071"/>
    <w:rsid w:val="002B0E96"/>
    <w:rsid w:val="002C0580"/>
    <w:rsid w:val="002C1F23"/>
    <w:rsid w:val="002C423B"/>
    <w:rsid w:val="002D4FBF"/>
    <w:rsid w:val="002D7729"/>
    <w:rsid w:val="002E0F72"/>
    <w:rsid w:val="002E51B6"/>
    <w:rsid w:val="002F451F"/>
    <w:rsid w:val="0030081E"/>
    <w:rsid w:val="003061CE"/>
    <w:rsid w:val="00310804"/>
    <w:rsid w:val="00315827"/>
    <w:rsid w:val="003226A9"/>
    <w:rsid w:val="0032511C"/>
    <w:rsid w:val="0033158A"/>
    <w:rsid w:val="0033313E"/>
    <w:rsid w:val="00336A04"/>
    <w:rsid w:val="00346A72"/>
    <w:rsid w:val="003513F5"/>
    <w:rsid w:val="003606DF"/>
    <w:rsid w:val="00360EF1"/>
    <w:rsid w:val="0036174F"/>
    <w:rsid w:val="00364E80"/>
    <w:rsid w:val="0037780A"/>
    <w:rsid w:val="003850E2"/>
    <w:rsid w:val="00387E7D"/>
    <w:rsid w:val="003A0142"/>
    <w:rsid w:val="003A1AA1"/>
    <w:rsid w:val="003A39B4"/>
    <w:rsid w:val="003A7FE4"/>
    <w:rsid w:val="003B30BB"/>
    <w:rsid w:val="003C586A"/>
    <w:rsid w:val="003D7BCD"/>
    <w:rsid w:val="00414F3E"/>
    <w:rsid w:val="00421C27"/>
    <w:rsid w:val="004334B5"/>
    <w:rsid w:val="00437360"/>
    <w:rsid w:val="004471A8"/>
    <w:rsid w:val="004560DB"/>
    <w:rsid w:val="00456AE1"/>
    <w:rsid w:val="00465805"/>
    <w:rsid w:val="00476571"/>
    <w:rsid w:val="0048159C"/>
    <w:rsid w:val="00481CCC"/>
    <w:rsid w:val="004A41E9"/>
    <w:rsid w:val="004C0CFD"/>
    <w:rsid w:val="004C54FB"/>
    <w:rsid w:val="004D2A88"/>
    <w:rsid w:val="004D36F5"/>
    <w:rsid w:val="004D4B2A"/>
    <w:rsid w:val="004E377A"/>
    <w:rsid w:val="004F216B"/>
    <w:rsid w:val="004F7E9C"/>
    <w:rsid w:val="00501517"/>
    <w:rsid w:val="00520DBE"/>
    <w:rsid w:val="00527EA0"/>
    <w:rsid w:val="00532297"/>
    <w:rsid w:val="00532596"/>
    <w:rsid w:val="00544324"/>
    <w:rsid w:val="00545B78"/>
    <w:rsid w:val="00546FE1"/>
    <w:rsid w:val="005549B5"/>
    <w:rsid w:val="00560C43"/>
    <w:rsid w:val="00563804"/>
    <w:rsid w:val="0056701D"/>
    <w:rsid w:val="005677CB"/>
    <w:rsid w:val="00572003"/>
    <w:rsid w:val="00590BFC"/>
    <w:rsid w:val="00591D5B"/>
    <w:rsid w:val="005944EC"/>
    <w:rsid w:val="005B0A35"/>
    <w:rsid w:val="005C42D8"/>
    <w:rsid w:val="005D0C03"/>
    <w:rsid w:val="005D15D7"/>
    <w:rsid w:val="005D60F6"/>
    <w:rsid w:val="005E657A"/>
    <w:rsid w:val="00613751"/>
    <w:rsid w:val="00637A60"/>
    <w:rsid w:val="00646FC9"/>
    <w:rsid w:val="00653CE8"/>
    <w:rsid w:val="00654AF2"/>
    <w:rsid w:val="006619F1"/>
    <w:rsid w:val="00671414"/>
    <w:rsid w:val="006763BF"/>
    <w:rsid w:val="006767EC"/>
    <w:rsid w:val="00685048"/>
    <w:rsid w:val="00694842"/>
    <w:rsid w:val="006A06B6"/>
    <w:rsid w:val="006A30CA"/>
    <w:rsid w:val="006A77BC"/>
    <w:rsid w:val="006B501F"/>
    <w:rsid w:val="006C11D5"/>
    <w:rsid w:val="006C42C1"/>
    <w:rsid w:val="006D258D"/>
    <w:rsid w:val="006D35E0"/>
    <w:rsid w:val="006D7CE0"/>
    <w:rsid w:val="006E0DF1"/>
    <w:rsid w:val="006F1D00"/>
    <w:rsid w:val="006F7FE8"/>
    <w:rsid w:val="00700195"/>
    <w:rsid w:val="007017BB"/>
    <w:rsid w:val="00702D63"/>
    <w:rsid w:val="00705FC4"/>
    <w:rsid w:val="0071031F"/>
    <w:rsid w:val="007113AD"/>
    <w:rsid w:val="00722B06"/>
    <w:rsid w:val="00723F5F"/>
    <w:rsid w:val="007300F0"/>
    <w:rsid w:val="00730D66"/>
    <w:rsid w:val="00736305"/>
    <w:rsid w:val="00737B15"/>
    <w:rsid w:val="00745208"/>
    <w:rsid w:val="00755367"/>
    <w:rsid w:val="00757324"/>
    <w:rsid w:val="0076241B"/>
    <w:rsid w:val="007644E6"/>
    <w:rsid w:val="00770420"/>
    <w:rsid w:val="0077780B"/>
    <w:rsid w:val="00795A1B"/>
    <w:rsid w:val="00796472"/>
    <w:rsid w:val="007A01F6"/>
    <w:rsid w:val="007A3078"/>
    <w:rsid w:val="007B5BC4"/>
    <w:rsid w:val="007B7031"/>
    <w:rsid w:val="007C33FF"/>
    <w:rsid w:val="007E3015"/>
    <w:rsid w:val="007E4F38"/>
    <w:rsid w:val="007E638E"/>
    <w:rsid w:val="007F0DE5"/>
    <w:rsid w:val="007F31D0"/>
    <w:rsid w:val="007F6518"/>
    <w:rsid w:val="007F7613"/>
    <w:rsid w:val="0082484F"/>
    <w:rsid w:val="008402AB"/>
    <w:rsid w:val="00847769"/>
    <w:rsid w:val="00852ACC"/>
    <w:rsid w:val="0085411B"/>
    <w:rsid w:val="00854BAF"/>
    <w:rsid w:val="008563F6"/>
    <w:rsid w:val="008617CD"/>
    <w:rsid w:val="00867634"/>
    <w:rsid w:val="00875C74"/>
    <w:rsid w:val="00895B55"/>
    <w:rsid w:val="008A2ADD"/>
    <w:rsid w:val="008A5FFD"/>
    <w:rsid w:val="008B2247"/>
    <w:rsid w:val="008C5A46"/>
    <w:rsid w:val="008C5F6C"/>
    <w:rsid w:val="008E703E"/>
    <w:rsid w:val="008E77B6"/>
    <w:rsid w:val="008F0B4E"/>
    <w:rsid w:val="00900E47"/>
    <w:rsid w:val="009017CD"/>
    <w:rsid w:val="00903717"/>
    <w:rsid w:val="009063A5"/>
    <w:rsid w:val="00907877"/>
    <w:rsid w:val="0091141F"/>
    <w:rsid w:val="009137F6"/>
    <w:rsid w:val="00926208"/>
    <w:rsid w:val="00931A78"/>
    <w:rsid w:val="00940FE6"/>
    <w:rsid w:val="009443B3"/>
    <w:rsid w:val="0095430D"/>
    <w:rsid w:val="009558DC"/>
    <w:rsid w:val="00961A27"/>
    <w:rsid w:val="00972F44"/>
    <w:rsid w:val="0097763D"/>
    <w:rsid w:val="00982910"/>
    <w:rsid w:val="009945DD"/>
    <w:rsid w:val="009A4E79"/>
    <w:rsid w:val="009B13EB"/>
    <w:rsid w:val="009B5A1B"/>
    <w:rsid w:val="009C436D"/>
    <w:rsid w:val="009D22B2"/>
    <w:rsid w:val="009D318E"/>
    <w:rsid w:val="009F099A"/>
    <w:rsid w:val="009F17D9"/>
    <w:rsid w:val="009F7975"/>
    <w:rsid w:val="00A14879"/>
    <w:rsid w:val="00A22586"/>
    <w:rsid w:val="00A30275"/>
    <w:rsid w:val="00A35C19"/>
    <w:rsid w:val="00A459DE"/>
    <w:rsid w:val="00A5331D"/>
    <w:rsid w:val="00A62976"/>
    <w:rsid w:val="00A62D75"/>
    <w:rsid w:val="00A71B07"/>
    <w:rsid w:val="00A75070"/>
    <w:rsid w:val="00A77538"/>
    <w:rsid w:val="00A8088A"/>
    <w:rsid w:val="00A812E8"/>
    <w:rsid w:val="00A90504"/>
    <w:rsid w:val="00A91C9E"/>
    <w:rsid w:val="00A94AE9"/>
    <w:rsid w:val="00A95F78"/>
    <w:rsid w:val="00A977F0"/>
    <w:rsid w:val="00AA70E3"/>
    <w:rsid w:val="00AC0E15"/>
    <w:rsid w:val="00AD5CCD"/>
    <w:rsid w:val="00AE373B"/>
    <w:rsid w:val="00AE4838"/>
    <w:rsid w:val="00AE64CE"/>
    <w:rsid w:val="00AF32EA"/>
    <w:rsid w:val="00B02ACA"/>
    <w:rsid w:val="00B17A38"/>
    <w:rsid w:val="00B216AC"/>
    <w:rsid w:val="00B24631"/>
    <w:rsid w:val="00B3029E"/>
    <w:rsid w:val="00B31F58"/>
    <w:rsid w:val="00B3754D"/>
    <w:rsid w:val="00B43E79"/>
    <w:rsid w:val="00B46AC7"/>
    <w:rsid w:val="00B55456"/>
    <w:rsid w:val="00B634C4"/>
    <w:rsid w:val="00B73A7C"/>
    <w:rsid w:val="00B82B93"/>
    <w:rsid w:val="00B92ABF"/>
    <w:rsid w:val="00BB08BA"/>
    <w:rsid w:val="00BC065B"/>
    <w:rsid w:val="00BC38BA"/>
    <w:rsid w:val="00BE02DC"/>
    <w:rsid w:val="00BE0F1E"/>
    <w:rsid w:val="00BE2395"/>
    <w:rsid w:val="00BE58E6"/>
    <w:rsid w:val="00BF2595"/>
    <w:rsid w:val="00BF5A3C"/>
    <w:rsid w:val="00C052FF"/>
    <w:rsid w:val="00C05761"/>
    <w:rsid w:val="00C05AAB"/>
    <w:rsid w:val="00C05FAF"/>
    <w:rsid w:val="00C13F13"/>
    <w:rsid w:val="00C141A9"/>
    <w:rsid w:val="00C1450E"/>
    <w:rsid w:val="00C158EE"/>
    <w:rsid w:val="00C22CE2"/>
    <w:rsid w:val="00C24B2C"/>
    <w:rsid w:val="00C31043"/>
    <w:rsid w:val="00C32D33"/>
    <w:rsid w:val="00C35550"/>
    <w:rsid w:val="00C36A0A"/>
    <w:rsid w:val="00C46602"/>
    <w:rsid w:val="00C47DC9"/>
    <w:rsid w:val="00C54C86"/>
    <w:rsid w:val="00C605BF"/>
    <w:rsid w:val="00C64497"/>
    <w:rsid w:val="00C77432"/>
    <w:rsid w:val="00C83A74"/>
    <w:rsid w:val="00C84E17"/>
    <w:rsid w:val="00C929FC"/>
    <w:rsid w:val="00C94690"/>
    <w:rsid w:val="00C9673C"/>
    <w:rsid w:val="00CA61B6"/>
    <w:rsid w:val="00CB2673"/>
    <w:rsid w:val="00CD799E"/>
    <w:rsid w:val="00CE78FA"/>
    <w:rsid w:val="00CF2D98"/>
    <w:rsid w:val="00D01E5F"/>
    <w:rsid w:val="00D066B7"/>
    <w:rsid w:val="00D12E95"/>
    <w:rsid w:val="00D24879"/>
    <w:rsid w:val="00D31272"/>
    <w:rsid w:val="00D33F45"/>
    <w:rsid w:val="00D73406"/>
    <w:rsid w:val="00D74F7C"/>
    <w:rsid w:val="00D81286"/>
    <w:rsid w:val="00D91CBF"/>
    <w:rsid w:val="00D92081"/>
    <w:rsid w:val="00D932E6"/>
    <w:rsid w:val="00D97E18"/>
    <w:rsid w:val="00DB3013"/>
    <w:rsid w:val="00DB51C7"/>
    <w:rsid w:val="00DD29BC"/>
    <w:rsid w:val="00E0265C"/>
    <w:rsid w:val="00E03AF6"/>
    <w:rsid w:val="00E06947"/>
    <w:rsid w:val="00E07685"/>
    <w:rsid w:val="00E10B99"/>
    <w:rsid w:val="00E23395"/>
    <w:rsid w:val="00E23FC9"/>
    <w:rsid w:val="00E25052"/>
    <w:rsid w:val="00E37C83"/>
    <w:rsid w:val="00E40A19"/>
    <w:rsid w:val="00E507F1"/>
    <w:rsid w:val="00E53CFD"/>
    <w:rsid w:val="00E65031"/>
    <w:rsid w:val="00E77010"/>
    <w:rsid w:val="00E802CA"/>
    <w:rsid w:val="00E81AE6"/>
    <w:rsid w:val="00EA2269"/>
    <w:rsid w:val="00EA4BDB"/>
    <w:rsid w:val="00EB6056"/>
    <w:rsid w:val="00ED0ABC"/>
    <w:rsid w:val="00EE2EF9"/>
    <w:rsid w:val="00EF4D41"/>
    <w:rsid w:val="00F00A07"/>
    <w:rsid w:val="00F04007"/>
    <w:rsid w:val="00F20058"/>
    <w:rsid w:val="00F338A9"/>
    <w:rsid w:val="00F33B91"/>
    <w:rsid w:val="00F3731C"/>
    <w:rsid w:val="00F4658B"/>
    <w:rsid w:val="00F517FA"/>
    <w:rsid w:val="00F53FDA"/>
    <w:rsid w:val="00F56708"/>
    <w:rsid w:val="00F70D89"/>
    <w:rsid w:val="00F71CC9"/>
    <w:rsid w:val="00F72BC9"/>
    <w:rsid w:val="00F73AB2"/>
    <w:rsid w:val="00F77C5A"/>
    <w:rsid w:val="00FA0E81"/>
    <w:rsid w:val="00FA2B80"/>
    <w:rsid w:val="00FC3973"/>
    <w:rsid w:val="00FD1365"/>
    <w:rsid w:val="00FD1A94"/>
    <w:rsid w:val="00FE2758"/>
    <w:rsid w:val="00FE3684"/>
    <w:rsid w:val="01511AAF"/>
    <w:rsid w:val="01E40CEA"/>
    <w:rsid w:val="022421F8"/>
    <w:rsid w:val="02251194"/>
    <w:rsid w:val="03E14E79"/>
    <w:rsid w:val="04503FF7"/>
    <w:rsid w:val="04DC74AA"/>
    <w:rsid w:val="052A45BD"/>
    <w:rsid w:val="05771D89"/>
    <w:rsid w:val="057A12E6"/>
    <w:rsid w:val="05F02E46"/>
    <w:rsid w:val="062338A2"/>
    <w:rsid w:val="08262E23"/>
    <w:rsid w:val="085C6772"/>
    <w:rsid w:val="08F66FE1"/>
    <w:rsid w:val="090C5515"/>
    <w:rsid w:val="0945643A"/>
    <w:rsid w:val="0A974F1B"/>
    <w:rsid w:val="0B1F4DAD"/>
    <w:rsid w:val="0B361FAA"/>
    <w:rsid w:val="0BB242F4"/>
    <w:rsid w:val="0BF86DD8"/>
    <w:rsid w:val="0C4A7F13"/>
    <w:rsid w:val="0C4C430C"/>
    <w:rsid w:val="0C741539"/>
    <w:rsid w:val="0CEC2C24"/>
    <w:rsid w:val="0CF26302"/>
    <w:rsid w:val="0D5C586A"/>
    <w:rsid w:val="0DA024A9"/>
    <w:rsid w:val="0DE46ADE"/>
    <w:rsid w:val="0E4C67E0"/>
    <w:rsid w:val="0EE76AEB"/>
    <w:rsid w:val="0FD2694A"/>
    <w:rsid w:val="0FD4409F"/>
    <w:rsid w:val="0FE7221C"/>
    <w:rsid w:val="105C5FCA"/>
    <w:rsid w:val="111A2555"/>
    <w:rsid w:val="111A5E97"/>
    <w:rsid w:val="11202D46"/>
    <w:rsid w:val="11585177"/>
    <w:rsid w:val="11856FCC"/>
    <w:rsid w:val="11B53205"/>
    <w:rsid w:val="11E56FCC"/>
    <w:rsid w:val="12AA53EE"/>
    <w:rsid w:val="12F37064"/>
    <w:rsid w:val="13570A77"/>
    <w:rsid w:val="138617FA"/>
    <w:rsid w:val="13885430"/>
    <w:rsid w:val="13BC0203"/>
    <w:rsid w:val="14107686"/>
    <w:rsid w:val="14386566"/>
    <w:rsid w:val="1446593A"/>
    <w:rsid w:val="14AE03A9"/>
    <w:rsid w:val="14F528D3"/>
    <w:rsid w:val="159056EA"/>
    <w:rsid w:val="159B5A68"/>
    <w:rsid w:val="15DC5911"/>
    <w:rsid w:val="161823E4"/>
    <w:rsid w:val="164C6FB2"/>
    <w:rsid w:val="166D0C9B"/>
    <w:rsid w:val="16A35539"/>
    <w:rsid w:val="16FE17C7"/>
    <w:rsid w:val="170D7ABD"/>
    <w:rsid w:val="17291E04"/>
    <w:rsid w:val="18015F5E"/>
    <w:rsid w:val="18BD1E41"/>
    <w:rsid w:val="1A384639"/>
    <w:rsid w:val="1AB83CCC"/>
    <w:rsid w:val="1B3A0E52"/>
    <w:rsid w:val="1B740F1F"/>
    <w:rsid w:val="1BEB25D5"/>
    <w:rsid w:val="1C8C35CA"/>
    <w:rsid w:val="1C986D11"/>
    <w:rsid w:val="1D321BFC"/>
    <w:rsid w:val="1DCB4927"/>
    <w:rsid w:val="1DD50938"/>
    <w:rsid w:val="1DEB0F22"/>
    <w:rsid w:val="1E542B86"/>
    <w:rsid w:val="1E7E0AD0"/>
    <w:rsid w:val="1E9B7797"/>
    <w:rsid w:val="1EDE2E2B"/>
    <w:rsid w:val="1EE4522F"/>
    <w:rsid w:val="1F2B669E"/>
    <w:rsid w:val="1F4729FB"/>
    <w:rsid w:val="1F624EA6"/>
    <w:rsid w:val="1FB5598E"/>
    <w:rsid w:val="1FC3427D"/>
    <w:rsid w:val="1FE549A7"/>
    <w:rsid w:val="207530B9"/>
    <w:rsid w:val="20C352ED"/>
    <w:rsid w:val="210825EE"/>
    <w:rsid w:val="211932B9"/>
    <w:rsid w:val="214106F2"/>
    <w:rsid w:val="21742E28"/>
    <w:rsid w:val="21BB364A"/>
    <w:rsid w:val="22AD3424"/>
    <w:rsid w:val="22E32D80"/>
    <w:rsid w:val="237F32C7"/>
    <w:rsid w:val="23CB0DAC"/>
    <w:rsid w:val="23EA5CFD"/>
    <w:rsid w:val="24517212"/>
    <w:rsid w:val="24771E68"/>
    <w:rsid w:val="249A0263"/>
    <w:rsid w:val="24E37BA2"/>
    <w:rsid w:val="25532C0E"/>
    <w:rsid w:val="25543EE3"/>
    <w:rsid w:val="259F33AD"/>
    <w:rsid w:val="25A72D22"/>
    <w:rsid w:val="25E25FCD"/>
    <w:rsid w:val="264C6622"/>
    <w:rsid w:val="27081EE2"/>
    <w:rsid w:val="272C323F"/>
    <w:rsid w:val="275E1E58"/>
    <w:rsid w:val="283604F5"/>
    <w:rsid w:val="28622E90"/>
    <w:rsid w:val="28E44694"/>
    <w:rsid w:val="293C268B"/>
    <w:rsid w:val="29954A24"/>
    <w:rsid w:val="29C97A56"/>
    <w:rsid w:val="2A29112D"/>
    <w:rsid w:val="2A2E74B0"/>
    <w:rsid w:val="2A466A48"/>
    <w:rsid w:val="2A5A70DE"/>
    <w:rsid w:val="2AE13D16"/>
    <w:rsid w:val="2AE362D8"/>
    <w:rsid w:val="2AE8738C"/>
    <w:rsid w:val="2B740BC2"/>
    <w:rsid w:val="2C0E7B02"/>
    <w:rsid w:val="2D00327C"/>
    <w:rsid w:val="2D220A62"/>
    <w:rsid w:val="2E10118F"/>
    <w:rsid w:val="2E3D5175"/>
    <w:rsid w:val="2E8E6F66"/>
    <w:rsid w:val="2E8F4992"/>
    <w:rsid w:val="2E9838A6"/>
    <w:rsid w:val="2EDC6042"/>
    <w:rsid w:val="2F3D617B"/>
    <w:rsid w:val="2FB72F7A"/>
    <w:rsid w:val="2FDB42EA"/>
    <w:rsid w:val="2FE36FDF"/>
    <w:rsid w:val="2FF11461"/>
    <w:rsid w:val="30310C74"/>
    <w:rsid w:val="3031409A"/>
    <w:rsid w:val="30530A42"/>
    <w:rsid w:val="30CC3264"/>
    <w:rsid w:val="30D513BE"/>
    <w:rsid w:val="30EA5677"/>
    <w:rsid w:val="322F5124"/>
    <w:rsid w:val="325D535B"/>
    <w:rsid w:val="328477C7"/>
    <w:rsid w:val="33181BC5"/>
    <w:rsid w:val="332C2307"/>
    <w:rsid w:val="334A3221"/>
    <w:rsid w:val="33541631"/>
    <w:rsid w:val="337509FE"/>
    <w:rsid w:val="34135FBF"/>
    <w:rsid w:val="34BA47B6"/>
    <w:rsid w:val="34E212CD"/>
    <w:rsid w:val="34F87A96"/>
    <w:rsid w:val="357A2B0C"/>
    <w:rsid w:val="35A93607"/>
    <w:rsid w:val="35B6652E"/>
    <w:rsid w:val="368B4515"/>
    <w:rsid w:val="36907344"/>
    <w:rsid w:val="36BC2F90"/>
    <w:rsid w:val="36E2238A"/>
    <w:rsid w:val="373B48FB"/>
    <w:rsid w:val="376A33CC"/>
    <w:rsid w:val="379C1527"/>
    <w:rsid w:val="37C443C3"/>
    <w:rsid w:val="381262FB"/>
    <w:rsid w:val="383167E3"/>
    <w:rsid w:val="38A63181"/>
    <w:rsid w:val="38B1401E"/>
    <w:rsid w:val="39537BD7"/>
    <w:rsid w:val="39B47F85"/>
    <w:rsid w:val="39B82B52"/>
    <w:rsid w:val="39CE5FE4"/>
    <w:rsid w:val="3A1558EA"/>
    <w:rsid w:val="3A6019BA"/>
    <w:rsid w:val="3AAE315D"/>
    <w:rsid w:val="3B394C71"/>
    <w:rsid w:val="3B596175"/>
    <w:rsid w:val="3B961633"/>
    <w:rsid w:val="3BD479AD"/>
    <w:rsid w:val="3BDE5695"/>
    <w:rsid w:val="3C85779E"/>
    <w:rsid w:val="3C8A25F1"/>
    <w:rsid w:val="3CAA019C"/>
    <w:rsid w:val="3CB9269E"/>
    <w:rsid w:val="3CE12388"/>
    <w:rsid w:val="3D6C066F"/>
    <w:rsid w:val="3ED2344D"/>
    <w:rsid w:val="3EDC2B55"/>
    <w:rsid w:val="3F4037A1"/>
    <w:rsid w:val="3F722B53"/>
    <w:rsid w:val="3FD80DE8"/>
    <w:rsid w:val="408E4393"/>
    <w:rsid w:val="40B47CED"/>
    <w:rsid w:val="40BE4B2B"/>
    <w:rsid w:val="40C82939"/>
    <w:rsid w:val="41147665"/>
    <w:rsid w:val="412144FE"/>
    <w:rsid w:val="41A544C6"/>
    <w:rsid w:val="41D86DB9"/>
    <w:rsid w:val="421C3CFF"/>
    <w:rsid w:val="422F2B0A"/>
    <w:rsid w:val="425120E5"/>
    <w:rsid w:val="42AC198E"/>
    <w:rsid w:val="42B3019D"/>
    <w:rsid w:val="42BD7471"/>
    <w:rsid w:val="42E146FF"/>
    <w:rsid w:val="42F34CDB"/>
    <w:rsid w:val="43F7135E"/>
    <w:rsid w:val="44356048"/>
    <w:rsid w:val="446644FB"/>
    <w:rsid w:val="44A24413"/>
    <w:rsid w:val="45416D83"/>
    <w:rsid w:val="456F5923"/>
    <w:rsid w:val="45851C92"/>
    <w:rsid w:val="45E80C83"/>
    <w:rsid w:val="4759728C"/>
    <w:rsid w:val="47707F9A"/>
    <w:rsid w:val="47A07B8C"/>
    <w:rsid w:val="47C3529D"/>
    <w:rsid w:val="48572C46"/>
    <w:rsid w:val="485A3927"/>
    <w:rsid w:val="487D2662"/>
    <w:rsid w:val="48C42F30"/>
    <w:rsid w:val="48F147D8"/>
    <w:rsid w:val="49255664"/>
    <w:rsid w:val="49333F1A"/>
    <w:rsid w:val="4A1909BB"/>
    <w:rsid w:val="4A305256"/>
    <w:rsid w:val="4AA164ED"/>
    <w:rsid w:val="4B3D421D"/>
    <w:rsid w:val="4B413795"/>
    <w:rsid w:val="4B5772CF"/>
    <w:rsid w:val="4BB26B18"/>
    <w:rsid w:val="4C4D66FA"/>
    <w:rsid w:val="4D7215B5"/>
    <w:rsid w:val="4D880A7B"/>
    <w:rsid w:val="4E430A2C"/>
    <w:rsid w:val="4EB66B7D"/>
    <w:rsid w:val="4F273522"/>
    <w:rsid w:val="4F2A2B12"/>
    <w:rsid w:val="4F3A4E1F"/>
    <w:rsid w:val="4F905C7B"/>
    <w:rsid w:val="4F9A5BB1"/>
    <w:rsid w:val="4FA27888"/>
    <w:rsid w:val="4FA9175A"/>
    <w:rsid w:val="5045343D"/>
    <w:rsid w:val="51033028"/>
    <w:rsid w:val="51115384"/>
    <w:rsid w:val="51373905"/>
    <w:rsid w:val="513A075A"/>
    <w:rsid w:val="51545CFE"/>
    <w:rsid w:val="5175600D"/>
    <w:rsid w:val="517A5069"/>
    <w:rsid w:val="51BF44AF"/>
    <w:rsid w:val="51CF7E26"/>
    <w:rsid w:val="522442EF"/>
    <w:rsid w:val="527573D2"/>
    <w:rsid w:val="52A25D10"/>
    <w:rsid w:val="52D21DB6"/>
    <w:rsid w:val="52E25B6E"/>
    <w:rsid w:val="52E84A98"/>
    <w:rsid w:val="53612675"/>
    <w:rsid w:val="53EB231A"/>
    <w:rsid w:val="54707458"/>
    <w:rsid w:val="54DA2650"/>
    <w:rsid w:val="54E84ADE"/>
    <w:rsid w:val="54E921DB"/>
    <w:rsid w:val="559243B9"/>
    <w:rsid w:val="559B572A"/>
    <w:rsid w:val="55AC0638"/>
    <w:rsid w:val="561D4E83"/>
    <w:rsid w:val="5630767E"/>
    <w:rsid w:val="565A5190"/>
    <w:rsid w:val="56A40B6B"/>
    <w:rsid w:val="576B1A27"/>
    <w:rsid w:val="576E468E"/>
    <w:rsid w:val="577672B0"/>
    <w:rsid w:val="57A37177"/>
    <w:rsid w:val="57E46BA4"/>
    <w:rsid w:val="58661D69"/>
    <w:rsid w:val="58D2146F"/>
    <w:rsid w:val="5921048E"/>
    <w:rsid w:val="59861477"/>
    <w:rsid w:val="598B73F9"/>
    <w:rsid w:val="598D1472"/>
    <w:rsid w:val="59E94F59"/>
    <w:rsid w:val="59F848EE"/>
    <w:rsid w:val="5A5D3F60"/>
    <w:rsid w:val="5A9C5B71"/>
    <w:rsid w:val="5B612457"/>
    <w:rsid w:val="5B8C6F93"/>
    <w:rsid w:val="5BAF0F1A"/>
    <w:rsid w:val="5BF7543C"/>
    <w:rsid w:val="5C5A4C9A"/>
    <w:rsid w:val="5CDF32BA"/>
    <w:rsid w:val="5CF80300"/>
    <w:rsid w:val="5D1B2A8E"/>
    <w:rsid w:val="5E4A31A4"/>
    <w:rsid w:val="5E8C37E0"/>
    <w:rsid w:val="5FF17F56"/>
    <w:rsid w:val="5FF411FD"/>
    <w:rsid w:val="6298263D"/>
    <w:rsid w:val="62B70372"/>
    <w:rsid w:val="62BE71BA"/>
    <w:rsid w:val="62D60411"/>
    <w:rsid w:val="63193DA5"/>
    <w:rsid w:val="63395C01"/>
    <w:rsid w:val="637108C4"/>
    <w:rsid w:val="64015BAB"/>
    <w:rsid w:val="645B59CB"/>
    <w:rsid w:val="648952AF"/>
    <w:rsid w:val="65541037"/>
    <w:rsid w:val="65B31215"/>
    <w:rsid w:val="66074FCC"/>
    <w:rsid w:val="668B4290"/>
    <w:rsid w:val="66A03E6C"/>
    <w:rsid w:val="66E17071"/>
    <w:rsid w:val="677E7F08"/>
    <w:rsid w:val="6784107F"/>
    <w:rsid w:val="67842E7A"/>
    <w:rsid w:val="679D28E7"/>
    <w:rsid w:val="67DB1899"/>
    <w:rsid w:val="682E42D9"/>
    <w:rsid w:val="683C4F08"/>
    <w:rsid w:val="684B479A"/>
    <w:rsid w:val="68DA38FB"/>
    <w:rsid w:val="68F74760"/>
    <w:rsid w:val="69111AB1"/>
    <w:rsid w:val="6A146193"/>
    <w:rsid w:val="6A55284B"/>
    <w:rsid w:val="6A7A7BE2"/>
    <w:rsid w:val="6AA11A90"/>
    <w:rsid w:val="6AD06A14"/>
    <w:rsid w:val="6AD970C5"/>
    <w:rsid w:val="6AE17A36"/>
    <w:rsid w:val="6B1E6412"/>
    <w:rsid w:val="6B613F32"/>
    <w:rsid w:val="6B664347"/>
    <w:rsid w:val="6B7B12D5"/>
    <w:rsid w:val="6B7C536D"/>
    <w:rsid w:val="6BF62710"/>
    <w:rsid w:val="6D51166A"/>
    <w:rsid w:val="6DC37225"/>
    <w:rsid w:val="6DD94F73"/>
    <w:rsid w:val="6DF94CAF"/>
    <w:rsid w:val="6E5F2BCB"/>
    <w:rsid w:val="6F190C8C"/>
    <w:rsid w:val="6F3F3B5F"/>
    <w:rsid w:val="6F610144"/>
    <w:rsid w:val="6F827814"/>
    <w:rsid w:val="6F8B15FD"/>
    <w:rsid w:val="6FEB038C"/>
    <w:rsid w:val="70364985"/>
    <w:rsid w:val="708430CA"/>
    <w:rsid w:val="708F568B"/>
    <w:rsid w:val="70B343D1"/>
    <w:rsid w:val="710734D3"/>
    <w:rsid w:val="713034B8"/>
    <w:rsid w:val="713F113E"/>
    <w:rsid w:val="71B648A9"/>
    <w:rsid w:val="71C335AF"/>
    <w:rsid w:val="723A401C"/>
    <w:rsid w:val="72D32CAC"/>
    <w:rsid w:val="73726F59"/>
    <w:rsid w:val="74335C45"/>
    <w:rsid w:val="74894C33"/>
    <w:rsid w:val="74D42AB1"/>
    <w:rsid w:val="753863D7"/>
    <w:rsid w:val="75487512"/>
    <w:rsid w:val="75586DF8"/>
    <w:rsid w:val="75892309"/>
    <w:rsid w:val="758D46B5"/>
    <w:rsid w:val="75D969F2"/>
    <w:rsid w:val="76163D28"/>
    <w:rsid w:val="76A81E0F"/>
    <w:rsid w:val="76D33DA5"/>
    <w:rsid w:val="772660DB"/>
    <w:rsid w:val="780348A5"/>
    <w:rsid w:val="780D421E"/>
    <w:rsid w:val="78B77E3C"/>
    <w:rsid w:val="78E71BA0"/>
    <w:rsid w:val="790A2C3A"/>
    <w:rsid w:val="791C70E4"/>
    <w:rsid w:val="793A5F27"/>
    <w:rsid w:val="793B5E62"/>
    <w:rsid w:val="794479AF"/>
    <w:rsid w:val="79BE6568"/>
    <w:rsid w:val="7B506701"/>
    <w:rsid w:val="7B6F6690"/>
    <w:rsid w:val="7BD4121D"/>
    <w:rsid w:val="7BEE4762"/>
    <w:rsid w:val="7C2F09BC"/>
    <w:rsid w:val="7C611C0A"/>
    <w:rsid w:val="7CA04FD8"/>
    <w:rsid w:val="7CB748E4"/>
    <w:rsid w:val="7CDE49C4"/>
    <w:rsid w:val="7CF73BBA"/>
    <w:rsid w:val="7CF7748F"/>
    <w:rsid w:val="7DC95AAB"/>
    <w:rsid w:val="7E387E1E"/>
    <w:rsid w:val="7F601691"/>
    <w:rsid w:val="7FAF6CB9"/>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qFormat="1" w:unhideWhenUsed="0" w:uiPriority="99" w:semiHidden="0" w:name="footnote text"/>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uiPriority="99" w:name="annotation reference" w:locked="1"/>
    <w:lsdException w:uiPriority="99" w:name="line number" w:locked="1"/>
    <w:lsdException w:qFormat="1" w:unhideWhenUsed="0" w:uiPriority="99" w:semiHidden="0" w:name="page number" w:locked="1"/>
    <w:lsdException w:uiPriority="99" w:name="endnote reference" w:locked="1"/>
    <w:lsdException w:uiPriority="99" w:name="endnote text" w:locked="1"/>
    <w:lsdException w:qFormat="1" w:unhideWhenUsed="0" w:uiPriority="99" w:semiHidden="0" w:name="table of authorities"/>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name="Default Paragraph Font"/>
    <w:lsdException w:qFormat="1" w:unhideWhenUsed="0" w:uiPriority="99" w:semiHidden="0" w:name="Body Text"/>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9"/>
    <w:qFormat/>
    <w:uiPriority w:val="99"/>
    <w:pPr>
      <w:keepNext/>
      <w:keepLines/>
      <w:spacing w:before="340" w:after="330" w:line="576" w:lineRule="auto"/>
      <w:outlineLvl w:val="0"/>
    </w:pPr>
    <w:rPr>
      <w:b/>
      <w:kern w:val="44"/>
      <w:sz w:val="44"/>
    </w:rPr>
  </w:style>
  <w:style w:type="paragraph" w:styleId="4">
    <w:name w:val="heading 2"/>
    <w:basedOn w:val="1"/>
    <w:next w:val="1"/>
    <w:link w:val="20"/>
    <w:qFormat/>
    <w:uiPriority w:val="99"/>
    <w:pPr>
      <w:keepNext/>
      <w:keepLines/>
      <w:spacing w:before="260" w:after="260" w:line="413" w:lineRule="auto"/>
      <w:outlineLvl w:val="1"/>
    </w:pPr>
    <w:rPr>
      <w:rFonts w:ascii="Arial" w:hAnsi="Arial" w:eastAsia="黑体"/>
      <w:b/>
      <w:sz w:val="32"/>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5">
    <w:name w:val="Body Text"/>
    <w:basedOn w:val="1"/>
    <w:link w:val="21"/>
    <w:qFormat/>
    <w:uiPriority w:val="99"/>
    <w:pPr>
      <w:autoSpaceDE w:val="0"/>
      <w:autoSpaceDN w:val="0"/>
      <w:ind w:left="220"/>
      <w:jc w:val="left"/>
    </w:pPr>
    <w:rPr>
      <w:rFonts w:ascii="??_GB2312" w:hAnsi="??_GB2312" w:cs="??_GB2312"/>
      <w:kern w:val="0"/>
      <w:sz w:val="32"/>
      <w:szCs w:val="32"/>
      <w:lang w:val="zh-CN"/>
    </w:rPr>
  </w:style>
  <w:style w:type="paragraph" w:styleId="6">
    <w:name w:val="Balloon Text"/>
    <w:basedOn w:val="1"/>
    <w:link w:val="22"/>
    <w:qFormat/>
    <w:uiPriority w:val="99"/>
    <w:rPr>
      <w:sz w:val="18"/>
      <w:szCs w:val="18"/>
    </w:rPr>
  </w:style>
  <w:style w:type="paragraph" w:styleId="7">
    <w:name w:val="footer"/>
    <w:basedOn w:val="1"/>
    <w:link w:val="23"/>
    <w:qFormat/>
    <w:uiPriority w:val="99"/>
    <w:pPr>
      <w:tabs>
        <w:tab w:val="center" w:pos="4153"/>
        <w:tab w:val="right" w:pos="8306"/>
      </w:tabs>
      <w:snapToGrid w:val="0"/>
      <w:jc w:val="left"/>
    </w:pPr>
    <w:rPr>
      <w:sz w:val="18"/>
      <w:szCs w:val="18"/>
    </w:rPr>
  </w:style>
  <w:style w:type="paragraph" w:styleId="8">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99"/>
    <w:pPr>
      <w:spacing w:before="120"/>
      <w:jc w:val="left"/>
    </w:pPr>
    <w:rPr>
      <w:b/>
      <w:bCs/>
      <w:i/>
      <w:iCs/>
      <w:sz w:val="24"/>
      <w:szCs w:val="24"/>
    </w:rPr>
  </w:style>
  <w:style w:type="paragraph" w:styleId="10">
    <w:name w:val="footnote text"/>
    <w:basedOn w:val="1"/>
    <w:link w:val="25"/>
    <w:qFormat/>
    <w:uiPriority w:val="99"/>
    <w:pPr>
      <w:widowControl/>
      <w:snapToGrid w:val="0"/>
      <w:jc w:val="left"/>
    </w:pPr>
    <w:rPr>
      <w:kern w:val="0"/>
      <w:sz w:val="18"/>
    </w:rPr>
  </w:style>
  <w:style w:type="paragraph" w:styleId="11">
    <w:name w:val="toc 2"/>
    <w:basedOn w:val="1"/>
    <w:next w:val="1"/>
    <w:qFormat/>
    <w:uiPriority w:val="99"/>
    <w:pPr>
      <w:ind w:left="420" w:leftChars="200"/>
    </w:pPr>
  </w:style>
  <w:style w:type="paragraph" w:styleId="12">
    <w:name w:val="Normal (Web)"/>
    <w:basedOn w:val="1"/>
    <w:qFormat/>
    <w:uiPriority w:val="99"/>
    <w:pPr>
      <w:jc w:val="left"/>
    </w:pPr>
    <w:rPr>
      <w:kern w:val="0"/>
      <w:sz w:val="24"/>
      <w:szCs w:val="24"/>
    </w:rPr>
  </w:style>
  <w:style w:type="table" w:styleId="14">
    <w:name w:val="Table Grid"/>
    <w:basedOn w:val="1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basedOn w:val="15"/>
    <w:qFormat/>
    <w:locked/>
    <w:uiPriority w:val="99"/>
    <w:rPr>
      <w:rFonts w:cs="Times New Roman"/>
    </w:rPr>
  </w:style>
  <w:style w:type="character" w:styleId="17">
    <w:name w:val="Hyperlink"/>
    <w:basedOn w:val="15"/>
    <w:qFormat/>
    <w:uiPriority w:val="99"/>
    <w:rPr>
      <w:rFonts w:cs="Times New Roman"/>
      <w:color w:val="0563C1"/>
      <w:u w:val="single"/>
    </w:rPr>
  </w:style>
  <w:style w:type="character" w:styleId="18">
    <w:name w:val="footnote reference"/>
    <w:basedOn w:val="15"/>
    <w:qFormat/>
    <w:uiPriority w:val="99"/>
    <w:rPr>
      <w:rFonts w:cs="Times New Roman"/>
      <w:vertAlign w:val="superscript"/>
    </w:rPr>
  </w:style>
  <w:style w:type="character" w:customStyle="1" w:styleId="19">
    <w:name w:val="标题 1 Char"/>
    <w:basedOn w:val="15"/>
    <w:link w:val="3"/>
    <w:qFormat/>
    <w:locked/>
    <w:uiPriority w:val="99"/>
    <w:rPr>
      <w:rFonts w:cs="Times New Roman"/>
      <w:b/>
      <w:bCs/>
      <w:kern w:val="44"/>
      <w:sz w:val="44"/>
      <w:szCs w:val="44"/>
    </w:rPr>
  </w:style>
  <w:style w:type="character" w:customStyle="1" w:styleId="20">
    <w:name w:val="标题 2 Char"/>
    <w:basedOn w:val="15"/>
    <w:link w:val="4"/>
    <w:qFormat/>
    <w:locked/>
    <w:uiPriority w:val="99"/>
    <w:rPr>
      <w:rFonts w:ascii="Arial" w:hAnsi="Arial" w:eastAsia="黑体" w:cs="Times New Roman"/>
      <w:b/>
      <w:kern w:val="2"/>
      <w:sz w:val="32"/>
    </w:rPr>
  </w:style>
  <w:style w:type="character" w:customStyle="1" w:styleId="21">
    <w:name w:val="正文文本 Char"/>
    <w:basedOn w:val="15"/>
    <w:link w:val="5"/>
    <w:qFormat/>
    <w:locked/>
    <w:uiPriority w:val="99"/>
    <w:rPr>
      <w:rFonts w:ascii="??_GB2312" w:hAnsi="??_GB2312" w:cs="??_GB2312"/>
      <w:sz w:val="32"/>
      <w:szCs w:val="32"/>
      <w:lang w:val="zh-CN"/>
    </w:rPr>
  </w:style>
  <w:style w:type="character" w:customStyle="1" w:styleId="22">
    <w:name w:val="批注框文本 Char"/>
    <w:basedOn w:val="15"/>
    <w:link w:val="6"/>
    <w:semiHidden/>
    <w:qFormat/>
    <w:locked/>
    <w:uiPriority w:val="99"/>
    <w:rPr>
      <w:rFonts w:ascii="Times New Roman" w:hAnsi="Times New Roman" w:eastAsia="宋体" w:cs="Times New Roman"/>
      <w:kern w:val="2"/>
      <w:sz w:val="18"/>
      <w:szCs w:val="18"/>
    </w:rPr>
  </w:style>
  <w:style w:type="character" w:customStyle="1" w:styleId="23">
    <w:name w:val="页脚 Char"/>
    <w:basedOn w:val="15"/>
    <w:link w:val="7"/>
    <w:qFormat/>
    <w:locked/>
    <w:uiPriority w:val="99"/>
    <w:rPr>
      <w:rFonts w:ascii="Times New Roman" w:hAnsi="Times New Roman" w:eastAsia="宋体" w:cs="Times New Roman"/>
      <w:sz w:val="18"/>
      <w:szCs w:val="18"/>
    </w:rPr>
  </w:style>
  <w:style w:type="character" w:customStyle="1" w:styleId="24">
    <w:name w:val="页眉 Char"/>
    <w:basedOn w:val="15"/>
    <w:link w:val="8"/>
    <w:qFormat/>
    <w:locked/>
    <w:uiPriority w:val="99"/>
    <w:rPr>
      <w:rFonts w:ascii="Times New Roman" w:hAnsi="Times New Roman" w:eastAsia="宋体" w:cs="Times New Roman"/>
      <w:sz w:val="18"/>
      <w:szCs w:val="18"/>
    </w:rPr>
  </w:style>
  <w:style w:type="character" w:customStyle="1" w:styleId="25">
    <w:name w:val="脚注文本 Char"/>
    <w:basedOn w:val="15"/>
    <w:link w:val="10"/>
    <w:semiHidden/>
    <w:qFormat/>
    <w:locked/>
    <w:uiPriority w:val="99"/>
    <w:rPr>
      <w:rFonts w:cs="Times New Roman"/>
      <w:sz w:val="18"/>
      <w:szCs w:val="18"/>
    </w:rPr>
  </w:style>
  <w:style w:type="paragraph" w:customStyle="1" w:styleId="26">
    <w:name w:val="列表段落1"/>
    <w:basedOn w:val="1"/>
    <w:qFormat/>
    <w:uiPriority w:val="99"/>
    <w:pPr>
      <w:ind w:firstLine="420" w:firstLineChars="200"/>
    </w:pPr>
  </w:style>
  <w:style w:type="paragraph" w:customStyle="1" w:styleId="27">
    <w:name w:val="Other|1"/>
    <w:basedOn w:val="1"/>
    <w:qFormat/>
    <w:uiPriority w:val="99"/>
    <w:pPr>
      <w:spacing w:line="382" w:lineRule="auto"/>
      <w:ind w:firstLine="400"/>
    </w:pPr>
    <w:rPr>
      <w:rFonts w:ascii="宋体" w:hAnsi="宋体" w:cs="宋体"/>
      <w:sz w:val="30"/>
      <w:szCs w:val="30"/>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7160</Words>
  <Characters>40816</Characters>
  <Lines>340</Lines>
  <Paragraphs>95</Paragraphs>
  <TotalTime>5</TotalTime>
  <ScaleCrop>false</ScaleCrop>
  <LinksUpToDate>false</LinksUpToDate>
  <CharactersWithSpaces>47881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2021-04-22T12:22:00Z</dcterms:created>
  <dc:creator>one  user</dc:creator>
  <cp:lastModifiedBy>潘堃</cp:lastModifiedBy>
  <cp:lastPrinted>2021-03-03T01:01:00Z</cp:lastPrinted>
  <dcterms:modified xsi:type="dcterms:W3CDTF">2023-09-27T02:15:03Z</dcterms:modified>
  <dc:title>东至县国民经济和社会发展第十四个</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D4C09FF71C8D4DD78E70B94427BB9CDC_12</vt:lpwstr>
  </property>
</Properties>
</file>