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宋体"/>
          <w:b/>
          <w:kern w:val="0"/>
          <w:sz w:val="30"/>
          <w:szCs w:val="30"/>
          <w:lang w:val="en-US" w:eastAsia="zh-CN"/>
        </w:rPr>
      </w:pPr>
      <w:bookmarkStart w:id="0" w:name="_GoBack"/>
      <w:bookmarkEnd w:id="0"/>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宋体"/>
          <w:b/>
          <w:kern w:val="0"/>
          <w:sz w:val="30"/>
          <w:szCs w:val="30"/>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宋体"/>
          <w:kern w:val="0"/>
          <w:sz w:val="32"/>
          <w:szCs w:val="32"/>
        </w:rPr>
      </w:pP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宋体"/>
          <w:kern w:val="0"/>
          <w:sz w:val="32"/>
          <w:szCs w:val="32"/>
        </w:rPr>
      </w:pP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宋体"/>
          <w:kern w:val="0"/>
          <w:sz w:val="32"/>
          <w:szCs w:val="32"/>
        </w:rPr>
      </w:pP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宋体"/>
          <w:kern w:val="0"/>
          <w:sz w:val="32"/>
          <w:szCs w:val="32"/>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宋体"/>
          <w:b/>
          <w:kern w:val="0"/>
          <w:sz w:val="30"/>
          <w:szCs w:val="30"/>
          <w:lang w:val="en-US" w:eastAsia="zh-CN"/>
        </w:rPr>
      </w:pPr>
      <w:r>
        <w:rPr>
          <w:rFonts w:hint="eastAsia" w:ascii="仿宋" w:hAnsi="仿宋" w:eastAsia="仿宋" w:cs="宋体"/>
          <w:kern w:val="0"/>
          <w:sz w:val="32"/>
          <w:szCs w:val="32"/>
        </w:rPr>
        <w:t>东环</w:t>
      </w:r>
      <w:r>
        <w:rPr>
          <w:rFonts w:hint="eastAsia" w:ascii="仿宋" w:hAnsi="仿宋" w:eastAsia="仿宋" w:cs="宋体"/>
          <w:kern w:val="0"/>
          <w:sz w:val="32"/>
          <w:szCs w:val="32"/>
          <w:lang w:val="en-US" w:eastAsia="zh-CN"/>
        </w:rPr>
        <w:t>函</w:t>
      </w:r>
      <w:r>
        <w:rPr>
          <w:rFonts w:hint="eastAsia" w:ascii="仿宋" w:hAnsi="仿宋" w:eastAsia="仿宋" w:cs="宋体"/>
          <w:kern w:val="0"/>
          <w:sz w:val="32"/>
          <w:szCs w:val="32"/>
        </w:rPr>
        <w:t>〔</w:t>
      </w:r>
      <w:r>
        <w:rPr>
          <w:rFonts w:hint="eastAsia" w:ascii="仿宋" w:hAnsi="仿宋" w:eastAsia="仿宋" w:cs="宋体"/>
          <w:kern w:val="0"/>
          <w:sz w:val="32"/>
          <w:szCs w:val="32"/>
          <w:lang w:val="en-US" w:eastAsia="zh-CN"/>
        </w:rPr>
        <w:t>2023</w:t>
      </w:r>
      <w:r>
        <w:rPr>
          <w:rFonts w:hint="eastAsia" w:ascii="仿宋" w:hAnsi="仿宋" w:eastAsia="仿宋" w:cs="宋体"/>
          <w:kern w:val="0"/>
          <w:sz w:val="32"/>
          <w:szCs w:val="32"/>
        </w:rPr>
        <w:t>〕</w:t>
      </w:r>
      <w:r>
        <w:rPr>
          <w:rFonts w:hint="eastAsia" w:ascii="仿宋" w:hAnsi="仿宋" w:eastAsia="仿宋" w:cs="宋体"/>
          <w:kern w:val="0"/>
          <w:sz w:val="32"/>
          <w:szCs w:val="32"/>
          <w:lang w:val="en-US" w:eastAsia="zh-CN"/>
        </w:rPr>
        <w:t>1</w:t>
      </w:r>
      <w:r>
        <w:rPr>
          <w:rFonts w:hint="eastAsia" w:ascii="仿宋" w:hAnsi="仿宋" w:cs="宋体"/>
          <w:kern w:val="0"/>
          <w:sz w:val="32"/>
          <w:szCs w:val="32"/>
          <w:lang w:val="en-US" w:eastAsia="zh-CN"/>
        </w:rPr>
        <w:t>7</w:t>
      </w:r>
      <w:r>
        <w:rPr>
          <w:rFonts w:hint="eastAsia" w:ascii="仿宋" w:hAnsi="仿宋" w:eastAsia="仿宋" w:cs="宋体"/>
          <w:kern w:val="0"/>
          <w:sz w:val="32"/>
          <w:szCs w:val="32"/>
        </w:rPr>
        <w:t>号</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方正小标宋简体" w:hAnsi="方正小标宋简体" w:eastAsia="方正小标宋简体" w:cs="方正小标宋简体"/>
          <w:b w:val="0"/>
          <w:bCs/>
          <w:kern w:val="0"/>
          <w:sz w:val="40"/>
          <w:szCs w:val="40"/>
          <w:lang w:val="en-US" w:eastAsia="zh-CN"/>
        </w:rPr>
      </w:pPr>
    </w:p>
    <w:p>
      <w:pPr>
        <w:ind w:left="0" w:leftChars="0" w:firstLine="0" w:firstLineChars="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关于印发《2023年度东至县危险废物规范化环境管理评估工作方案》的通知</w:t>
      </w:r>
    </w:p>
    <w:p>
      <w:pPr>
        <w:ind w:left="0" w:leftChars="0" w:firstLine="0" w:firstLineChars="0"/>
        <w:rPr>
          <w:rFonts w:hint="eastAsia" w:ascii="仿宋" w:hAnsi="仿宋" w:eastAsia="仿宋" w:cs="仿宋"/>
        </w:rPr>
      </w:pPr>
    </w:p>
    <w:p>
      <w:pPr>
        <w:ind w:left="0" w:leftChars="0" w:firstLine="0" w:firstLineChars="0"/>
        <w:rPr>
          <w:rFonts w:hint="eastAsia" w:ascii="仿宋" w:hAnsi="仿宋" w:eastAsia="仿宋" w:cs="仿宋"/>
        </w:rPr>
      </w:pPr>
      <w:r>
        <w:rPr>
          <w:rFonts w:hint="eastAsia" w:ascii="仿宋" w:hAnsi="仿宋" w:eastAsia="仿宋" w:cs="仿宋"/>
        </w:rPr>
        <w:t>各危险废物产生单位、经营单位：</w:t>
      </w:r>
    </w:p>
    <w:p>
      <w:pPr>
        <w:ind w:left="0" w:leftChars="0" w:firstLine="640" w:firstLineChars="200"/>
        <w:rPr>
          <w:rFonts w:hint="eastAsia" w:ascii="仿宋" w:hAnsi="仿宋" w:eastAsia="仿宋" w:cs="仿宋"/>
        </w:rPr>
      </w:pPr>
      <w:r>
        <w:rPr>
          <w:rFonts w:hint="eastAsia" w:ascii="仿宋" w:hAnsi="仿宋" w:eastAsia="仿宋" w:cs="仿宋"/>
        </w:rPr>
        <w:t>为全面提升危险废物规范化管理水平，防范环境风险。现将《2023年度东至县危险废物规范化环境管理评估工作方案》印发给你们，请遵照执行。</w:t>
      </w:r>
    </w:p>
    <w:p>
      <w:pPr>
        <w:ind w:left="0" w:leftChars="0" w:firstLine="640" w:firstLineChars="200"/>
        <w:rPr>
          <w:rFonts w:hint="eastAsia" w:ascii="仿宋" w:hAnsi="仿宋" w:eastAsia="仿宋" w:cs="仿宋"/>
        </w:rPr>
      </w:pPr>
      <w:r>
        <w:rPr>
          <w:rFonts w:hint="eastAsia" w:ascii="仿宋" w:hAnsi="仿宋" w:eastAsia="仿宋" w:cs="仿宋"/>
        </w:rPr>
        <w:t>联 系 人：徐  剑</w:t>
      </w:r>
    </w:p>
    <w:p>
      <w:pPr>
        <w:ind w:left="0" w:leftChars="0" w:firstLine="640" w:firstLineChars="200"/>
        <w:rPr>
          <w:rFonts w:hint="eastAsia" w:ascii="仿宋" w:hAnsi="仿宋" w:eastAsia="仿宋" w:cs="仿宋"/>
        </w:rPr>
      </w:pPr>
      <w:r>
        <w:rPr>
          <w:rFonts w:hint="eastAsia" w:ascii="仿宋" w:hAnsi="仿宋" w:eastAsia="仿宋" w:cs="仿宋"/>
        </w:rPr>
        <w:t>联系电话：15257105668</w:t>
      </w:r>
    </w:p>
    <w:p>
      <w:pPr>
        <w:ind w:left="0" w:leftChars="0" w:firstLine="640" w:firstLineChars="200"/>
        <w:rPr>
          <w:rFonts w:hint="eastAsia" w:ascii="仿宋" w:hAnsi="仿宋" w:eastAsia="仿宋" w:cs="仿宋"/>
        </w:rPr>
      </w:pPr>
      <w:r>
        <w:rPr>
          <w:rFonts w:hint="eastAsia" w:ascii="仿宋" w:hAnsi="仿宋" w:eastAsia="仿宋" w:cs="仿宋"/>
        </w:rPr>
        <w:t>邮    箱：577052553@qq.com</w:t>
      </w:r>
    </w:p>
    <w:p>
      <w:pPr>
        <w:ind w:left="0" w:leftChars="0" w:firstLine="0" w:firstLineChars="0"/>
        <w:rPr>
          <w:rFonts w:hint="eastAsia" w:ascii="仿宋" w:hAnsi="仿宋" w:eastAsia="仿宋" w:cs="仿宋"/>
        </w:rPr>
      </w:pPr>
    </w:p>
    <w:p>
      <w:pPr>
        <w:ind w:left="0" w:leftChars="0" w:firstLine="0" w:firstLineChars="0"/>
        <w:rPr>
          <w:rFonts w:hint="eastAsia" w:ascii="仿宋" w:hAnsi="仿宋" w:eastAsia="仿宋" w:cs="仿宋"/>
        </w:rPr>
      </w:pPr>
      <w:r>
        <w:rPr>
          <w:rFonts w:hint="eastAsia" w:ascii="仿宋" w:hAnsi="仿宋" w:eastAsia="仿宋" w:cs="仿宋"/>
        </w:rPr>
        <w:t xml:space="preserve">                       </w:t>
      </w:r>
      <w:r>
        <w:rPr>
          <w:rFonts w:hint="eastAsia" w:ascii="仿宋" w:hAnsi="仿宋" w:cs="仿宋"/>
          <w:lang w:val="en-US" w:eastAsia="zh-CN"/>
        </w:rPr>
        <w:t xml:space="preserve">   </w:t>
      </w:r>
      <w:r>
        <w:rPr>
          <w:rFonts w:hint="eastAsia" w:ascii="仿宋" w:hAnsi="仿宋" w:eastAsia="仿宋" w:cs="仿宋"/>
        </w:rPr>
        <w:t xml:space="preserve">    2023年3月2</w:t>
      </w:r>
      <w:r>
        <w:rPr>
          <w:rFonts w:hint="eastAsia" w:ascii="仿宋" w:hAnsi="仿宋" w:cs="仿宋"/>
          <w:lang w:val="en-US" w:eastAsia="zh-CN"/>
        </w:rPr>
        <w:t>1</w:t>
      </w:r>
      <w:r>
        <w:rPr>
          <w:rFonts w:hint="eastAsia" w:ascii="仿宋" w:hAnsi="仿宋" w:eastAsia="仿宋" w:cs="仿宋"/>
        </w:rPr>
        <w:t>日</w:t>
      </w:r>
    </w:p>
    <w:p>
      <w:pPr>
        <w:ind w:left="0" w:leftChars="0" w:firstLine="0" w:firstLineChars="0"/>
        <w:rPr>
          <w:rFonts w:hint="eastAsia" w:ascii="仿宋" w:hAnsi="仿宋" w:eastAsia="仿宋" w:cs="仿宋"/>
        </w:rPr>
      </w:pPr>
    </w:p>
    <w:p>
      <w:pPr>
        <w:ind w:left="960" w:leftChars="0" w:hanging="960" w:hangingChars="300"/>
        <w:rPr>
          <w:rFonts w:hint="eastAsia" w:ascii="仿宋" w:hAnsi="仿宋" w:eastAsia="仿宋" w:cs="仿宋"/>
        </w:rPr>
      </w:pPr>
      <w:r>
        <w:rPr>
          <w:rFonts w:hint="eastAsia" w:ascii="仿宋" w:hAnsi="仿宋" w:eastAsia="仿宋" w:cs="仿宋"/>
        </w:rPr>
        <w:t>抄送：各乡、镇人民政府，东至经济开发区、大渡口经济开发区管委会</w:t>
      </w:r>
    </w:p>
    <w:p>
      <w:pPr>
        <w:rPr>
          <w:rFonts w:hint="eastAsia" w:ascii="仿宋" w:hAnsi="仿宋" w:eastAsia="仿宋" w:cs="仿宋"/>
        </w:rPr>
      </w:pPr>
      <w:r>
        <w:rPr>
          <w:rFonts w:hint="eastAsia" w:ascii="仿宋" w:hAnsi="仿宋" w:eastAsia="仿宋" w:cs="仿宋"/>
        </w:rPr>
        <w:br w:type="page"/>
      </w:r>
    </w:p>
    <w:p>
      <w:pPr>
        <w:ind w:left="0" w:leftChars="0" w:firstLine="0" w:firstLineChars="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2023年度东至县危险废物规范化环境管理评估工作方案</w:t>
      </w:r>
    </w:p>
    <w:p>
      <w:pPr>
        <w:ind w:left="0" w:leftChars="0" w:firstLine="0" w:firstLineChars="0"/>
        <w:rPr>
          <w:rFonts w:hint="eastAsia" w:ascii="仿宋" w:hAnsi="仿宋" w:eastAsia="仿宋" w:cs="仿宋"/>
        </w:rPr>
      </w:pPr>
    </w:p>
    <w:p>
      <w:pPr>
        <w:ind w:left="0" w:leftChars="0" w:firstLine="640" w:firstLineChars="200"/>
        <w:rPr>
          <w:rFonts w:hint="eastAsia" w:ascii="仿宋" w:hAnsi="仿宋" w:eastAsia="仿宋" w:cs="仿宋"/>
        </w:rPr>
      </w:pPr>
      <w:r>
        <w:rPr>
          <w:rFonts w:hint="eastAsia" w:ascii="仿宋" w:hAnsi="仿宋" w:eastAsia="仿宋" w:cs="仿宋"/>
        </w:rPr>
        <w:t xml:space="preserve">为加强全县危险废物污染防治，巩固和深化危险废物规范化环境管理工作成效，促进危险废物产生单位（以下简称“产废单位”）和危险废物经营单位（以下简称“经营单位”）落实各项法律制度和相关标准规范，全面提升危险废物规范化管理水平，防范环境风险，结合本县实际，制定本方案。 </w:t>
      </w:r>
    </w:p>
    <w:p>
      <w:pPr>
        <w:ind w:left="0" w:leftChars="0" w:firstLine="640" w:firstLineChars="200"/>
        <w:rPr>
          <w:rFonts w:hint="eastAsia" w:ascii="黑体" w:hAnsi="黑体" w:eastAsia="黑体" w:cs="黑体"/>
        </w:rPr>
      </w:pPr>
      <w:r>
        <w:rPr>
          <w:rFonts w:hint="eastAsia" w:ascii="黑体" w:hAnsi="黑体" w:eastAsia="黑体" w:cs="黑体"/>
        </w:rPr>
        <w:t>一、总体要求</w:t>
      </w:r>
    </w:p>
    <w:p>
      <w:pPr>
        <w:ind w:left="0" w:leftChars="0" w:firstLine="640" w:firstLineChars="200"/>
        <w:rPr>
          <w:rFonts w:hint="eastAsia" w:ascii="仿宋" w:hAnsi="仿宋" w:eastAsia="仿宋" w:cs="仿宋"/>
        </w:rPr>
      </w:pPr>
      <w:r>
        <w:rPr>
          <w:rFonts w:hint="eastAsia" w:ascii="楷体" w:hAnsi="楷体" w:eastAsia="楷体" w:cs="楷体"/>
        </w:rPr>
        <w:t>（一）落实企业主体责任</w:t>
      </w:r>
      <w:r>
        <w:rPr>
          <w:rFonts w:hint="eastAsia" w:ascii="仿宋" w:hAnsi="仿宋" w:eastAsia="仿宋" w:cs="仿宋"/>
        </w:rPr>
        <w:t>。强化危险废物规范化环境管理，综合运用法律、行政、经济等多种手段，持续推动企业落实处理危险废物的主体责任，防范环境风险，保障环境安全。</w:t>
      </w:r>
    </w:p>
    <w:p>
      <w:pPr>
        <w:ind w:left="0" w:leftChars="0" w:firstLine="640" w:firstLineChars="200"/>
        <w:rPr>
          <w:rFonts w:hint="eastAsia" w:ascii="仿宋" w:hAnsi="仿宋" w:eastAsia="仿宋" w:cs="仿宋"/>
        </w:rPr>
      </w:pPr>
      <w:r>
        <w:rPr>
          <w:rFonts w:hint="eastAsia" w:ascii="楷体" w:hAnsi="楷体" w:eastAsia="楷体" w:cs="楷体"/>
        </w:rPr>
        <w:t>（二）建立评估机制。</w:t>
      </w:r>
      <w:r>
        <w:rPr>
          <w:rFonts w:hint="eastAsia" w:ascii="仿宋" w:hAnsi="仿宋" w:eastAsia="仿宋" w:cs="仿宋"/>
        </w:rPr>
        <w:t>产废单位和经营单位进行自评估，县生态环境分局抽取一定数量的产废单位和经营单位进行现场评估。</w:t>
      </w:r>
    </w:p>
    <w:p>
      <w:pPr>
        <w:ind w:left="0" w:leftChars="0" w:firstLine="640" w:firstLineChars="200"/>
        <w:rPr>
          <w:rFonts w:hint="eastAsia" w:ascii="仿宋" w:hAnsi="仿宋" w:eastAsia="仿宋" w:cs="仿宋"/>
        </w:rPr>
      </w:pPr>
      <w:r>
        <w:rPr>
          <w:rFonts w:hint="eastAsia" w:ascii="楷体" w:hAnsi="楷体" w:eastAsia="楷体" w:cs="楷体"/>
        </w:rPr>
        <w:t>（三）突出评估重点。</w:t>
      </w:r>
      <w:r>
        <w:rPr>
          <w:rFonts w:hint="eastAsia" w:ascii="仿宋" w:hAnsi="仿宋" w:eastAsia="仿宋" w:cs="仿宋"/>
        </w:rPr>
        <w:t>县生态环境分局将根据危险废物的危害特性、产生数量和环境风险等因素，突出评估危险废物环境重点监管单位（见附件2和附件3），同时评估核实其他产废单位的危险废物管理情况。</w:t>
      </w:r>
    </w:p>
    <w:p>
      <w:pPr>
        <w:ind w:left="0" w:leftChars="0" w:firstLine="640" w:firstLineChars="200"/>
        <w:rPr>
          <w:rFonts w:hint="eastAsia" w:ascii="黑体" w:hAnsi="黑体" w:eastAsia="黑体" w:cs="黑体"/>
        </w:rPr>
      </w:pPr>
      <w:r>
        <w:rPr>
          <w:rFonts w:hint="eastAsia" w:ascii="黑体" w:hAnsi="黑体" w:eastAsia="黑体" w:cs="黑体"/>
        </w:rPr>
        <w:t>二、工作流程</w:t>
      </w:r>
    </w:p>
    <w:p>
      <w:pPr>
        <w:ind w:left="0" w:leftChars="0" w:firstLine="640" w:firstLineChars="200"/>
        <w:rPr>
          <w:rFonts w:hint="eastAsia" w:ascii="仿宋" w:hAnsi="仿宋" w:eastAsia="仿宋" w:cs="仿宋"/>
        </w:rPr>
      </w:pPr>
      <w:r>
        <w:rPr>
          <w:rFonts w:hint="eastAsia" w:ascii="楷体" w:hAnsi="楷体" w:eastAsia="楷体" w:cs="楷体"/>
        </w:rPr>
        <w:t>（一）企业自评（2023年3月</w:t>
      </w:r>
      <w:r>
        <w:rPr>
          <w:rFonts w:hint="default" w:ascii="Times New Roman" w:hAnsi="Times New Roman" w:eastAsia="楷体" w:cs="Times New Roman"/>
        </w:rPr>
        <w:t>~</w:t>
      </w:r>
      <w:r>
        <w:rPr>
          <w:rFonts w:hint="eastAsia" w:ascii="Times New Roman" w:hAnsi="Times New Roman" w:eastAsia="楷体" w:cs="Times New Roman"/>
          <w:lang w:val="en-US" w:eastAsia="zh-CN"/>
        </w:rPr>
        <w:t xml:space="preserve"> </w:t>
      </w:r>
      <w:r>
        <w:rPr>
          <w:rFonts w:hint="eastAsia" w:ascii="楷体" w:hAnsi="楷体" w:eastAsia="楷体" w:cs="楷体"/>
        </w:rPr>
        <w:t>4月）</w:t>
      </w:r>
    </w:p>
    <w:p>
      <w:pPr>
        <w:ind w:left="0" w:leftChars="0" w:firstLine="640" w:firstLineChars="200"/>
        <w:rPr>
          <w:rFonts w:hint="eastAsia" w:ascii="仿宋" w:hAnsi="仿宋" w:eastAsia="仿宋" w:cs="仿宋"/>
        </w:rPr>
      </w:pPr>
      <w:r>
        <w:rPr>
          <w:rFonts w:hint="eastAsia" w:ascii="仿宋" w:hAnsi="仿宋" w:eastAsia="仿宋" w:cs="仿宋"/>
        </w:rPr>
        <w:t>全县所有产废单位和经营单位应于2023年4月底之前，按照《危险废物规范化环境管理评估指标》（以下简称《评估指标》，见附件1）表1和表2，运用安徽省固体废物管理信息系统app对危险废物规范化环境管理情况进行自评估。</w:t>
      </w:r>
    </w:p>
    <w:p>
      <w:pPr>
        <w:ind w:left="0" w:leftChars="0" w:firstLine="640" w:firstLineChars="200"/>
        <w:rPr>
          <w:rFonts w:hint="eastAsia" w:ascii="楷体" w:hAnsi="楷体" w:eastAsia="楷体" w:cs="楷体"/>
        </w:rPr>
      </w:pPr>
      <w:r>
        <w:rPr>
          <w:rFonts w:hint="eastAsia" w:ascii="楷体" w:hAnsi="楷体" w:eastAsia="楷体" w:cs="楷体"/>
        </w:rPr>
        <w:t>（二）县级评估（2023年5月</w:t>
      </w:r>
      <w:r>
        <w:rPr>
          <w:rFonts w:hint="default" w:ascii="Times New Roman" w:hAnsi="Times New Roman" w:eastAsia="楷体" w:cs="Times New Roman"/>
        </w:rPr>
        <w:t>~</w:t>
      </w:r>
      <w:r>
        <w:rPr>
          <w:rFonts w:hint="eastAsia" w:ascii="楷体" w:hAnsi="楷体" w:eastAsia="楷体" w:cs="楷体"/>
        </w:rPr>
        <w:t>7月）</w:t>
      </w:r>
    </w:p>
    <w:p>
      <w:pPr>
        <w:ind w:left="0" w:leftChars="0" w:firstLine="640" w:firstLineChars="200"/>
        <w:rPr>
          <w:rFonts w:hint="eastAsia" w:ascii="仿宋" w:hAnsi="仿宋" w:eastAsia="仿宋" w:cs="仿宋"/>
        </w:rPr>
      </w:pPr>
      <w:r>
        <w:rPr>
          <w:rFonts w:hint="eastAsia" w:ascii="仿宋" w:hAnsi="仿宋" w:eastAsia="仿宋" w:cs="仿宋"/>
        </w:rPr>
        <w:t>县生态环境分局将对照《评估指标》表1和表2，运用安徽省固体废物管理信息系统app对危废经营单位和重点产废单位全部开展现场评估，对其他产废单位抽取一定数量单位进行现场评估。根据评估结果，填写《被抽查单位评估情况记录表》，并建立问题清单制度，确保问题按期解决、整改到位。</w:t>
      </w:r>
    </w:p>
    <w:p>
      <w:pPr>
        <w:ind w:left="0" w:leftChars="0" w:firstLine="640" w:firstLineChars="200"/>
        <w:rPr>
          <w:rFonts w:hint="eastAsia" w:ascii="黑体" w:hAnsi="黑体" w:eastAsia="黑体" w:cs="黑体"/>
        </w:rPr>
      </w:pPr>
      <w:r>
        <w:rPr>
          <w:rFonts w:hint="eastAsia" w:ascii="黑体" w:hAnsi="黑体" w:eastAsia="黑体" w:cs="黑体"/>
        </w:rPr>
        <w:t>三、评估结果应用</w:t>
      </w:r>
    </w:p>
    <w:p>
      <w:pPr>
        <w:ind w:left="0" w:leftChars="0" w:firstLine="640" w:firstLineChars="200"/>
        <w:rPr>
          <w:rFonts w:hint="eastAsia" w:ascii="仿宋" w:hAnsi="仿宋" w:eastAsia="仿宋" w:cs="仿宋"/>
        </w:rPr>
      </w:pPr>
      <w:r>
        <w:rPr>
          <w:rFonts w:hint="eastAsia" w:ascii="仿宋" w:hAnsi="仿宋" w:eastAsia="仿宋" w:cs="仿宋"/>
        </w:rPr>
        <w:t>对评估中发现的涉嫌环境违法问题，县生态环境分局将严格依据《中华人民共和国环境保护法》《中华人民共和国固体废物污染环境防治法》等法律法规和《最高人民法院、最高人民检察院关于办理环境污染刑事案件适用法律若干问题的解释》等立案查处，涉嫌环境犯罪的移送公安机关。</w:t>
      </w:r>
    </w:p>
    <w:p>
      <w:pPr>
        <w:ind w:left="0" w:leftChars="0" w:firstLine="640" w:firstLineChars="200"/>
        <w:rPr>
          <w:rFonts w:hint="eastAsia" w:ascii="仿宋" w:hAnsi="仿宋" w:eastAsia="仿宋" w:cs="仿宋"/>
        </w:rPr>
      </w:pPr>
    </w:p>
    <w:p>
      <w:pPr>
        <w:ind w:left="0" w:leftChars="0" w:firstLine="640" w:firstLineChars="200"/>
        <w:rPr>
          <w:rFonts w:hint="eastAsia" w:ascii="仿宋" w:hAnsi="仿宋" w:eastAsia="仿宋" w:cs="仿宋"/>
        </w:rPr>
      </w:pPr>
      <w:r>
        <w:rPr>
          <w:rFonts w:hint="eastAsia" w:ascii="仿宋" w:hAnsi="仿宋" w:eastAsia="仿宋" w:cs="仿宋"/>
        </w:rPr>
        <w:t>附件：1.危险废物规范化环境管理评估指标</w:t>
      </w:r>
    </w:p>
    <w:p>
      <w:pPr>
        <w:ind w:left="0" w:leftChars="0" w:firstLine="1600" w:firstLineChars="500"/>
        <w:rPr>
          <w:rFonts w:hint="eastAsia" w:ascii="仿宋" w:hAnsi="仿宋" w:eastAsia="仿宋" w:cs="仿宋"/>
        </w:rPr>
      </w:pPr>
      <w:r>
        <w:rPr>
          <w:rFonts w:hint="eastAsia" w:ascii="仿宋" w:hAnsi="仿宋" w:eastAsia="仿宋" w:cs="仿宋"/>
        </w:rPr>
        <w:t>2.东至县危险废物重点监管产生单位清单</w:t>
      </w:r>
    </w:p>
    <w:p>
      <w:pPr>
        <w:ind w:left="0" w:leftChars="0" w:firstLine="1600" w:firstLineChars="500"/>
        <w:rPr>
          <w:rFonts w:hint="eastAsia" w:ascii="仿宋" w:hAnsi="仿宋" w:eastAsia="仿宋" w:cs="仿宋"/>
        </w:rPr>
        <w:sectPr>
          <w:pgSz w:w="11906" w:h="16838"/>
          <w:pgMar w:top="1440" w:right="1800" w:bottom="1440" w:left="1800" w:header="851" w:footer="992" w:gutter="0"/>
          <w:cols w:space="0" w:num="1"/>
          <w:rtlGutter w:val="0"/>
          <w:docGrid w:type="lines" w:linePitch="440" w:charSpace="0"/>
        </w:sectPr>
      </w:pPr>
      <w:r>
        <w:rPr>
          <w:rFonts w:hint="eastAsia" w:ascii="仿宋" w:hAnsi="仿宋" w:eastAsia="仿宋" w:cs="仿宋"/>
        </w:rPr>
        <w:t>3.东至县危险废物重点监管经营单位清单</w:t>
      </w:r>
    </w:p>
    <w:p>
      <w:pPr>
        <w:autoSpaceDE w:val="0"/>
        <w:autoSpaceDN w:val="0"/>
        <w:adjustRightInd w:val="0"/>
        <w:snapToGrid w:val="0"/>
        <w:ind w:left="0" w:leftChars="0" w:firstLine="0" w:firstLineChars="0"/>
        <w:jc w:val="left"/>
        <w:rPr>
          <w:rFonts w:hint="eastAsia" w:ascii="黑体" w:hAnsi="黑体" w:eastAsia="黑体" w:cs="黑体"/>
          <w:color w:val="000000"/>
          <w:sz w:val="32"/>
        </w:rPr>
      </w:pPr>
      <w:r>
        <w:rPr>
          <w:rFonts w:hint="eastAsia" w:ascii="黑体" w:hAnsi="黑体" w:eastAsia="黑体" w:cs="黑体"/>
          <w:color w:val="000000"/>
          <w:sz w:val="32"/>
        </w:rPr>
        <w:t>附件1</w:t>
      </w:r>
    </w:p>
    <w:p>
      <w:pPr>
        <w:autoSpaceDE w:val="0"/>
        <w:autoSpaceDN w:val="0"/>
        <w:adjustRightInd w:val="0"/>
        <w:snapToGrid w:val="0"/>
        <w:spacing w:line="240" w:lineRule="auto"/>
        <w:ind w:firstLine="0" w:firstLineChars="0"/>
        <w:jc w:val="center"/>
        <w:rPr>
          <w:rFonts w:ascii="Times New Roman" w:hAnsi="Times New Roman" w:eastAsia="方正小标宋_GBK" w:cs="Times New Roman"/>
          <w:bCs/>
          <w:color w:val="000000"/>
          <w:kern w:val="0"/>
          <w:sz w:val="38"/>
          <w:szCs w:val="38"/>
        </w:rPr>
      </w:pPr>
      <w:r>
        <w:rPr>
          <w:rFonts w:hint="eastAsia" w:ascii="方正小标宋简体" w:hAnsi="方正小标宋简体" w:eastAsia="方正小标宋简体" w:cs="方正小标宋简体"/>
          <w:bCs/>
          <w:color w:val="000000"/>
          <w:kern w:val="0"/>
          <w:sz w:val="44"/>
          <w:szCs w:val="44"/>
        </w:rPr>
        <w:t>表</w:t>
      </w:r>
      <w:r>
        <w:rPr>
          <w:rFonts w:hint="eastAsia" w:ascii="方正小标宋简体" w:hAnsi="方正小标宋简体" w:eastAsia="方正小标宋简体" w:cs="方正小标宋简体"/>
          <w:bCs/>
          <w:color w:val="000000"/>
          <w:kern w:val="0"/>
          <w:sz w:val="44"/>
          <w:szCs w:val="44"/>
          <w:lang w:val="en-US" w:eastAsia="zh-CN"/>
        </w:rPr>
        <w:t>1</w:t>
      </w:r>
      <w:r>
        <w:rPr>
          <w:rFonts w:hint="eastAsia" w:ascii="方正小标宋简体" w:hAnsi="方正小标宋简体" w:eastAsia="方正小标宋简体" w:cs="方正小标宋简体"/>
          <w:bCs/>
          <w:color w:val="000000"/>
          <w:kern w:val="0"/>
          <w:sz w:val="44"/>
          <w:szCs w:val="44"/>
        </w:rPr>
        <w:t xml:space="preserve"> </w:t>
      </w:r>
      <w:r>
        <w:rPr>
          <w:rFonts w:hint="default" w:ascii="Times New Roman" w:hAnsi="Times New Roman" w:eastAsia="方正小标宋简体" w:cs="Times New Roman"/>
          <w:bCs/>
          <w:color w:val="000000"/>
          <w:kern w:val="0"/>
          <w:sz w:val="44"/>
          <w:szCs w:val="44"/>
        </w:rPr>
        <w:t xml:space="preserve"> 危险废物规范化环境管理评估指标（工业危险废物产生单位）</w:t>
      </w:r>
    </w:p>
    <w:tbl>
      <w:tblPr>
        <w:tblStyle w:val="7"/>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28" w:type="dxa"/>
          <w:bottom w:w="0" w:type="dxa"/>
          <w:right w:w="28" w:type="dxa"/>
        </w:tblCellMar>
      </w:tblPr>
      <w:tblGrid>
        <w:gridCol w:w="1309"/>
        <w:gridCol w:w="1481"/>
        <w:gridCol w:w="35"/>
        <w:gridCol w:w="693"/>
        <w:gridCol w:w="696"/>
        <w:gridCol w:w="1800"/>
        <w:gridCol w:w="572"/>
        <w:gridCol w:w="5118"/>
        <w:gridCol w:w="1854"/>
        <w:gridCol w:w="62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97" w:hRule="atLeast"/>
          <w:tblHeader/>
          <w:jc w:val="center"/>
        </w:trPr>
        <w:tc>
          <w:tcPr>
            <w:tcW w:w="1309" w:type="dxa"/>
            <w:vMerge w:val="restart"/>
            <w:noWrap w:val="0"/>
            <w:vAlign w:val="center"/>
          </w:tcPr>
          <w:p>
            <w:pPr>
              <w:widowControl/>
              <w:adjustRightInd w:val="0"/>
              <w:snapToGrid w:val="0"/>
              <w:spacing w:line="240" w:lineRule="auto"/>
              <w:ind w:firstLine="0" w:firstLineChars="0"/>
              <w:jc w:val="center"/>
              <w:rPr>
                <w:rFonts w:ascii="Times New Roman" w:hAnsi="Times New Roman" w:eastAsia="黑体" w:cs="Times New Roman"/>
                <w:color w:val="000000"/>
                <w:spacing w:val="-4"/>
                <w:kern w:val="0"/>
                <w:sz w:val="21"/>
                <w:szCs w:val="21"/>
              </w:rPr>
            </w:pPr>
            <w:r>
              <w:rPr>
                <w:rFonts w:hint="default" w:ascii="Times New Roman" w:hAnsi="Times New Roman" w:eastAsia="黑体" w:cs="Times New Roman"/>
                <w:color w:val="000000"/>
                <w:spacing w:val="-4"/>
                <w:kern w:val="0"/>
                <w:sz w:val="21"/>
                <w:szCs w:val="21"/>
              </w:rPr>
              <w:t>评估项目</w:t>
            </w:r>
          </w:p>
        </w:tc>
        <w:tc>
          <w:tcPr>
            <w:tcW w:w="1516" w:type="dxa"/>
            <w:gridSpan w:val="2"/>
            <w:vMerge w:val="restart"/>
            <w:noWrap w:val="0"/>
            <w:vAlign w:val="center"/>
          </w:tcPr>
          <w:p>
            <w:pPr>
              <w:widowControl/>
              <w:adjustRightInd w:val="0"/>
              <w:snapToGrid w:val="0"/>
              <w:spacing w:line="240" w:lineRule="auto"/>
              <w:ind w:firstLine="0" w:firstLineChars="0"/>
              <w:jc w:val="center"/>
              <w:rPr>
                <w:rFonts w:ascii="Times New Roman" w:hAnsi="Times New Roman" w:eastAsia="黑体" w:cs="Times New Roman"/>
                <w:color w:val="000000"/>
                <w:spacing w:val="-4"/>
                <w:kern w:val="0"/>
                <w:sz w:val="21"/>
                <w:szCs w:val="21"/>
              </w:rPr>
            </w:pPr>
            <w:r>
              <w:rPr>
                <w:rFonts w:hint="default" w:ascii="Times New Roman" w:hAnsi="Times New Roman" w:eastAsia="黑体" w:cs="Times New Roman"/>
                <w:color w:val="000000"/>
                <w:spacing w:val="-4"/>
                <w:kern w:val="0"/>
                <w:sz w:val="21"/>
                <w:szCs w:val="21"/>
              </w:rPr>
              <w:t>评估主要内容</w:t>
            </w:r>
          </w:p>
        </w:tc>
        <w:tc>
          <w:tcPr>
            <w:tcW w:w="1389" w:type="dxa"/>
            <w:gridSpan w:val="2"/>
            <w:noWrap w:val="0"/>
            <w:vAlign w:val="center"/>
          </w:tcPr>
          <w:p>
            <w:pPr>
              <w:widowControl/>
              <w:adjustRightInd w:val="0"/>
              <w:snapToGrid w:val="0"/>
              <w:spacing w:line="240" w:lineRule="auto"/>
              <w:ind w:firstLine="0" w:firstLineChars="0"/>
              <w:jc w:val="center"/>
              <w:rPr>
                <w:rFonts w:ascii="Times New Roman" w:hAnsi="Times New Roman" w:eastAsia="黑体" w:cs="Times New Roman"/>
                <w:color w:val="000000"/>
                <w:spacing w:val="-4"/>
                <w:kern w:val="0"/>
                <w:sz w:val="21"/>
                <w:szCs w:val="21"/>
              </w:rPr>
            </w:pPr>
            <w:r>
              <w:rPr>
                <w:rFonts w:hint="default" w:ascii="Times New Roman" w:hAnsi="Times New Roman" w:eastAsia="黑体" w:cs="Times New Roman"/>
                <w:color w:val="000000"/>
                <w:spacing w:val="-4"/>
                <w:kern w:val="0"/>
                <w:sz w:val="21"/>
                <w:szCs w:val="21"/>
              </w:rPr>
              <w:t>分数</w:t>
            </w:r>
          </w:p>
        </w:tc>
        <w:tc>
          <w:tcPr>
            <w:tcW w:w="1800" w:type="dxa"/>
            <w:vMerge w:val="restart"/>
            <w:noWrap w:val="0"/>
            <w:vAlign w:val="center"/>
          </w:tcPr>
          <w:p>
            <w:pPr>
              <w:widowControl/>
              <w:adjustRightInd w:val="0"/>
              <w:snapToGrid w:val="0"/>
              <w:spacing w:line="240" w:lineRule="auto"/>
              <w:ind w:firstLine="0" w:firstLineChars="0"/>
              <w:jc w:val="center"/>
              <w:rPr>
                <w:rFonts w:ascii="Times New Roman" w:hAnsi="Times New Roman" w:eastAsia="黑体" w:cs="Times New Roman"/>
                <w:color w:val="000000"/>
                <w:spacing w:val="-4"/>
                <w:kern w:val="0"/>
                <w:sz w:val="21"/>
                <w:szCs w:val="21"/>
              </w:rPr>
            </w:pPr>
            <w:r>
              <w:rPr>
                <w:rFonts w:hint="default" w:ascii="Times New Roman" w:hAnsi="Times New Roman" w:eastAsia="黑体" w:cs="Times New Roman"/>
                <w:color w:val="000000"/>
                <w:spacing w:val="-4"/>
                <w:kern w:val="0"/>
                <w:sz w:val="21"/>
                <w:szCs w:val="21"/>
              </w:rPr>
              <w:t>评估标准</w:t>
            </w:r>
          </w:p>
        </w:tc>
        <w:tc>
          <w:tcPr>
            <w:tcW w:w="5690" w:type="dxa"/>
            <w:gridSpan w:val="2"/>
            <w:vMerge w:val="restart"/>
            <w:noWrap w:val="0"/>
            <w:vAlign w:val="center"/>
          </w:tcPr>
          <w:p>
            <w:pPr>
              <w:widowControl/>
              <w:adjustRightInd w:val="0"/>
              <w:snapToGrid w:val="0"/>
              <w:spacing w:line="240" w:lineRule="auto"/>
              <w:ind w:firstLine="0" w:firstLineChars="0"/>
              <w:jc w:val="center"/>
              <w:rPr>
                <w:rFonts w:ascii="Times New Roman" w:hAnsi="Times New Roman" w:eastAsia="黑体" w:cs="Times New Roman"/>
                <w:color w:val="000000"/>
                <w:spacing w:val="-4"/>
                <w:kern w:val="0"/>
                <w:sz w:val="21"/>
                <w:szCs w:val="21"/>
              </w:rPr>
            </w:pPr>
            <w:r>
              <w:rPr>
                <w:rFonts w:hint="default" w:ascii="Times New Roman" w:hAnsi="Times New Roman" w:eastAsia="黑体" w:cs="Times New Roman"/>
                <w:color w:val="000000"/>
                <w:spacing w:val="-4"/>
                <w:kern w:val="0"/>
                <w:sz w:val="21"/>
                <w:szCs w:val="21"/>
              </w:rPr>
              <w:t>评   分   要   点</w:t>
            </w:r>
          </w:p>
        </w:tc>
        <w:tc>
          <w:tcPr>
            <w:tcW w:w="1854" w:type="dxa"/>
            <w:vMerge w:val="restart"/>
            <w:noWrap w:val="0"/>
            <w:vAlign w:val="center"/>
          </w:tcPr>
          <w:p>
            <w:pPr>
              <w:widowControl/>
              <w:adjustRightInd w:val="0"/>
              <w:snapToGrid w:val="0"/>
              <w:spacing w:line="240" w:lineRule="auto"/>
              <w:ind w:firstLine="0" w:firstLineChars="0"/>
              <w:jc w:val="center"/>
              <w:rPr>
                <w:rFonts w:ascii="Times New Roman" w:hAnsi="Times New Roman" w:eastAsia="黑体" w:cs="Times New Roman"/>
                <w:color w:val="000000"/>
                <w:spacing w:val="-4"/>
                <w:kern w:val="0"/>
                <w:sz w:val="21"/>
                <w:szCs w:val="21"/>
              </w:rPr>
            </w:pPr>
            <w:r>
              <w:rPr>
                <w:rFonts w:hint="default" w:ascii="Times New Roman" w:hAnsi="Times New Roman" w:eastAsia="黑体" w:cs="Times New Roman"/>
                <w:color w:val="000000"/>
                <w:spacing w:val="-4"/>
                <w:kern w:val="0"/>
                <w:sz w:val="21"/>
                <w:szCs w:val="21"/>
              </w:rPr>
              <w:t>评估方法</w:t>
            </w:r>
          </w:p>
        </w:tc>
        <w:tc>
          <w:tcPr>
            <w:tcW w:w="621" w:type="dxa"/>
            <w:vMerge w:val="restart"/>
            <w:noWrap w:val="0"/>
            <w:vAlign w:val="center"/>
          </w:tcPr>
          <w:p>
            <w:pPr>
              <w:widowControl/>
              <w:adjustRightInd w:val="0"/>
              <w:snapToGrid w:val="0"/>
              <w:spacing w:line="240" w:lineRule="auto"/>
              <w:ind w:firstLine="0" w:firstLineChars="0"/>
              <w:jc w:val="center"/>
              <w:rPr>
                <w:rFonts w:ascii="Times New Roman" w:hAnsi="Times New Roman" w:eastAsia="黑体" w:cs="Times New Roman"/>
                <w:color w:val="000000"/>
                <w:spacing w:val="-4"/>
                <w:kern w:val="0"/>
                <w:sz w:val="21"/>
                <w:szCs w:val="21"/>
              </w:rPr>
            </w:pPr>
            <w:r>
              <w:rPr>
                <w:rFonts w:hint="default" w:ascii="Times New Roman" w:hAnsi="Times New Roman" w:eastAsia="黑体" w:cs="Times New Roman"/>
                <w:color w:val="000000"/>
                <w:spacing w:val="-4"/>
                <w:kern w:val="0"/>
                <w:sz w:val="21"/>
                <w:szCs w:val="21"/>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97" w:hRule="atLeast"/>
          <w:tblHeader/>
          <w:jc w:val="center"/>
        </w:trPr>
        <w:tc>
          <w:tcPr>
            <w:tcW w:w="1309" w:type="dxa"/>
            <w:vMerge w:val="continue"/>
            <w:noWrap w:val="0"/>
            <w:vAlign w:val="center"/>
          </w:tcPr>
          <w:p>
            <w:pPr>
              <w:widowControl/>
              <w:adjustRightInd w:val="0"/>
              <w:snapToGrid w:val="0"/>
              <w:spacing w:before="100" w:beforeAutospacing="1" w:after="100" w:afterAutospacing="1" w:line="240" w:lineRule="auto"/>
              <w:ind w:firstLine="0" w:firstLineChars="0"/>
              <w:jc w:val="left"/>
              <w:outlineLvl w:val="0"/>
              <w:rPr>
                <w:rFonts w:ascii="Times New Roman" w:hAnsi="Times New Roman" w:eastAsia="黑体" w:cs="Times New Roman"/>
                <w:color w:val="000000"/>
                <w:spacing w:val="-4"/>
                <w:kern w:val="0"/>
                <w:sz w:val="21"/>
                <w:szCs w:val="21"/>
              </w:rPr>
            </w:pPr>
          </w:p>
        </w:tc>
        <w:tc>
          <w:tcPr>
            <w:tcW w:w="1516" w:type="dxa"/>
            <w:gridSpan w:val="2"/>
            <w:vMerge w:val="continue"/>
            <w:noWrap w:val="0"/>
            <w:vAlign w:val="center"/>
          </w:tcPr>
          <w:p>
            <w:pPr>
              <w:widowControl/>
              <w:adjustRightInd w:val="0"/>
              <w:snapToGrid w:val="0"/>
              <w:spacing w:before="100" w:beforeAutospacing="1" w:after="100" w:afterAutospacing="1" w:line="240" w:lineRule="auto"/>
              <w:ind w:firstLine="0" w:firstLineChars="0"/>
              <w:jc w:val="left"/>
              <w:outlineLvl w:val="0"/>
              <w:rPr>
                <w:rFonts w:ascii="Times New Roman" w:hAnsi="Times New Roman" w:eastAsia="黑体" w:cs="Times New Roman"/>
                <w:color w:val="000000"/>
                <w:spacing w:val="-4"/>
                <w:kern w:val="0"/>
                <w:sz w:val="21"/>
                <w:szCs w:val="21"/>
              </w:rPr>
            </w:pPr>
          </w:p>
        </w:tc>
        <w:tc>
          <w:tcPr>
            <w:tcW w:w="693" w:type="dxa"/>
            <w:noWrap w:val="0"/>
            <w:vAlign w:val="center"/>
          </w:tcPr>
          <w:p>
            <w:pPr>
              <w:widowControl/>
              <w:adjustRightInd w:val="0"/>
              <w:snapToGrid w:val="0"/>
              <w:spacing w:line="240" w:lineRule="auto"/>
              <w:ind w:firstLine="0" w:firstLineChars="0"/>
              <w:jc w:val="center"/>
              <w:rPr>
                <w:rFonts w:ascii="Times New Roman" w:hAnsi="Times New Roman" w:eastAsia="黑体" w:cs="Times New Roman"/>
                <w:color w:val="000000"/>
                <w:spacing w:val="-4"/>
                <w:kern w:val="0"/>
                <w:sz w:val="21"/>
                <w:szCs w:val="21"/>
              </w:rPr>
            </w:pPr>
            <w:r>
              <w:rPr>
                <w:rFonts w:hint="default" w:ascii="Times New Roman" w:hAnsi="Times New Roman" w:eastAsia="黑体" w:cs="Times New Roman"/>
                <w:color w:val="000000"/>
                <w:spacing w:val="-4"/>
                <w:kern w:val="0"/>
                <w:sz w:val="21"/>
                <w:szCs w:val="21"/>
              </w:rPr>
              <w:t>满分</w:t>
            </w:r>
          </w:p>
        </w:tc>
        <w:tc>
          <w:tcPr>
            <w:tcW w:w="696" w:type="dxa"/>
            <w:noWrap w:val="0"/>
            <w:vAlign w:val="center"/>
          </w:tcPr>
          <w:p>
            <w:pPr>
              <w:widowControl/>
              <w:adjustRightInd w:val="0"/>
              <w:snapToGrid w:val="0"/>
              <w:spacing w:line="240" w:lineRule="auto"/>
              <w:ind w:firstLine="0" w:firstLineChars="0"/>
              <w:jc w:val="center"/>
              <w:rPr>
                <w:rFonts w:ascii="Times New Roman" w:hAnsi="Times New Roman" w:eastAsia="黑体" w:cs="Times New Roman"/>
                <w:color w:val="000000"/>
                <w:spacing w:val="-4"/>
                <w:kern w:val="0"/>
                <w:sz w:val="21"/>
                <w:szCs w:val="21"/>
              </w:rPr>
            </w:pPr>
            <w:r>
              <w:rPr>
                <w:rFonts w:hint="default" w:ascii="Times New Roman" w:hAnsi="Times New Roman" w:eastAsia="黑体" w:cs="Times New Roman"/>
                <w:color w:val="000000"/>
                <w:spacing w:val="-4"/>
                <w:kern w:val="0"/>
                <w:sz w:val="21"/>
                <w:szCs w:val="21"/>
              </w:rPr>
              <w:t>得分</w:t>
            </w:r>
          </w:p>
        </w:tc>
        <w:tc>
          <w:tcPr>
            <w:tcW w:w="1800" w:type="dxa"/>
            <w:vMerge w:val="continue"/>
            <w:noWrap w:val="0"/>
            <w:vAlign w:val="center"/>
          </w:tcPr>
          <w:p>
            <w:pPr>
              <w:widowControl/>
              <w:adjustRightInd w:val="0"/>
              <w:snapToGrid w:val="0"/>
              <w:spacing w:before="100" w:beforeAutospacing="1" w:after="100" w:afterAutospacing="1" w:line="240" w:lineRule="auto"/>
              <w:ind w:firstLine="0" w:firstLineChars="0"/>
              <w:outlineLvl w:val="2"/>
              <w:rPr>
                <w:rFonts w:ascii="Times New Roman" w:hAnsi="Times New Roman" w:eastAsia="黑体" w:cs="Times New Roman"/>
                <w:color w:val="000000"/>
                <w:spacing w:val="-4"/>
                <w:kern w:val="0"/>
                <w:sz w:val="21"/>
                <w:szCs w:val="21"/>
              </w:rPr>
            </w:pPr>
          </w:p>
        </w:tc>
        <w:tc>
          <w:tcPr>
            <w:tcW w:w="5690" w:type="dxa"/>
            <w:gridSpan w:val="2"/>
            <w:vMerge w:val="continue"/>
            <w:noWrap w:val="0"/>
            <w:vAlign w:val="center"/>
          </w:tcPr>
          <w:p>
            <w:pPr>
              <w:widowControl/>
              <w:adjustRightInd w:val="0"/>
              <w:snapToGrid w:val="0"/>
              <w:spacing w:before="100" w:beforeAutospacing="1" w:after="100" w:afterAutospacing="1" w:line="240" w:lineRule="auto"/>
              <w:ind w:firstLine="0" w:firstLineChars="0"/>
              <w:jc w:val="left"/>
              <w:outlineLvl w:val="2"/>
              <w:rPr>
                <w:rFonts w:ascii="Times New Roman" w:hAnsi="Times New Roman" w:eastAsia="黑体" w:cs="Times New Roman"/>
                <w:color w:val="000000"/>
                <w:spacing w:val="-4"/>
                <w:kern w:val="0"/>
                <w:sz w:val="21"/>
                <w:szCs w:val="21"/>
              </w:rPr>
            </w:pPr>
          </w:p>
        </w:tc>
        <w:tc>
          <w:tcPr>
            <w:tcW w:w="1854" w:type="dxa"/>
            <w:vMerge w:val="continue"/>
            <w:noWrap w:val="0"/>
            <w:vAlign w:val="center"/>
          </w:tcPr>
          <w:p>
            <w:pPr>
              <w:widowControl/>
              <w:adjustRightInd w:val="0"/>
              <w:snapToGrid w:val="0"/>
              <w:spacing w:before="100" w:beforeAutospacing="1" w:after="100" w:afterAutospacing="1" w:line="240" w:lineRule="auto"/>
              <w:ind w:firstLine="0" w:firstLineChars="0"/>
              <w:jc w:val="left"/>
              <w:outlineLvl w:val="2"/>
              <w:rPr>
                <w:rFonts w:ascii="Times New Roman" w:hAnsi="Times New Roman" w:eastAsia="黑体" w:cs="Times New Roman"/>
                <w:color w:val="000000"/>
                <w:spacing w:val="-4"/>
                <w:kern w:val="0"/>
                <w:sz w:val="21"/>
                <w:szCs w:val="21"/>
              </w:rPr>
            </w:pPr>
          </w:p>
        </w:tc>
        <w:tc>
          <w:tcPr>
            <w:tcW w:w="621" w:type="dxa"/>
            <w:vMerge w:val="continue"/>
            <w:noWrap w:val="0"/>
            <w:vAlign w:val="center"/>
          </w:tcPr>
          <w:p>
            <w:pPr>
              <w:widowControl/>
              <w:adjustRightInd w:val="0"/>
              <w:snapToGrid w:val="0"/>
              <w:spacing w:before="100" w:beforeAutospacing="1" w:after="100" w:afterAutospacing="1" w:line="240" w:lineRule="auto"/>
              <w:ind w:firstLine="0" w:firstLineChars="0"/>
              <w:jc w:val="left"/>
              <w:outlineLvl w:val="2"/>
              <w:rPr>
                <w:rFonts w:ascii="Times New Roman" w:hAnsi="Times New Roman" w:eastAsia="黑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529" w:hRule="atLeast"/>
          <w:jc w:val="center"/>
        </w:trPr>
        <w:tc>
          <w:tcPr>
            <w:tcW w:w="1309" w:type="dxa"/>
            <w:vMerge w:val="restart"/>
            <w:noWrap w:val="0"/>
            <w:vAlign w:val="center"/>
          </w:tcPr>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一、污染环境防治责任制度（《中华人民共和国固体废物污染环境防治法》</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以下简称《固废法》</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第三十六条）</w:t>
            </w:r>
          </w:p>
        </w:tc>
        <w:tc>
          <w:tcPr>
            <w:tcW w:w="1516" w:type="dxa"/>
            <w:gridSpan w:val="2"/>
            <w:vMerge w:val="restart"/>
            <w:noWrap w:val="0"/>
            <w:vAlign w:val="center"/>
          </w:tcPr>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产生工业固体废物的单位应当建立健全工业固体废物产生、收集、贮存、利用、处置全过程的污染环境防治责任制度</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采取防治工业固体废物污染环境的措施。</w:t>
            </w:r>
          </w:p>
        </w:tc>
        <w:tc>
          <w:tcPr>
            <w:tcW w:w="693" w:type="dxa"/>
            <w:noWrap w:val="0"/>
            <w:vAlign w:val="center"/>
          </w:tcPr>
          <w:p>
            <w:pPr>
              <w:widowControl/>
              <w:adjustRightInd w:val="0"/>
              <w:snapToGrid w:val="0"/>
              <w:spacing w:line="252"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p>
        </w:tc>
        <w:tc>
          <w:tcPr>
            <w:tcW w:w="696" w:type="dxa"/>
            <w:noWrap w:val="0"/>
            <w:vAlign w:val="center"/>
          </w:tcPr>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p>
        </w:tc>
        <w:tc>
          <w:tcPr>
            <w:tcW w:w="1800" w:type="dxa"/>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建立了涵盖全过程的责任制度</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负责人明确</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各项责任分解清晰；负责人熟悉危险废物环境管理相关法规、制度、标准、规范；制定的制度得到落实</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采取了防治工业固体废物污染环境的措施。</w:t>
            </w:r>
          </w:p>
        </w:tc>
        <w:tc>
          <w:tcPr>
            <w:tcW w:w="5690" w:type="dxa"/>
            <w:gridSpan w:val="2"/>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建立了涵盖全过程的责任制度</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负责人明确</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各项责任分解清晰；负责人熟悉危险废物环境管理相关法规、制度、标准、规范；制定的制度得到落实；采取了防治工业固体废物污染环境的措施。得</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分。</w:t>
            </w:r>
          </w:p>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建立的责任制度未涵盖全过程</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但负责人熟悉危险废物环境管理有关制度和本单位的危险废物环境管理情况</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且采取了防治工业固体废物污染环境的措施。得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6"/>
                <w:kern w:val="0"/>
                <w:sz w:val="21"/>
                <w:szCs w:val="21"/>
              </w:rPr>
              <w:t>3.</w:t>
            </w:r>
            <w:r>
              <w:rPr>
                <w:rFonts w:hint="default" w:ascii="Times New Roman" w:hAnsi="Times New Roman" w:eastAsia="宋体" w:cs="Times New Roman"/>
                <w:color w:val="000000"/>
                <w:spacing w:val="-6"/>
                <w:kern w:val="0"/>
                <w:sz w:val="21"/>
                <w:szCs w:val="21"/>
              </w:rPr>
              <w:t>未建立责任制度</w:t>
            </w:r>
            <w:r>
              <w:rPr>
                <w:rFonts w:hint="eastAsia" w:ascii="Times New Roman" w:hAnsi="Times New Roman" w:eastAsia="宋体" w:cs="Times New Roman"/>
                <w:color w:val="000000"/>
                <w:spacing w:val="-6"/>
                <w:kern w:val="0"/>
                <w:sz w:val="21"/>
                <w:szCs w:val="21"/>
                <w:lang w:eastAsia="zh-CN"/>
              </w:rPr>
              <w:t>，</w:t>
            </w:r>
            <w:r>
              <w:rPr>
                <w:rFonts w:hint="default" w:ascii="Times New Roman" w:hAnsi="Times New Roman" w:eastAsia="宋体" w:cs="Times New Roman"/>
                <w:color w:val="000000"/>
                <w:spacing w:val="-6"/>
                <w:kern w:val="0"/>
                <w:sz w:val="21"/>
                <w:szCs w:val="21"/>
              </w:rPr>
              <w:t>或负责人不熟悉危险废物环境管理有关制度、不熟悉本单位危险废物环境管理情况</w:t>
            </w:r>
            <w:r>
              <w:rPr>
                <w:rFonts w:hint="eastAsia" w:ascii="Times New Roman" w:hAnsi="Times New Roman" w:eastAsia="宋体" w:cs="Times New Roman"/>
                <w:color w:val="000000"/>
                <w:spacing w:val="-6"/>
                <w:kern w:val="0"/>
                <w:sz w:val="21"/>
                <w:szCs w:val="21"/>
                <w:lang w:eastAsia="zh-CN"/>
              </w:rPr>
              <w:t>，</w:t>
            </w:r>
            <w:r>
              <w:rPr>
                <w:rFonts w:hint="default" w:ascii="Times New Roman" w:hAnsi="Times New Roman" w:eastAsia="宋体" w:cs="Times New Roman"/>
                <w:color w:val="000000"/>
                <w:spacing w:val="-6"/>
                <w:kern w:val="0"/>
                <w:sz w:val="21"/>
                <w:szCs w:val="21"/>
              </w:rPr>
              <w:t>或制定的制度未得到落实、环境管理职责不明确</w:t>
            </w:r>
            <w:r>
              <w:rPr>
                <w:rFonts w:hint="eastAsia" w:ascii="Times New Roman" w:hAnsi="Times New Roman" w:eastAsia="宋体" w:cs="Times New Roman"/>
                <w:color w:val="000000"/>
                <w:spacing w:val="-6"/>
                <w:kern w:val="0"/>
                <w:sz w:val="21"/>
                <w:szCs w:val="21"/>
                <w:lang w:eastAsia="zh-CN"/>
              </w:rPr>
              <w:t>，</w:t>
            </w:r>
            <w:r>
              <w:rPr>
                <w:rFonts w:hint="default" w:ascii="Times New Roman" w:hAnsi="Times New Roman" w:eastAsia="宋体" w:cs="Times New Roman"/>
                <w:color w:val="000000"/>
                <w:spacing w:val="-6"/>
                <w:kern w:val="0"/>
                <w:sz w:val="21"/>
                <w:szCs w:val="21"/>
              </w:rPr>
              <w:t>或未采取防治工业固体废物污染环境的措施、现场管理混乱。得</w:t>
            </w:r>
            <w:r>
              <w:rPr>
                <w:rFonts w:ascii="Times New Roman" w:hAnsi="Times New Roman" w:eastAsia="宋体" w:cs="Times New Roman"/>
                <w:color w:val="000000"/>
                <w:spacing w:val="-6"/>
                <w:kern w:val="0"/>
                <w:sz w:val="21"/>
                <w:szCs w:val="21"/>
              </w:rPr>
              <w:t>0</w:t>
            </w:r>
            <w:r>
              <w:rPr>
                <w:rFonts w:hint="default" w:ascii="Times New Roman" w:hAnsi="Times New Roman" w:eastAsia="宋体" w:cs="Times New Roman"/>
                <w:color w:val="000000"/>
                <w:spacing w:val="-6"/>
                <w:kern w:val="0"/>
                <w:sz w:val="21"/>
                <w:szCs w:val="21"/>
              </w:rPr>
              <w:t>分。</w:t>
            </w:r>
          </w:p>
        </w:tc>
        <w:tc>
          <w:tcPr>
            <w:tcW w:w="1854" w:type="dxa"/>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查阅相关资料（查看相关管理制度）、现场询问、核查</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001" w:hRule="atLeast"/>
          <w:jc w:val="center"/>
        </w:trPr>
        <w:tc>
          <w:tcPr>
            <w:tcW w:w="1309" w:type="dxa"/>
            <w:vMerge w:val="continue"/>
            <w:noWrap w:val="0"/>
            <w:vAlign w:val="center"/>
          </w:tcPr>
          <w:p>
            <w:pPr>
              <w:widowControl/>
              <w:adjustRightInd w:val="0"/>
              <w:snapToGrid w:val="0"/>
              <w:spacing w:line="252" w:lineRule="auto"/>
              <w:ind w:firstLine="0" w:firstLineChars="0"/>
              <w:jc w:val="left"/>
              <w:rPr>
                <w:rFonts w:ascii="Times New Roman" w:hAnsi="Times New Roman" w:eastAsia="宋体" w:cs="Times New Roman"/>
                <w:color w:val="000000"/>
                <w:spacing w:val="-4"/>
                <w:kern w:val="0"/>
                <w:sz w:val="21"/>
                <w:szCs w:val="21"/>
              </w:rPr>
            </w:pPr>
          </w:p>
        </w:tc>
        <w:tc>
          <w:tcPr>
            <w:tcW w:w="1516" w:type="dxa"/>
            <w:gridSpan w:val="2"/>
            <w:vMerge w:val="continue"/>
            <w:noWrap w:val="0"/>
            <w:vAlign w:val="center"/>
          </w:tcPr>
          <w:p>
            <w:pPr>
              <w:widowControl/>
              <w:adjustRightInd w:val="0"/>
              <w:snapToGrid w:val="0"/>
              <w:spacing w:line="252" w:lineRule="auto"/>
              <w:ind w:firstLine="0" w:firstLineChars="0"/>
              <w:jc w:val="left"/>
              <w:rPr>
                <w:rFonts w:ascii="Times New Roman" w:hAnsi="Times New Roman" w:eastAsia="宋体" w:cs="Times New Roman"/>
                <w:color w:val="000000"/>
                <w:spacing w:val="-4"/>
                <w:kern w:val="0"/>
                <w:sz w:val="21"/>
                <w:szCs w:val="21"/>
              </w:rPr>
            </w:pPr>
          </w:p>
        </w:tc>
        <w:tc>
          <w:tcPr>
            <w:tcW w:w="693" w:type="dxa"/>
            <w:noWrap w:val="0"/>
            <w:vAlign w:val="center"/>
          </w:tcPr>
          <w:p>
            <w:pPr>
              <w:widowControl/>
              <w:adjustRightInd w:val="0"/>
              <w:snapToGrid w:val="0"/>
              <w:spacing w:line="252"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p>
        </w:tc>
        <w:tc>
          <w:tcPr>
            <w:tcW w:w="696" w:type="dxa"/>
            <w:noWrap w:val="0"/>
            <w:vAlign w:val="center"/>
          </w:tcPr>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p>
        </w:tc>
        <w:tc>
          <w:tcPr>
            <w:tcW w:w="1800" w:type="dxa"/>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执行危险废物污染防治责任信息公开制度</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在显著位置张贴危险废物污染防治责任信息。</w:t>
            </w:r>
          </w:p>
        </w:tc>
        <w:tc>
          <w:tcPr>
            <w:tcW w:w="5690" w:type="dxa"/>
            <w:gridSpan w:val="2"/>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在适当场所的显著位置张贴危险废物污染防治责任信息</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且张贴信息能够表明危险废物产生环节、危害特性、去向及责任人等。得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未张贴危险废物污染防治责任信息</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或张贴场所位置不明显</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张贴信息未能明确表明危险废物产生环节、危害特性、去向或责任人等。得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1854" w:type="dxa"/>
            <w:noWrap w:val="0"/>
            <w:vAlign w:val="center"/>
          </w:tcPr>
          <w:p>
            <w:pPr>
              <w:widowControl/>
              <w:adjustRightInd w:val="0"/>
              <w:snapToGrid w:val="0"/>
              <w:spacing w:line="228" w:lineRule="auto"/>
              <w:ind w:firstLine="0" w:firstLineChars="0"/>
              <w:jc w:val="left"/>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现场核查</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1476" w:hRule="atLeast"/>
          <w:jc w:val="center"/>
        </w:trPr>
        <w:tc>
          <w:tcPr>
            <w:tcW w:w="1309" w:type="dxa"/>
            <w:vMerge w:val="restart"/>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二、标识制度（《固废法》第七十七条）</w:t>
            </w:r>
          </w:p>
        </w:tc>
        <w:tc>
          <w:tcPr>
            <w:tcW w:w="1516" w:type="dxa"/>
            <w:gridSpan w:val="2"/>
            <w:noWrap w:val="0"/>
            <w:vAlign w:val="center"/>
          </w:tcPr>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危险废物的容器和包装物应当按照规定设置危险废物识别标志。</w:t>
            </w:r>
          </w:p>
        </w:tc>
        <w:tc>
          <w:tcPr>
            <w:tcW w:w="693" w:type="dxa"/>
            <w:noWrap w:val="0"/>
            <w:vAlign w:val="center"/>
          </w:tcPr>
          <w:p>
            <w:pPr>
              <w:widowControl/>
              <w:adjustRightInd w:val="0"/>
              <w:snapToGrid w:val="0"/>
              <w:spacing w:line="247"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p>
        </w:tc>
        <w:tc>
          <w:tcPr>
            <w:tcW w:w="696" w:type="dxa"/>
            <w:noWrap w:val="0"/>
            <w:vAlign w:val="center"/>
          </w:tcPr>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p>
        </w:tc>
        <w:tc>
          <w:tcPr>
            <w:tcW w:w="1800" w:type="dxa"/>
            <w:noWrap w:val="0"/>
            <w:vAlign w:val="center"/>
          </w:tcPr>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依据国家和地方相关标准规范所示标签设置危险废物识别标志。</w:t>
            </w:r>
          </w:p>
        </w:tc>
        <w:tc>
          <w:tcPr>
            <w:tcW w:w="5690" w:type="dxa"/>
            <w:gridSpan w:val="2"/>
            <w:noWrap w:val="0"/>
            <w:vAlign w:val="center"/>
          </w:tcPr>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设置了规范的（样式正确、内容填写真实完整）危险废物识别标志。得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识别标志样式或填写内容有</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处错误。得</w:t>
            </w:r>
            <w:r>
              <w:rPr>
                <w:rFonts w:ascii="Times New Roman" w:hAnsi="Times New Roman" w:eastAsia="宋体" w:cs="Times New Roman"/>
                <w:color w:val="000000"/>
                <w:spacing w:val="-4"/>
                <w:kern w:val="0"/>
                <w:sz w:val="21"/>
                <w:szCs w:val="21"/>
              </w:rPr>
              <w:t>0.5</w:t>
            </w:r>
            <w:r>
              <w:rPr>
                <w:rFonts w:hint="default" w:ascii="Times New Roman" w:hAnsi="Times New Roman" w:eastAsia="宋体" w:cs="Times New Roman"/>
                <w:color w:val="000000"/>
                <w:spacing w:val="-4"/>
                <w:kern w:val="0"/>
                <w:sz w:val="21"/>
                <w:szCs w:val="21"/>
              </w:rPr>
              <w:t>分。</w:t>
            </w:r>
          </w:p>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未设置识别标志</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或识别标志样式不正确</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或填写内容有</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处及以上错误。得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1854" w:type="dxa"/>
            <w:noWrap w:val="0"/>
            <w:vAlign w:val="center"/>
          </w:tcPr>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现场核查</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461" w:hRule="atLeast"/>
          <w:jc w:val="center"/>
        </w:trPr>
        <w:tc>
          <w:tcPr>
            <w:tcW w:w="1309" w:type="dxa"/>
            <w:vMerge w:val="continue"/>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1516" w:type="dxa"/>
            <w:gridSpan w:val="2"/>
            <w:noWrap w:val="0"/>
            <w:vAlign w:val="center"/>
          </w:tcPr>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收集、贮存、利用、处置危险废物的设施、场所</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应当按照规定设置危险废物识别标志。</w:t>
            </w:r>
          </w:p>
        </w:tc>
        <w:tc>
          <w:tcPr>
            <w:tcW w:w="693" w:type="dxa"/>
            <w:noWrap w:val="0"/>
            <w:vAlign w:val="center"/>
          </w:tcPr>
          <w:p>
            <w:pPr>
              <w:widowControl/>
              <w:adjustRightInd w:val="0"/>
              <w:snapToGrid w:val="0"/>
              <w:spacing w:line="247"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p>
        </w:tc>
        <w:tc>
          <w:tcPr>
            <w:tcW w:w="696" w:type="dxa"/>
            <w:noWrap w:val="0"/>
            <w:vAlign w:val="center"/>
          </w:tcPr>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p>
        </w:tc>
        <w:tc>
          <w:tcPr>
            <w:tcW w:w="1800" w:type="dxa"/>
            <w:noWrap w:val="0"/>
            <w:vAlign w:val="center"/>
          </w:tcPr>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依据国家和地方相关标准规范所示标签和警示标志设置危险废物识别标志。</w:t>
            </w:r>
          </w:p>
        </w:tc>
        <w:tc>
          <w:tcPr>
            <w:tcW w:w="5690" w:type="dxa"/>
            <w:gridSpan w:val="2"/>
            <w:noWrap w:val="0"/>
            <w:vAlign w:val="center"/>
          </w:tcPr>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在收集、贮存、利用、处置危险废物的设施、场所均设置了规范（形状、颜色、图案均正确）的危险废物识别标志。得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p>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上述危险废物环境管理的相关设施、场所识别标志有</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处错误。得</w:t>
            </w:r>
            <w:r>
              <w:rPr>
                <w:rFonts w:ascii="Times New Roman" w:hAnsi="Times New Roman" w:eastAsia="宋体" w:cs="Times New Roman"/>
                <w:color w:val="000000"/>
                <w:spacing w:val="-4"/>
                <w:kern w:val="0"/>
                <w:sz w:val="21"/>
                <w:szCs w:val="21"/>
              </w:rPr>
              <w:t>0.5</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上述危险废物环境管理的相关设施、场所未设置识别标志或识别标志有</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处及以上错误。得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1854" w:type="dxa"/>
            <w:noWrap w:val="0"/>
            <w:vAlign w:val="center"/>
          </w:tcPr>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现场核查</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748" w:hRule="atLeast"/>
          <w:jc w:val="center"/>
        </w:trPr>
        <w:tc>
          <w:tcPr>
            <w:tcW w:w="1309" w:type="dxa"/>
            <w:vMerge w:val="restart"/>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三、管理计划制度（《固废法》第七十八条）</w:t>
            </w:r>
          </w:p>
        </w:tc>
        <w:tc>
          <w:tcPr>
            <w:tcW w:w="1516" w:type="dxa"/>
            <w:gridSpan w:val="2"/>
            <w:noWrap w:val="0"/>
            <w:vAlign w:val="center"/>
          </w:tcPr>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4.</w:t>
            </w:r>
            <w:r>
              <w:rPr>
                <w:rFonts w:hint="default" w:ascii="Times New Roman" w:hAnsi="Times New Roman" w:eastAsia="宋体" w:cs="Times New Roman"/>
                <w:color w:val="000000"/>
                <w:spacing w:val="-4"/>
                <w:kern w:val="0"/>
                <w:sz w:val="21"/>
                <w:szCs w:val="21"/>
              </w:rPr>
              <w:t>危险废物管理计划包括减少危险废物产生量和降低危险废物危害性的措施</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以及危险废物贮存、利用、处置措施。</w:t>
            </w:r>
          </w:p>
        </w:tc>
        <w:tc>
          <w:tcPr>
            <w:tcW w:w="693" w:type="dxa"/>
            <w:noWrap w:val="0"/>
            <w:vAlign w:val="center"/>
          </w:tcPr>
          <w:p>
            <w:pPr>
              <w:widowControl/>
              <w:adjustRightInd w:val="0"/>
              <w:snapToGrid w:val="0"/>
              <w:spacing w:line="247"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p>
        </w:tc>
        <w:tc>
          <w:tcPr>
            <w:tcW w:w="696" w:type="dxa"/>
            <w:noWrap w:val="0"/>
            <w:vAlign w:val="center"/>
          </w:tcPr>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p>
        </w:tc>
        <w:tc>
          <w:tcPr>
            <w:tcW w:w="1800" w:type="dxa"/>
            <w:noWrap w:val="0"/>
            <w:vAlign w:val="center"/>
          </w:tcPr>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制定了危险废物管理计划；内容齐全</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危险废物的产生环节、种类、危害特性、产生量、利用处置方式描述清晰。</w:t>
            </w:r>
          </w:p>
        </w:tc>
        <w:tc>
          <w:tcPr>
            <w:tcW w:w="5690" w:type="dxa"/>
            <w:gridSpan w:val="2"/>
            <w:noWrap w:val="0"/>
            <w:vAlign w:val="center"/>
          </w:tcPr>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A.</w:t>
            </w:r>
            <w:r>
              <w:rPr>
                <w:rFonts w:hint="default" w:ascii="Times New Roman" w:hAnsi="Times New Roman" w:eastAsia="宋体" w:cs="Times New Roman"/>
                <w:color w:val="000000"/>
                <w:spacing w:val="-4"/>
                <w:kern w:val="0"/>
                <w:sz w:val="21"/>
                <w:szCs w:val="21"/>
              </w:rPr>
              <w:t>危险废物的产生环节、种类描述清晰。</w:t>
            </w:r>
          </w:p>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B.</w:t>
            </w:r>
            <w:r>
              <w:rPr>
                <w:rFonts w:hint="default" w:ascii="Times New Roman" w:hAnsi="Times New Roman" w:eastAsia="宋体" w:cs="Times New Roman"/>
                <w:color w:val="000000"/>
                <w:spacing w:val="-4"/>
                <w:kern w:val="0"/>
                <w:sz w:val="21"/>
                <w:szCs w:val="21"/>
              </w:rPr>
              <w:t>危险废物产生量预测依据充分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且提出了减少产生量的措施。</w:t>
            </w:r>
          </w:p>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C.</w:t>
            </w:r>
            <w:r>
              <w:rPr>
                <w:rFonts w:hint="default" w:ascii="Times New Roman" w:hAnsi="Times New Roman" w:eastAsia="宋体" w:cs="Times New Roman"/>
                <w:color w:val="000000"/>
                <w:spacing w:val="-4"/>
                <w:kern w:val="0"/>
                <w:sz w:val="21"/>
                <w:szCs w:val="21"/>
              </w:rPr>
              <w:t>危险废物的危害特性描述准确</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且提出了降低危害性的措施。</w:t>
            </w:r>
          </w:p>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D.</w:t>
            </w:r>
            <w:r>
              <w:rPr>
                <w:rFonts w:hint="default" w:ascii="Times New Roman" w:hAnsi="Times New Roman" w:eastAsia="宋体" w:cs="Times New Roman"/>
                <w:color w:val="000000"/>
                <w:spacing w:val="-4"/>
                <w:kern w:val="0"/>
                <w:sz w:val="21"/>
                <w:szCs w:val="21"/>
              </w:rPr>
              <w:t>危险废物贮存、利用、处置措施描述清晰。</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br w:type="textWrapping"/>
            </w:r>
            <w:r>
              <w:rPr>
                <w:rFonts w:hint="default" w:ascii="Times New Roman" w:hAnsi="Times New Roman" w:eastAsia="宋体" w:cs="Times New Roman"/>
                <w:color w:val="000000"/>
                <w:spacing w:val="-4"/>
                <w:kern w:val="0"/>
                <w:sz w:val="21"/>
                <w:szCs w:val="21"/>
              </w:rPr>
              <w:t>以上每项符合得</w:t>
            </w:r>
            <w:r>
              <w:rPr>
                <w:rFonts w:ascii="Times New Roman" w:hAnsi="Times New Roman" w:eastAsia="宋体" w:cs="Times New Roman"/>
                <w:color w:val="000000"/>
                <w:spacing w:val="-4"/>
                <w:kern w:val="0"/>
                <w:sz w:val="21"/>
                <w:szCs w:val="21"/>
              </w:rPr>
              <w:t>0.5</w:t>
            </w:r>
            <w:r>
              <w:rPr>
                <w:rFonts w:hint="default" w:ascii="Times New Roman" w:hAnsi="Times New Roman" w:eastAsia="宋体" w:cs="Times New Roman"/>
                <w:color w:val="000000"/>
                <w:spacing w:val="-4"/>
                <w:kern w:val="0"/>
                <w:sz w:val="21"/>
                <w:szCs w:val="21"/>
              </w:rPr>
              <w:t>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共</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分。</w:t>
            </w:r>
          </w:p>
        </w:tc>
        <w:tc>
          <w:tcPr>
            <w:tcW w:w="1854" w:type="dxa"/>
            <w:noWrap w:val="0"/>
            <w:vAlign w:val="center"/>
          </w:tcPr>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查阅相关资料（查看危险废物管理计划）。</w:t>
            </w:r>
          </w:p>
          <w:p>
            <w:pPr>
              <w:widowControl/>
              <w:adjustRightInd w:val="0"/>
              <w:snapToGrid w:val="0"/>
              <w:spacing w:line="247" w:lineRule="auto"/>
              <w:ind w:firstLine="0" w:firstLineChars="0"/>
              <w:rPr>
                <w:rFonts w:ascii="Times New Roman" w:hAnsi="Times New Roman" w:eastAsia="宋体" w:cs="Times New Roman"/>
                <w:color w:val="000000"/>
                <w:spacing w:val="-6"/>
                <w:kern w:val="0"/>
                <w:sz w:val="21"/>
                <w:szCs w:val="21"/>
              </w:rPr>
            </w:pPr>
            <w:r>
              <w:rPr>
                <w:rFonts w:ascii="Times New Roman" w:hAnsi="Times New Roman" w:eastAsia="宋体" w:cs="Times New Roman"/>
                <w:color w:val="000000"/>
                <w:spacing w:val="-6"/>
                <w:kern w:val="0"/>
                <w:sz w:val="21"/>
                <w:szCs w:val="21"/>
              </w:rPr>
              <w:t>2.</w:t>
            </w:r>
            <w:r>
              <w:rPr>
                <w:rFonts w:hint="default" w:ascii="Times New Roman" w:hAnsi="Times New Roman" w:eastAsia="宋体" w:cs="Times New Roman"/>
                <w:color w:val="000000"/>
                <w:spacing w:val="-6"/>
                <w:kern w:val="0"/>
                <w:sz w:val="21"/>
                <w:szCs w:val="21"/>
              </w:rPr>
              <w:t>比对该企业近</w:t>
            </w:r>
            <w:r>
              <w:rPr>
                <w:rFonts w:ascii="Times New Roman" w:hAnsi="Times New Roman" w:eastAsia="宋体" w:cs="Times New Roman"/>
                <w:color w:val="000000"/>
                <w:spacing w:val="-6"/>
                <w:kern w:val="0"/>
                <w:sz w:val="21"/>
                <w:szCs w:val="21"/>
              </w:rPr>
              <w:t>3</w:t>
            </w:r>
            <w:r>
              <w:rPr>
                <w:rFonts w:hint="default" w:ascii="Times New Roman" w:hAnsi="Times New Roman" w:eastAsia="宋体" w:cs="Times New Roman"/>
                <w:color w:val="000000"/>
                <w:spacing w:val="-6"/>
                <w:kern w:val="0"/>
                <w:sz w:val="21"/>
                <w:szCs w:val="21"/>
              </w:rPr>
              <w:t>年管理计划</w:t>
            </w:r>
            <w:r>
              <w:rPr>
                <w:rFonts w:hint="eastAsia" w:ascii="Times New Roman" w:hAnsi="Times New Roman" w:eastAsia="宋体" w:cs="Times New Roman"/>
                <w:color w:val="000000"/>
                <w:spacing w:val="-6"/>
                <w:kern w:val="0"/>
                <w:sz w:val="21"/>
                <w:szCs w:val="21"/>
                <w:lang w:eastAsia="zh-CN"/>
              </w:rPr>
              <w:t>，</w:t>
            </w:r>
            <w:r>
              <w:rPr>
                <w:rFonts w:hint="default" w:ascii="Times New Roman" w:hAnsi="Times New Roman" w:eastAsia="宋体" w:cs="Times New Roman"/>
                <w:color w:val="000000"/>
                <w:spacing w:val="-6"/>
                <w:kern w:val="0"/>
                <w:sz w:val="21"/>
                <w:szCs w:val="21"/>
              </w:rPr>
              <w:t>查阅危险废物产生情况是否有较大变动。如有</w:t>
            </w:r>
            <w:r>
              <w:rPr>
                <w:rFonts w:hint="eastAsia" w:ascii="Times New Roman" w:hAnsi="Times New Roman" w:eastAsia="宋体" w:cs="Times New Roman"/>
                <w:color w:val="000000"/>
                <w:spacing w:val="-6"/>
                <w:kern w:val="0"/>
                <w:sz w:val="21"/>
                <w:szCs w:val="21"/>
                <w:lang w:eastAsia="zh-CN"/>
              </w:rPr>
              <w:t>，</w:t>
            </w:r>
            <w:r>
              <w:rPr>
                <w:rFonts w:hint="default" w:ascii="Times New Roman" w:hAnsi="Times New Roman" w:eastAsia="宋体" w:cs="Times New Roman"/>
                <w:color w:val="000000"/>
                <w:spacing w:val="-6"/>
                <w:kern w:val="0"/>
                <w:sz w:val="21"/>
                <w:szCs w:val="21"/>
              </w:rPr>
              <w:t>请企业提供说明材料。</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472" w:hRule="atLeast"/>
          <w:jc w:val="center"/>
        </w:trPr>
        <w:tc>
          <w:tcPr>
            <w:tcW w:w="1309" w:type="dxa"/>
            <w:vMerge w:val="continue"/>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c>
          <w:tcPr>
            <w:tcW w:w="1516" w:type="dxa"/>
            <w:gridSpan w:val="2"/>
            <w:noWrap w:val="0"/>
            <w:vAlign w:val="center"/>
          </w:tcPr>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5.</w:t>
            </w:r>
            <w:r>
              <w:rPr>
                <w:rFonts w:hint="default" w:ascii="Times New Roman" w:hAnsi="Times New Roman" w:eastAsia="宋体" w:cs="Times New Roman"/>
                <w:color w:val="000000"/>
                <w:spacing w:val="-4"/>
                <w:kern w:val="0"/>
                <w:sz w:val="21"/>
                <w:szCs w:val="21"/>
              </w:rPr>
              <w:t>报产生危险废物的单位所在地生态环境主管部门备案。</w:t>
            </w:r>
          </w:p>
        </w:tc>
        <w:tc>
          <w:tcPr>
            <w:tcW w:w="693" w:type="dxa"/>
            <w:noWrap w:val="0"/>
            <w:vAlign w:val="center"/>
          </w:tcPr>
          <w:p>
            <w:pPr>
              <w:widowControl/>
              <w:adjustRightInd w:val="0"/>
              <w:snapToGrid w:val="0"/>
              <w:spacing w:line="247"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p>
        </w:tc>
        <w:tc>
          <w:tcPr>
            <w:tcW w:w="696" w:type="dxa"/>
            <w:noWrap w:val="0"/>
            <w:vAlign w:val="center"/>
          </w:tcPr>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p>
        </w:tc>
        <w:tc>
          <w:tcPr>
            <w:tcW w:w="1800" w:type="dxa"/>
            <w:noWrap w:val="0"/>
            <w:vAlign w:val="center"/>
          </w:tcPr>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通过国家或省级危险废物信息管理系统报所在地生态环境主管部门备案；内容发生变更时及时变更相关备案内容。</w:t>
            </w:r>
          </w:p>
        </w:tc>
        <w:tc>
          <w:tcPr>
            <w:tcW w:w="5690" w:type="dxa"/>
            <w:gridSpan w:val="2"/>
            <w:noWrap w:val="0"/>
            <w:vAlign w:val="center"/>
          </w:tcPr>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经所在地生态环境主管部门备案</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并可提供相关备案证明材料；管理计划内容发生变更时及时变更相关备案内容。得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未报所在地生态环境主管部门备案</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或未能提供相关证明材料</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或内容有变更未及时变更相关备案内容。得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1854" w:type="dxa"/>
            <w:noWrap w:val="0"/>
            <w:vAlign w:val="center"/>
          </w:tcPr>
          <w:p>
            <w:pPr>
              <w:widowControl/>
              <w:adjustRightInd w:val="0"/>
              <w:snapToGrid w:val="0"/>
              <w:spacing w:line="247"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查阅相关资料（由企业提供已经备案的证明材料）</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685" w:hRule="atLeast"/>
          <w:jc w:val="center"/>
        </w:trPr>
        <w:tc>
          <w:tcPr>
            <w:tcW w:w="1309" w:type="dxa"/>
            <w:noWrap w:val="0"/>
            <w:vAlign w:val="center"/>
          </w:tcPr>
          <w:p>
            <w:pPr>
              <w:widowControl/>
              <w:adjustRightInd w:val="0"/>
              <w:snapToGrid w:val="0"/>
              <w:spacing w:line="264" w:lineRule="auto"/>
              <w:ind w:firstLine="0" w:firstLineChars="0"/>
              <w:jc w:val="left"/>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四、排污许可制度（《固废法》第三十九条）</w:t>
            </w:r>
          </w:p>
        </w:tc>
        <w:tc>
          <w:tcPr>
            <w:tcW w:w="1516" w:type="dxa"/>
            <w:gridSpan w:val="2"/>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6.</w:t>
            </w:r>
            <w:r>
              <w:rPr>
                <w:rFonts w:hint="default" w:ascii="Times New Roman" w:hAnsi="Times New Roman" w:eastAsia="宋体" w:cs="Times New Roman"/>
                <w:color w:val="000000"/>
                <w:spacing w:val="-4"/>
                <w:kern w:val="0"/>
                <w:sz w:val="21"/>
                <w:szCs w:val="21"/>
              </w:rPr>
              <w:t>产生工业固体废物的单位应当取得排污许可证。</w:t>
            </w:r>
          </w:p>
        </w:tc>
        <w:tc>
          <w:tcPr>
            <w:tcW w:w="693" w:type="dxa"/>
            <w:noWrap w:val="0"/>
            <w:vAlign w:val="center"/>
          </w:tcPr>
          <w:p>
            <w:pPr>
              <w:widowControl/>
              <w:adjustRightInd w:val="0"/>
              <w:snapToGrid w:val="0"/>
              <w:spacing w:line="264"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p>
        </w:tc>
        <w:tc>
          <w:tcPr>
            <w:tcW w:w="696" w:type="dxa"/>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p>
        </w:tc>
        <w:tc>
          <w:tcPr>
            <w:tcW w:w="1800" w:type="dxa"/>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依法取得排污许可证并按证排污。</w:t>
            </w:r>
          </w:p>
        </w:tc>
        <w:tc>
          <w:tcPr>
            <w:tcW w:w="5690" w:type="dxa"/>
            <w:gridSpan w:val="2"/>
            <w:noWrap w:val="0"/>
            <w:vAlign w:val="center"/>
          </w:tcPr>
          <w:p>
            <w:pPr>
              <w:widowControl/>
              <w:adjustRightInd w:val="0"/>
              <w:snapToGrid w:val="0"/>
              <w:spacing w:line="276"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依法取得排污许可证</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许可证中按照技术规范对工业固体废物提出明确环境管理要求</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对工业固体废物的贮存、自行利用处置和委托外单位利用处置符合许可证要求</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按要求及时提交台账记录和执行报告。得</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分。</w:t>
            </w:r>
          </w:p>
          <w:p>
            <w:pPr>
              <w:widowControl/>
              <w:adjustRightInd w:val="0"/>
              <w:snapToGrid w:val="0"/>
              <w:spacing w:line="276"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依法取得排污许可证</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对工业固体废物的贮存、自行利用处置和委托外单位利用处置符合许可证要求</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但未按要求及时提交台账记录和执行报告。得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p>
          <w:p>
            <w:pPr>
              <w:widowControl/>
              <w:adjustRightInd w:val="0"/>
              <w:snapToGrid w:val="0"/>
              <w:spacing w:line="276"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未依法取得排污许可证</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或依法取得了排污许可证</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但对工业固体废物的贮存、自行利用处置和委托外单位利用处置不符合许可证要求</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未及时提交台账记录和执行报告。得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1854" w:type="dxa"/>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查阅相关资料、现场核查</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823" w:hRule="atLeast"/>
          <w:jc w:val="center"/>
        </w:trPr>
        <w:tc>
          <w:tcPr>
            <w:tcW w:w="1309" w:type="dxa"/>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五、台账和申报制度（《固废法》第七十八条）</w:t>
            </w:r>
          </w:p>
        </w:tc>
        <w:tc>
          <w:tcPr>
            <w:tcW w:w="1516" w:type="dxa"/>
            <w:gridSpan w:val="2"/>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7.</w:t>
            </w:r>
            <w:r>
              <w:rPr>
                <w:rFonts w:hint="default" w:ascii="Times New Roman" w:hAnsi="Times New Roman" w:eastAsia="宋体" w:cs="Times New Roman"/>
                <w:color w:val="000000"/>
                <w:spacing w:val="-4"/>
                <w:kern w:val="0"/>
                <w:sz w:val="21"/>
                <w:szCs w:val="21"/>
              </w:rPr>
              <w:t>按照国家有关规定建立危险废物管理台账</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如实记录有关信息。</w:t>
            </w:r>
          </w:p>
        </w:tc>
        <w:tc>
          <w:tcPr>
            <w:tcW w:w="693" w:type="dxa"/>
            <w:noWrap w:val="0"/>
            <w:vAlign w:val="center"/>
          </w:tcPr>
          <w:p>
            <w:pPr>
              <w:widowControl/>
              <w:adjustRightInd w:val="0"/>
              <w:snapToGrid w:val="0"/>
              <w:spacing w:line="264"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6</w:t>
            </w:r>
          </w:p>
        </w:tc>
        <w:tc>
          <w:tcPr>
            <w:tcW w:w="696" w:type="dxa"/>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p>
        </w:tc>
        <w:tc>
          <w:tcPr>
            <w:tcW w:w="1800" w:type="dxa"/>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如实记录；内容齐全；能提供证明材料</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证明所记录数据的真实性和合理性。</w:t>
            </w:r>
          </w:p>
        </w:tc>
        <w:tc>
          <w:tcPr>
            <w:tcW w:w="5690" w:type="dxa"/>
            <w:gridSpan w:val="2"/>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全面、准确地记录了危险废物产生、入库、出库、自行利用处置等各环节危险废物在企业内部流转情况；且可提供各环节台账记录表等证明材料。得</w:t>
            </w:r>
            <w:r>
              <w:rPr>
                <w:rFonts w:ascii="Times New Roman" w:hAnsi="Times New Roman" w:eastAsia="宋体" w:cs="Times New Roman"/>
                <w:color w:val="000000"/>
                <w:spacing w:val="-4"/>
                <w:kern w:val="0"/>
                <w:sz w:val="21"/>
                <w:szCs w:val="21"/>
              </w:rPr>
              <w:t>6</w:t>
            </w:r>
            <w:r>
              <w:rPr>
                <w:rFonts w:hint="default" w:ascii="Times New Roman" w:hAnsi="Times New Roman" w:eastAsia="宋体" w:cs="Times New Roman"/>
                <w:color w:val="000000"/>
                <w:spacing w:val="-4"/>
                <w:kern w:val="0"/>
                <w:sz w:val="21"/>
                <w:szCs w:val="21"/>
              </w:rPr>
              <w:t>分。</w:t>
            </w:r>
          </w:p>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记录内容中存在</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处及以下错误。得</w:t>
            </w: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分。</w:t>
            </w:r>
          </w:p>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不记录或虚假记录的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或记录内容中存在</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处以上错误。得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1854" w:type="dxa"/>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核对产生、入库、出库、利用处置等各环节数据的逻辑关系。</w:t>
            </w:r>
          </w:p>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危险废物管理台账同转移联单、经营单位管理台账进行核对。</w:t>
            </w:r>
          </w:p>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若不同环节间数据存在因挥发等因素造成的数据偏差</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判断是否在合理范围内。</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4719" w:hRule="atLeast"/>
          <w:jc w:val="center"/>
        </w:trPr>
        <w:tc>
          <w:tcPr>
            <w:tcW w:w="1309"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五、台账和申报制度（《固废法》第七十八条）</w:t>
            </w:r>
          </w:p>
        </w:tc>
        <w:tc>
          <w:tcPr>
            <w:tcW w:w="1516" w:type="dxa"/>
            <w:gridSpan w:val="2"/>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8.</w:t>
            </w:r>
            <w:r>
              <w:rPr>
                <w:rFonts w:hint="default" w:ascii="Times New Roman" w:hAnsi="Times New Roman" w:eastAsia="宋体" w:cs="Times New Roman"/>
                <w:color w:val="000000"/>
                <w:spacing w:val="-4"/>
                <w:kern w:val="0"/>
                <w:sz w:val="21"/>
                <w:szCs w:val="21"/>
              </w:rPr>
              <w:t>通过国家或省危险废物信息管理系统向所在地生态环境主管部门如实申报危险废物的种类、产生量、流向、贮存、处置等有关资料。</w:t>
            </w:r>
          </w:p>
        </w:tc>
        <w:tc>
          <w:tcPr>
            <w:tcW w:w="693" w:type="dxa"/>
            <w:noWrap w:val="0"/>
            <w:vAlign w:val="center"/>
          </w:tcPr>
          <w:p>
            <w:pPr>
              <w:widowControl/>
              <w:adjustRightInd w:val="0"/>
              <w:snapToGrid w:val="0"/>
              <w:spacing w:line="259"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4</w:t>
            </w:r>
          </w:p>
        </w:tc>
        <w:tc>
          <w:tcPr>
            <w:tcW w:w="696" w:type="dxa"/>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p>
        </w:tc>
        <w:tc>
          <w:tcPr>
            <w:tcW w:w="1800" w:type="dxa"/>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如实申报；内容齐全；能提供证明材料</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证明所申报数据的真实性和合理性。</w:t>
            </w:r>
          </w:p>
        </w:tc>
        <w:tc>
          <w:tcPr>
            <w:tcW w:w="5690" w:type="dxa"/>
            <w:gridSpan w:val="2"/>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全面、准确地申报了危险废物的种类、产生量、流向、贮存、利用、处置情况；且可提供证明材料（如危险废物管理台账、环评文件、竣工验收文件、危险废物转移联单、危险废物利用处置合同、财务数据等）。得</w:t>
            </w:r>
            <w:r>
              <w:rPr>
                <w:rFonts w:ascii="Times New Roman" w:hAnsi="Times New Roman" w:eastAsia="宋体" w:cs="Times New Roman"/>
                <w:color w:val="000000"/>
                <w:spacing w:val="-4"/>
                <w:kern w:val="0"/>
                <w:sz w:val="21"/>
                <w:szCs w:val="21"/>
              </w:rPr>
              <w:t>4</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申报内容中存在</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处及以下错误。得</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不报或虚报、漏报、瞒报危险废物的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或申报内容中关于危险废物的种类、产生量、流向、贮存、利用和处置情况存在</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处以上错误。得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1854" w:type="dxa"/>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至少抽选</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种产生量大的危险废物</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核实产生、贮存、转移、利用、处置全过程流向的合规合理性。</w:t>
            </w:r>
          </w:p>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查阅相关资料（由企业提供已经申报登记的证明材料和相应的其他证明材料）。</w:t>
            </w:r>
          </w:p>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比对该企业近</w:t>
            </w: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年申报资料</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查阅危险废物产生情况是否有较大变动。如有</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请企业提供说明材料。</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747" w:hRule="atLeast"/>
          <w:jc w:val="center"/>
        </w:trPr>
        <w:tc>
          <w:tcPr>
            <w:tcW w:w="1309"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六、源头分类制度（《固废法》第八十一条）</w:t>
            </w:r>
          </w:p>
        </w:tc>
        <w:tc>
          <w:tcPr>
            <w:tcW w:w="1516" w:type="dxa"/>
            <w:gridSpan w:val="2"/>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9.</w:t>
            </w:r>
            <w:r>
              <w:rPr>
                <w:rFonts w:hint="default" w:ascii="Times New Roman" w:hAnsi="Times New Roman" w:eastAsia="宋体" w:cs="Times New Roman"/>
                <w:color w:val="000000"/>
                <w:spacing w:val="-4"/>
                <w:kern w:val="0"/>
                <w:sz w:val="21"/>
                <w:szCs w:val="21"/>
              </w:rPr>
              <w:t>按照危险废物特性分类进行收集。</w:t>
            </w:r>
          </w:p>
        </w:tc>
        <w:tc>
          <w:tcPr>
            <w:tcW w:w="693" w:type="dxa"/>
            <w:noWrap w:val="0"/>
            <w:vAlign w:val="center"/>
          </w:tcPr>
          <w:p>
            <w:pPr>
              <w:widowControl/>
              <w:adjustRightInd w:val="0"/>
              <w:snapToGrid w:val="0"/>
              <w:spacing w:line="259"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p>
        </w:tc>
        <w:tc>
          <w:tcPr>
            <w:tcW w:w="696" w:type="dxa"/>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p>
        </w:tc>
        <w:tc>
          <w:tcPr>
            <w:tcW w:w="1800" w:type="dxa"/>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危险废物按种类分别收集、贮存。</w:t>
            </w:r>
          </w:p>
        </w:tc>
        <w:tc>
          <w:tcPr>
            <w:tcW w:w="5690" w:type="dxa"/>
            <w:gridSpan w:val="2"/>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A.</w:t>
            </w:r>
            <w:r>
              <w:rPr>
                <w:rFonts w:hint="default" w:ascii="Times New Roman" w:hAnsi="Times New Roman" w:eastAsia="宋体" w:cs="Times New Roman"/>
                <w:color w:val="000000"/>
                <w:spacing w:val="-4"/>
                <w:kern w:val="0"/>
                <w:sz w:val="21"/>
                <w:szCs w:val="21"/>
              </w:rPr>
              <w:t>所有危险废物产生环节均按种类分别收集。</w:t>
            </w:r>
          </w:p>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B.</w:t>
            </w:r>
            <w:r>
              <w:rPr>
                <w:rFonts w:hint="default" w:ascii="Times New Roman" w:hAnsi="Times New Roman" w:eastAsia="宋体" w:cs="Times New Roman"/>
                <w:color w:val="000000"/>
                <w:spacing w:val="-4"/>
                <w:kern w:val="0"/>
                <w:sz w:val="21"/>
                <w:szCs w:val="21"/>
              </w:rPr>
              <w:t>危险废物按种类分别存放</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不同废物间有明显间隔。</w:t>
            </w:r>
          </w:p>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br w:type="textWrapping"/>
            </w:r>
            <w:r>
              <w:rPr>
                <w:rFonts w:hint="default" w:ascii="Times New Roman" w:hAnsi="Times New Roman" w:eastAsia="宋体" w:cs="Times New Roman"/>
                <w:color w:val="000000"/>
                <w:spacing w:val="-4"/>
                <w:kern w:val="0"/>
                <w:sz w:val="21"/>
                <w:szCs w:val="21"/>
              </w:rPr>
              <w:t>以上每项符合得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共</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分。</w:t>
            </w:r>
          </w:p>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注：此条评估企业内部收集时的源头分类。</w:t>
            </w:r>
          </w:p>
        </w:tc>
        <w:tc>
          <w:tcPr>
            <w:tcW w:w="1854" w:type="dxa"/>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按照生产工艺流程</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现场核查所有危险废物产生环节分类收集情况。</w:t>
            </w:r>
          </w:p>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现场核查厂区内（不仅限于贮存设施）危险废物存放情况。</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986" w:hRule="atLeast"/>
          <w:jc w:val="center"/>
        </w:trPr>
        <w:tc>
          <w:tcPr>
            <w:tcW w:w="1309" w:type="dxa"/>
            <w:vMerge w:val="restart"/>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七、转移制度（《固废法》第三十七条、第八十二条）</w:t>
            </w:r>
          </w:p>
        </w:tc>
        <w:tc>
          <w:tcPr>
            <w:tcW w:w="1516" w:type="dxa"/>
            <w:gridSpan w:val="2"/>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10.</w:t>
            </w:r>
            <w:r>
              <w:rPr>
                <w:rFonts w:hint="default" w:ascii="Times New Roman" w:hAnsi="Times New Roman" w:eastAsia="宋体" w:cs="Times New Roman"/>
                <w:color w:val="000000"/>
                <w:spacing w:val="-4"/>
                <w:kern w:val="0"/>
                <w:sz w:val="21"/>
                <w:szCs w:val="21"/>
              </w:rPr>
              <w:t>产生工业固体废物的单位委托他人运输、利用、处置工业固体废物的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应当对受托方的主体资格和技术能力进行核实</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依法签订书面合同</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在合同中约定污染防治要求。</w:t>
            </w:r>
          </w:p>
        </w:tc>
        <w:tc>
          <w:tcPr>
            <w:tcW w:w="693" w:type="dxa"/>
            <w:noWrap w:val="0"/>
            <w:vAlign w:val="center"/>
          </w:tcPr>
          <w:p>
            <w:pPr>
              <w:widowControl/>
              <w:adjustRightInd w:val="0"/>
              <w:snapToGrid w:val="0"/>
              <w:spacing w:line="228"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5</w:t>
            </w:r>
          </w:p>
        </w:tc>
        <w:tc>
          <w:tcPr>
            <w:tcW w:w="696" w:type="dxa"/>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p>
        </w:tc>
        <w:tc>
          <w:tcPr>
            <w:tcW w:w="1800" w:type="dxa"/>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核实受托方的主体资格和技术能力。</w:t>
            </w:r>
          </w:p>
        </w:tc>
        <w:tc>
          <w:tcPr>
            <w:tcW w:w="5690" w:type="dxa"/>
            <w:gridSpan w:val="2"/>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A.</w:t>
            </w:r>
            <w:r>
              <w:rPr>
                <w:rFonts w:hint="default" w:ascii="Times New Roman" w:hAnsi="Times New Roman" w:eastAsia="宋体" w:cs="Times New Roman"/>
                <w:color w:val="000000"/>
                <w:spacing w:val="-4"/>
                <w:kern w:val="0"/>
                <w:sz w:val="21"/>
                <w:szCs w:val="21"/>
              </w:rPr>
              <w:t>对受托方的主体资格和技术能力进行核实</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且可提供证明材料。</w:t>
            </w:r>
          </w:p>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B.</w:t>
            </w:r>
            <w:r>
              <w:rPr>
                <w:rFonts w:hint="default" w:ascii="Times New Roman" w:hAnsi="Times New Roman" w:eastAsia="宋体" w:cs="Times New Roman"/>
                <w:color w:val="000000"/>
                <w:spacing w:val="-4"/>
                <w:kern w:val="0"/>
                <w:sz w:val="21"/>
                <w:szCs w:val="21"/>
              </w:rPr>
              <w:t>及时核对受托方收集、利用或者处置相关危险废物情况</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且可提供证明材料。</w:t>
            </w:r>
          </w:p>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p>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以上每项符合得</w:t>
            </w:r>
            <w:r>
              <w:rPr>
                <w:rFonts w:ascii="Times New Roman" w:hAnsi="Times New Roman" w:eastAsia="宋体" w:cs="Times New Roman"/>
                <w:color w:val="000000"/>
                <w:spacing w:val="-4"/>
                <w:kern w:val="0"/>
                <w:sz w:val="21"/>
                <w:szCs w:val="21"/>
              </w:rPr>
              <w:t>2.5</w:t>
            </w:r>
            <w:r>
              <w:rPr>
                <w:rFonts w:hint="default" w:ascii="Times New Roman" w:hAnsi="Times New Roman" w:eastAsia="宋体" w:cs="Times New Roman"/>
                <w:color w:val="000000"/>
                <w:spacing w:val="-4"/>
                <w:kern w:val="0"/>
                <w:sz w:val="21"/>
                <w:szCs w:val="21"/>
              </w:rPr>
              <w:t>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共</w:t>
            </w:r>
            <w:r>
              <w:rPr>
                <w:rFonts w:ascii="Times New Roman" w:hAnsi="Times New Roman" w:eastAsia="宋体" w:cs="Times New Roman"/>
                <w:color w:val="000000"/>
                <w:spacing w:val="-4"/>
                <w:kern w:val="0"/>
                <w:sz w:val="21"/>
                <w:szCs w:val="21"/>
              </w:rPr>
              <w:t>5</w:t>
            </w:r>
            <w:r>
              <w:rPr>
                <w:rFonts w:hint="default" w:ascii="Times New Roman" w:hAnsi="Times New Roman" w:eastAsia="宋体" w:cs="Times New Roman"/>
                <w:color w:val="000000"/>
                <w:spacing w:val="-4"/>
                <w:kern w:val="0"/>
                <w:sz w:val="21"/>
                <w:szCs w:val="21"/>
              </w:rPr>
              <w:t>分。</w:t>
            </w:r>
          </w:p>
        </w:tc>
        <w:tc>
          <w:tcPr>
            <w:tcW w:w="1854" w:type="dxa"/>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查阅相关资料（如受托方危险废物经营许可证及其附件的复印件等）。</w:t>
            </w:r>
          </w:p>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实地或电话同受托方核实</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包括转移联单同产废单位的台账核实；转移联单同经营单位的经营管理台账核实。</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454" w:hRule="atLeast"/>
          <w:jc w:val="center"/>
        </w:trPr>
        <w:tc>
          <w:tcPr>
            <w:tcW w:w="1309" w:type="dxa"/>
            <w:vMerge w:val="continue"/>
            <w:noWrap w:val="0"/>
            <w:vAlign w:val="center"/>
          </w:tcPr>
          <w:p>
            <w:pPr>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1516" w:type="dxa"/>
            <w:gridSpan w:val="2"/>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11.</w:t>
            </w:r>
            <w:r>
              <w:rPr>
                <w:rFonts w:hint="default" w:ascii="Times New Roman" w:hAnsi="Times New Roman" w:eastAsia="宋体" w:cs="Times New Roman"/>
                <w:color w:val="000000"/>
                <w:spacing w:val="-4"/>
                <w:kern w:val="0"/>
                <w:sz w:val="21"/>
                <w:szCs w:val="21"/>
              </w:rPr>
              <w:t>转移危险废物的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按照危险废物转移有关规定</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如实填写、运行转移联单。</w:t>
            </w:r>
          </w:p>
        </w:tc>
        <w:tc>
          <w:tcPr>
            <w:tcW w:w="693" w:type="dxa"/>
            <w:noWrap w:val="0"/>
            <w:vAlign w:val="center"/>
          </w:tcPr>
          <w:p>
            <w:pPr>
              <w:widowControl/>
              <w:adjustRightInd w:val="0"/>
              <w:snapToGrid w:val="0"/>
              <w:spacing w:line="228"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4</w:t>
            </w:r>
          </w:p>
        </w:tc>
        <w:tc>
          <w:tcPr>
            <w:tcW w:w="696" w:type="dxa"/>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p>
        </w:tc>
        <w:tc>
          <w:tcPr>
            <w:tcW w:w="1800" w:type="dxa"/>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按照实际转移的危险废物</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如实填写、运行危险废物转移联单。</w:t>
            </w:r>
          </w:p>
        </w:tc>
        <w:tc>
          <w:tcPr>
            <w:tcW w:w="5690" w:type="dxa"/>
            <w:gridSpan w:val="2"/>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转移危险废物的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按照危险废物转移有关规定通过国家危险废物信息管理系统如实填写、运行电子联单。得</w:t>
            </w:r>
            <w:r>
              <w:rPr>
                <w:rFonts w:ascii="Times New Roman" w:hAnsi="Times New Roman" w:eastAsia="宋体" w:cs="Times New Roman"/>
                <w:color w:val="000000"/>
                <w:spacing w:val="-4"/>
                <w:kern w:val="0"/>
                <w:sz w:val="21"/>
                <w:szCs w:val="21"/>
              </w:rPr>
              <w:t>4</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联单填写不规范</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存在</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处及以下错填、漏填等情况。得</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未运行联单擅自转移危险废物或联单填写存在错填、漏填在</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处以上。得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1854" w:type="dxa"/>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现场查看转移联单</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并结合台账记录、环评文件等材料进行核对。</w:t>
            </w:r>
          </w:p>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至少抽选</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种转移量大的危险废物</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核实产生、贮存、转移、利用、处置全过程流向的合规合理性。</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425" w:hRule="atLeast"/>
          <w:jc w:val="center"/>
        </w:trPr>
        <w:tc>
          <w:tcPr>
            <w:tcW w:w="1309" w:type="dxa"/>
            <w:vMerge w:val="continue"/>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1516" w:type="dxa"/>
            <w:gridSpan w:val="2"/>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12.</w:t>
            </w:r>
            <w:r>
              <w:rPr>
                <w:rFonts w:hint="default" w:ascii="Times New Roman" w:hAnsi="Times New Roman" w:eastAsia="宋体" w:cs="Times New Roman"/>
                <w:color w:val="000000"/>
                <w:spacing w:val="-4"/>
                <w:kern w:val="0"/>
                <w:sz w:val="21"/>
                <w:szCs w:val="21"/>
              </w:rPr>
              <w:t>跨省、自治区、直辖市转移危险废物的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应当向危险废物移出地省、自治区、直辖市人民政府生态环境主管部门申请。</w:t>
            </w:r>
          </w:p>
        </w:tc>
        <w:tc>
          <w:tcPr>
            <w:tcW w:w="693" w:type="dxa"/>
            <w:noWrap w:val="0"/>
            <w:vAlign w:val="center"/>
          </w:tcPr>
          <w:p>
            <w:pPr>
              <w:widowControl/>
              <w:adjustRightInd w:val="0"/>
              <w:snapToGrid w:val="0"/>
              <w:spacing w:line="228"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p>
        </w:tc>
        <w:tc>
          <w:tcPr>
            <w:tcW w:w="696" w:type="dxa"/>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p>
        </w:tc>
        <w:tc>
          <w:tcPr>
            <w:tcW w:w="1800" w:type="dxa"/>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向移出地省级生态环境主管部门申请并获得批准。</w:t>
            </w:r>
          </w:p>
        </w:tc>
        <w:tc>
          <w:tcPr>
            <w:tcW w:w="5690" w:type="dxa"/>
            <w:gridSpan w:val="2"/>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跨省、自治区、直辖市转移危险废物的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在转移危险废物前向移出地省级生态环境主管部门申请并得到批准。得</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分。</w:t>
            </w:r>
          </w:p>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未获得省级生态环境主管部门批准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擅自转移危险废物。得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1854" w:type="dxa"/>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查阅相关资料（查看批准证明）</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692" w:hRule="atLeast"/>
          <w:jc w:val="center"/>
        </w:trPr>
        <w:tc>
          <w:tcPr>
            <w:tcW w:w="1309" w:type="dxa"/>
            <w:vMerge w:val="restart"/>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八、环境应急预案备案制度（《固废法》第八十五条）</w:t>
            </w:r>
          </w:p>
        </w:tc>
        <w:tc>
          <w:tcPr>
            <w:tcW w:w="1516" w:type="dxa"/>
            <w:gridSpan w:val="2"/>
            <w:noWrap w:val="0"/>
            <w:vAlign w:val="center"/>
          </w:tcPr>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13.</w:t>
            </w:r>
            <w:r>
              <w:rPr>
                <w:rFonts w:hint="default" w:ascii="Times New Roman" w:hAnsi="Times New Roman" w:eastAsia="宋体" w:cs="Times New Roman"/>
                <w:color w:val="000000"/>
                <w:spacing w:val="-4"/>
                <w:kern w:val="0"/>
                <w:sz w:val="21"/>
                <w:szCs w:val="21"/>
              </w:rPr>
              <w:t>依法制定意外事故的环境污染防范措施和应急预案。</w:t>
            </w:r>
          </w:p>
        </w:tc>
        <w:tc>
          <w:tcPr>
            <w:tcW w:w="693" w:type="dxa"/>
            <w:noWrap w:val="0"/>
            <w:vAlign w:val="center"/>
          </w:tcPr>
          <w:p>
            <w:pPr>
              <w:widowControl/>
              <w:adjustRightInd w:val="0"/>
              <w:snapToGrid w:val="0"/>
              <w:spacing w:line="252"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p>
        </w:tc>
        <w:tc>
          <w:tcPr>
            <w:tcW w:w="696" w:type="dxa"/>
            <w:noWrap w:val="0"/>
            <w:vAlign w:val="center"/>
          </w:tcPr>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p>
        </w:tc>
        <w:tc>
          <w:tcPr>
            <w:tcW w:w="1800" w:type="dxa"/>
            <w:noWrap w:val="0"/>
            <w:vAlign w:val="center"/>
          </w:tcPr>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有意外事故应急预案（综合性应急预案有危险废物相关篇章或有危险废物专门应急预案）。</w:t>
            </w:r>
          </w:p>
        </w:tc>
        <w:tc>
          <w:tcPr>
            <w:tcW w:w="5690" w:type="dxa"/>
            <w:gridSpan w:val="2"/>
            <w:noWrap w:val="0"/>
            <w:vAlign w:val="center"/>
          </w:tcPr>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A.</w:t>
            </w:r>
            <w:r>
              <w:rPr>
                <w:rFonts w:hint="default" w:ascii="Times New Roman" w:hAnsi="Times New Roman" w:eastAsia="宋体" w:cs="Times New Roman"/>
                <w:color w:val="000000"/>
                <w:spacing w:val="-4"/>
                <w:kern w:val="0"/>
                <w:sz w:val="21"/>
                <w:szCs w:val="21"/>
              </w:rPr>
              <w:t>应急预案有明确的管理机构及负责人。</w:t>
            </w:r>
          </w:p>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B.</w:t>
            </w:r>
            <w:r>
              <w:rPr>
                <w:rFonts w:hint="default" w:ascii="Times New Roman" w:hAnsi="Times New Roman" w:eastAsia="宋体" w:cs="Times New Roman"/>
                <w:color w:val="000000"/>
                <w:spacing w:val="-4"/>
                <w:kern w:val="0"/>
                <w:sz w:val="21"/>
                <w:szCs w:val="21"/>
              </w:rPr>
              <w:t>有意外事故的情形及相应的处理措施。</w:t>
            </w:r>
          </w:p>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C.</w:t>
            </w:r>
            <w:r>
              <w:rPr>
                <w:rFonts w:hint="default" w:ascii="Times New Roman" w:hAnsi="Times New Roman" w:eastAsia="宋体" w:cs="Times New Roman"/>
                <w:color w:val="000000"/>
                <w:spacing w:val="-4"/>
                <w:kern w:val="0"/>
                <w:sz w:val="21"/>
                <w:szCs w:val="21"/>
              </w:rPr>
              <w:t>有应急预案中要求配置的应急装备及物资。</w:t>
            </w:r>
          </w:p>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D.</w:t>
            </w:r>
            <w:r>
              <w:rPr>
                <w:rFonts w:hint="default" w:ascii="Times New Roman" w:hAnsi="Times New Roman" w:eastAsia="宋体" w:cs="Times New Roman"/>
                <w:color w:val="000000"/>
                <w:spacing w:val="-4"/>
                <w:kern w:val="0"/>
                <w:sz w:val="21"/>
                <w:szCs w:val="21"/>
              </w:rPr>
              <w:t>内部及外部环境发生改变时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及时对应急预案进行修订。</w:t>
            </w:r>
          </w:p>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制定了环境应急预案且达到以上全部要求。得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未制定环境应急预案</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或制定的环境应急预案不能达到上述</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项以上要求。得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1854"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查阅相关资料（查看环境应急预案）、现场核查</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1783" w:hRule="atLeast"/>
          <w:jc w:val="center"/>
        </w:trPr>
        <w:tc>
          <w:tcPr>
            <w:tcW w:w="1309" w:type="dxa"/>
            <w:vMerge w:val="continue"/>
            <w:noWrap w:val="0"/>
            <w:vAlign w:val="center"/>
          </w:tcPr>
          <w:p>
            <w:pPr>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c>
          <w:tcPr>
            <w:tcW w:w="1516" w:type="dxa"/>
            <w:gridSpan w:val="2"/>
            <w:noWrap w:val="0"/>
            <w:vAlign w:val="center"/>
          </w:tcPr>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14.</w:t>
            </w:r>
            <w:r>
              <w:rPr>
                <w:rFonts w:hint="default" w:ascii="Times New Roman" w:hAnsi="Times New Roman" w:eastAsia="宋体" w:cs="Times New Roman"/>
                <w:color w:val="000000"/>
                <w:spacing w:val="-4"/>
                <w:kern w:val="0"/>
                <w:sz w:val="21"/>
                <w:szCs w:val="21"/>
              </w:rPr>
              <w:t>向所在地生态环境主管部门和其他负有固体废物污染环境防治监督管理职责的部门备案。</w:t>
            </w:r>
          </w:p>
        </w:tc>
        <w:tc>
          <w:tcPr>
            <w:tcW w:w="693" w:type="dxa"/>
            <w:noWrap w:val="0"/>
            <w:vAlign w:val="center"/>
          </w:tcPr>
          <w:p>
            <w:pPr>
              <w:widowControl/>
              <w:adjustRightInd w:val="0"/>
              <w:snapToGrid w:val="0"/>
              <w:spacing w:line="252"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p>
        </w:tc>
        <w:tc>
          <w:tcPr>
            <w:tcW w:w="696" w:type="dxa"/>
            <w:noWrap w:val="0"/>
            <w:vAlign w:val="center"/>
          </w:tcPr>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p>
        </w:tc>
        <w:tc>
          <w:tcPr>
            <w:tcW w:w="1800" w:type="dxa"/>
            <w:noWrap w:val="0"/>
            <w:vAlign w:val="center"/>
          </w:tcPr>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在所在地生态环境主管部门和其他负有固体废物污染环境防治监督管理职责的部门备案。</w:t>
            </w:r>
          </w:p>
        </w:tc>
        <w:tc>
          <w:tcPr>
            <w:tcW w:w="5690" w:type="dxa"/>
            <w:gridSpan w:val="2"/>
            <w:noWrap w:val="0"/>
            <w:vAlign w:val="center"/>
          </w:tcPr>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环境应急预案报所在地生态环境主管部门和其他负有固体废物污染环境防治监督管理职责的部门备案</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有相关证明材料。得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未备案或无相关证明材料。得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1854"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查阅相关资料（查看备案证明）</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999" w:hRule="atLeast"/>
          <w:jc w:val="center"/>
        </w:trPr>
        <w:tc>
          <w:tcPr>
            <w:tcW w:w="1309" w:type="dxa"/>
            <w:vMerge w:val="continue"/>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c>
          <w:tcPr>
            <w:tcW w:w="1516" w:type="dxa"/>
            <w:gridSpan w:val="2"/>
            <w:noWrap w:val="0"/>
            <w:vAlign w:val="center"/>
          </w:tcPr>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15.</w:t>
            </w:r>
            <w:r>
              <w:rPr>
                <w:rFonts w:hint="default" w:ascii="Times New Roman" w:hAnsi="Times New Roman" w:eastAsia="宋体" w:cs="Times New Roman"/>
                <w:color w:val="000000"/>
                <w:spacing w:val="-4"/>
                <w:kern w:val="0"/>
                <w:sz w:val="21"/>
                <w:szCs w:val="21"/>
              </w:rPr>
              <w:t>按照预案要求定期组织应急演练。</w:t>
            </w:r>
          </w:p>
        </w:tc>
        <w:tc>
          <w:tcPr>
            <w:tcW w:w="693" w:type="dxa"/>
            <w:noWrap w:val="0"/>
            <w:vAlign w:val="center"/>
          </w:tcPr>
          <w:p>
            <w:pPr>
              <w:widowControl/>
              <w:adjustRightInd w:val="0"/>
              <w:snapToGrid w:val="0"/>
              <w:spacing w:line="252"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p>
        </w:tc>
        <w:tc>
          <w:tcPr>
            <w:tcW w:w="696" w:type="dxa"/>
            <w:noWrap w:val="0"/>
            <w:vAlign w:val="center"/>
          </w:tcPr>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p>
        </w:tc>
        <w:tc>
          <w:tcPr>
            <w:tcW w:w="1800" w:type="dxa"/>
            <w:noWrap w:val="0"/>
            <w:vAlign w:val="center"/>
          </w:tcPr>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按照预案要求定期组织环境应急演练。</w:t>
            </w:r>
          </w:p>
        </w:tc>
        <w:tc>
          <w:tcPr>
            <w:tcW w:w="5690" w:type="dxa"/>
            <w:gridSpan w:val="2"/>
            <w:noWrap w:val="0"/>
            <w:vAlign w:val="center"/>
          </w:tcPr>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对于危险废物年产生量在</w:t>
            </w:r>
            <w:r>
              <w:rPr>
                <w:rFonts w:ascii="Times New Roman" w:hAnsi="Times New Roman" w:eastAsia="宋体" w:cs="Times New Roman"/>
                <w:color w:val="000000"/>
                <w:spacing w:val="-4"/>
                <w:kern w:val="0"/>
                <w:sz w:val="21"/>
                <w:szCs w:val="21"/>
              </w:rPr>
              <w:t>10</w:t>
            </w:r>
            <w:r>
              <w:rPr>
                <w:rFonts w:hint="default" w:ascii="Times New Roman" w:hAnsi="Times New Roman" w:eastAsia="宋体" w:cs="Times New Roman"/>
                <w:color w:val="000000"/>
                <w:spacing w:val="-4"/>
                <w:kern w:val="0"/>
                <w:sz w:val="21"/>
                <w:szCs w:val="21"/>
              </w:rPr>
              <w:t>吨以下的企业：</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有图片、文字或视频记录。得</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无任何记载或不能够证明组织了环境应急演练。得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p>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对于危险废物年产生量</w:t>
            </w:r>
            <w:r>
              <w:rPr>
                <w:rFonts w:ascii="Times New Roman" w:hAnsi="Times New Roman" w:eastAsia="宋体" w:cs="Times New Roman"/>
                <w:color w:val="000000"/>
                <w:spacing w:val="-4"/>
                <w:kern w:val="0"/>
                <w:sz w:val="21"/>
                <w:szCs w:val="21"/>
              </w:rPr>
              <w:t>10</w:t>
            </w:r>
            <w:r>
              <w:rPr>
                <w:rFonts w:hint="default" w:ascii="Times New Roman" w:hAnsi="Times New Roman" w:eastAsia="宋体" w:cs="Times New Roman"/>
                <w:color w:val="000000"/>
                <w:spacing w:val="-4"/>
                <w:kern w:val="0"/>
                <w:sz w:val="21"/>
                <w:szCs w:val="21"/>
              </w:rPr>
              <w:t>吨（含）以上的企业</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以下每项要求符合得</w:t>
            </w:r>
            <w:r>
              <w:rPr>
                <w:rFonts w:ascii="Times New Roman" w:hAnsi="Times New Roman" w:eastAsia="宋体" w:cs="Times New Roman"/>
                <w:color w:val="000000"/>
                <w:spacing w:val="-4"/>
                <w:kern w:val="0"/>
                <w:sz w:val="21"/>
                <w:szCs w:val="21"/>
              </w:rPr>
              <w:t>0.5</w:t>
            </w:r>
            <w:r>
              <w:rPr>
                <w:rFonts w:hint="default" w:ascii="Times New Roman" w:hAnsi="Times New Roman" w:eastAsia="宋体" w:cs="Times New Roman"/>
                <w:color w:val="000000"/>
                <w:spacing w:val="-4"/>
                <w:kern w:val="0"/>
                <w:sz w:val="21"/>
                <w:szCs w:val="21"/>
              </w:rPr>
              <w:t>分；未组织环境应急演练的得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A.</w:t>
            </w:r>
            <w:r>
              <w:rPr>
                <w:rFonts w:hint="default" w:ascii="Times New Roman" w:hAnsi="Times New Roman" w:eastAsia="宋体" w:cs="Times New Roman"/>
                <w:color w:val="000000"/>
                <w:spacing w:val="-4"/>
                <w:kern w:val="0"/>
                <w:sz w:val="21"/>
                <w:szCs w:val="21"/>
              </w:rPr>
              <w:t>有详细的演练计划。</w:t>
            </w:r>
          </w:p>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B.</w:t>
            </w:r>
            <w:r>
              <w:rPr>
                <w:rFonts w:hint="default" w:ascii="Times New Roman" w:hAnsi="Times New Roman" w:eastAsia="宋体" w:cs="Times New Roman"/>
                <w:color w:val="000000"/>
                <w:spacing w:val="-4"/>
                <w:kern w:val="0"/>
                <w:sz w:val="21"/>
                <w:szCs w:val="21"/>
              </w:rPr>
              <w:t>有演练的图片、文字或视频记录。</w:t>
            </w:r>
          </w:p>
          <w:p>
            <w:pPr>
              <w:widowControl/>
              <w:adjustRightInd w:val="0"/>
              <w:snapToGrid w:val="0"/>
              <w:spacing w:line="252"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C.</w:t>
            </w:r>
            <w:r>
              <w:rPr>
                <w:rFonts w:hint="default" w:ascii="Times New Roman" w:hAnsi="Times New Roman" w:eastAsia="宋体" w:cs="Times New Roman"/>
                <w:color w:val="000000"/>
                <w:spacing w:val="-4"/>
                <w:kern w:val="0"/>
                <w:sz w:val="21"/>
                <w:szCs w:val="21"/>
              </w:rPr>
              <w:t>有演练后的总结材料。</w:t>
            </w:r>
          </w:p>
          <w:p>
            <w:pPr>
              <w:widowControl/>
              <w:adjustRightInd w:val="0"/>
              <w:snapToGrid w:val="0"/>
              <w:spacing w:line="252" w:lineRule="auto"/>
              <w:ind w:firstLine="0" w:firstLineChars="0"/>
              <w:rPr>
                <w:rFonts w:ascii="Times New Roman" w:hAnsi="Times New Roman" w:eastAsia="宋体" w:cs="Times New Roman"/>
                <w:color w:val="000000"/>
                <w:sz w:val="21"/>
                <w:szCs w:val="21"/>
              </w:rPr>
            </w:pPr>
            <w:r>
              <w:rPr>
                <w:rFonts w:ascii="Times New Roman" w:hAnsi="Times New Roman" w:eastAsia="宋体" w:cs="Times New Roman"/>
                <w:color w:val="000000"/>
                <w:spacing w:val="-4"/>
                <w:kern w:val="0"/>
                <w:sz w:val="21"/>
                <w:szCs w:val="21"/>
              </w:rPr>
              <w:t>D.</w:t>
            </w:r>
            <w:r>
              <w:rPr>
                <w:rFonts w:hint="default" w:ascii="Times New Roman" w:hAnsi="Times New Roman" w:eastAsia="宋体" w:cs="Times New Roman"/>
                <w:color w:val="000000"/>
                <w:spacing w:val="-4"/>
                <w:kern w:val="0"/>
                <w:sz w:val="21"/>
                <w:szCs w:val="21"/>
              </w:rPr>
              <w:t>参加演练人员熟悉意外事故的环境污染防范措施。</w:t>
            </w:r>
          </w:p>
        </w:tc>
        <w:tc>
          <w:tcPr>
            <w:tcW w:w="1854"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查阅相关资料（查看环境应急预案演练记录）、现场询问</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147" w:hRule="atLeast"/>
          <w:jc w:val="center"/>
        </w:trPr>
        <w:tc>
          <w:tcPr>
            <w:tcW w:w="1309" w:type="dxa"/>
            <w:vMerge w:val="restart"/>
            <w:noWrap w:val="0"/>
            <w:vAlign w:val="center"/>
          </w:tcPr>
          <w:p>
            <w:pPr>
              <w:widowControl/>
              <w:adjustRightInd w:val="0"/>
              <w:snapToGrid w:val="0"/>
              <w:spacing w:line="226"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九、贮存设施环境管理（《固废法》第十七条、第十八条、第七十九条）</w:t>
            </w:r>
          </w:p>
        </w:tc>
        <w:tc>
          <w:tcPr>
            <w:tcW w:w="1516" w:type="dxa"/>
            <w:gridSpan w:val="2"/>
            <w:noWrap w:val="0"/>
            <w:vAlign w:val="center"/>
          </w:tcPr>
          <w:p>
            <w:pPr>
              <w:widowControl/>
              <w:adjustRightInd w:val="0"/>
              <w:snapToGrid w:val="0"/>
              <w:spacing w:line="226" w:lineRule="auto"/>
              <w:ind w:firstLine="0" w:firstLineChars="0"/>
              <w:rPr>
                <w:rFonts w:ascii="Times New Roman" w:hAnsi="Times New Roman" w:eastAsia="宋体" w:cs="Times New Roman"/>
                <w:color w:val="000000"/>
                <w:spacing w:val="-6"/>
                <w:kern w:val="0"/>
                <w:sz w:val="21"/>
                <w:szCs w:val="21"/>
              </w:rPr>
            </w:pPr>
            <w:r>
              <w:rPr>
                <w:rFonts w:ascii="Times New Roman" w:hAnsi="Times New Roman" w:eastAsia="宋体" w:cs="Times New Roman"/>
                <w:color w:val="000000"/>
                <w:spacing w:val="-6"/>
                <w:kern w:val="0"/>
                <w:sz w:val="21"/>
                <w:szCs w:val="21"/>
              </w:rPr>
              <w:t>16.</w:t>
            </w:r>
            <w:r>
              <w:rPr>
                <w:rFonts w:hint="default" w:ascii="Times New Roman" w:hAnsi="Times New Roman" w:eastAsia="宋体" w:cs="Times New Roman"/>
                <w:color w:val="000000"/>
                <w:spacing w:val="-6"/>
                <w:kern w:val="0"/>
                <w:sz w:val="21"/>
                <w:szCs w:val="21"/>
              </w:rPr>
              <w:t>依法进行环境影响评价</w:t>
            </w:r>
            <w:r>
              <w:rPr>
                <w:rFonts w:hint="eastAsia" w:ascii="Times New Roman" w:hAnsi="Times New Roman" w:eastAsia="宋体" w:cs="Times New Roman"/>
                <w:color w:val="000000"/>
                <w:spacing w:val="-6"/>
                <w:kern w:val="0"/>
                <w:sz w:val="21"/>
                <w:szCs w:val="21"/>
                <w:lang w:eastAsia="zh-CN"/>
              </w:rPr>
              <w:t>，</w:t>
            </w:r>
            <w:r>
              <w:rPr>
                <w:rFonts w:hint="default" w:ascii="Times New Roman" w:hAnsi="Times New Roman" w:eastAsia="宋体" w:cs="Times New Roman"/>
                <w:color w:val="000000"/>
                <w:spacing w:val="-6"/>
                <w:kern w:val="0"/>
                <w:sz w:val="21"/>
                <w:szCs w:val="21"/>
              </w:rPr>
              <w:t>完成</w:t>
            </w:r>
            <w:r>
              <w:rPr>
                <w:rFonts w:hint="eastAsia" w:ascii="Times New Roman" w:hAnsi="Times New Roman" w:eastAsia="宋体" w:cs="Times New Roman"/>
                <w:color w:val="000000"/>
                <w:spacing w:val="-6"/>
                <w:kern w:val="0"/>
                <w:sz w:val="21"/>
                <w:szCs w:val="21"/>
                <w:lang w:eastAsia="zh-CN"/>
              </w:rPr>
              <w:t>“</w:t>
            </w:r>
            <w:r>
              <w:rPr>
                <w:rFonts w:hint="default" w:ascii="Times New Roman" w:hAnsi="Times New Roman" w:eastAsia="宋体" w:cs="Times New Roman"/>
                <w:color w:val="000000"/>
                <w:spacing w:val="-6"/>
                <w:kern w:val="0"/>
                <w:sz w:val="21"/>
                <w:szCs w:val="21"/>
              </w:rPr>
              <w:t>三同时</w:t>
            </w:r>
            <w:r>
              <w:rPr>
                <w:rFonts w:hint="eastAsia" w:ascii="Times New Roman" w:hAnsi="Times New Roman" w:eastAsia="宋体" w:cs="Times New Roman"/>
                <w:color w:val="000000"/>
                <w:spacing w:val="-6"/>
                <w:kern w:val="0"/>
                <w:sz w:val="21"/>
                <w:szCs w:val="21"/>
                <w:lang w:eastAsia="zh-CN"/>
              </w:rPr>
              <w:t>”</w:t>
            </w:r>
            <w:r>
              <w:rPr>
                <w:rFonts w:hint="default" w:ascii="Times New Roman" w:hAnsi="Times New Roman" w:eastAsia="宋体" w:cs="Times New Roman"/>
                <w:color w:val="000000"/>
                <w:spacing w:val="-6"/>
                <w:kern w:val="0"/>
                <w:sz w:val="21"/>
                <w:szCs w:val="21"/>
              </w:rPr>
              <w:t>验收。</w:t>
            </w:r>
          </w:p>
        </w:tc>
        <w:tc>
          <w:tcPr>
            <w:tcW w:w="693" w:type="dxa"/>
            <w:noWrap w:val="0"/>
            <w:vAlign w:val="center"/>
          </w:tcPr>
          <w:p>
            <w:pPr>
              <w:widowControl/>
              <w:adjustRightInd w:val="0"/>
              <w:snapToGrid w:val="0"/>
              <w:spacing w:line="226"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p>
        </w:tc>
        <w:tc>
          <w:tcPr>
            <w:tcW w:w="696" w:type="dxa"/>
            <w:noWrap w:val="0"/>
            <w:vAlign w:val="center"/>
          </w:tcPr>
          <w:p>
            <w:pPr>
              <w:widowControl/>
              <w:adjustRightInd w:val="0"/>
              <w:snapToGrid w:val="0"/>
              <w:spacing w:line="226" w:lineRule="auto"/>
              <w:ind w:firstLine="0" w:firstLineChars="0"/>
              <w:rPr>
                <w:rFonts w:ascii="Times New Roman" w:hAnsi="Times New Roman" w:eastAsia="宋体" w:cs="Times New Roman"/>
                <w:color w:val="000000"/>
                <w:spacing w:val="-4"/>
                <w:kern w:val="0"/>
                <w:sz w:val="21"/>
                <w:szCs w:val="21"/>
              </w:rPr>
            </w:pPr>
          </w:p>
        </w:tc>
        <w:tc>
          <w:tcPr>
            <w:tcW w:w="1800" w:type="dxa"/>
            <w:noWrap w:val="0"/>
            <w:vAlign w:val="center"/>
          </w:tcPr>
          <w:p>
            <w:pPr>
              <w:widowControl/>
              <w:adjustRightInd w:val="0"/>
              <w:snapToGrid w:val="0"/>
              <w:spacing w:line="226"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有环评材料</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并完成</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三同时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验收。</w:t>
            </w:r>
          </w:p>
        </w:tc>
        <w:tc>
          <w:tcPr>
            <w:tcW w:w="5690" w:type="dxa"/>
            <w:gridSpan w:val="2"/>
            <w:noWrap w:val="0"/>
            <w:vAlign w:val="center"/>
          </w:tcPr>
          <w:p>
            <w:pPr>
              <w:widowControl/>
              <w:adjustRightInd w:val="0"/>
              <w:snapToGrid w:val="0"/>
              <w:spacing w:line="226"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环境影响评价文件对全部危险废物贮存设施进行了评价</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且完成了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三同时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验收或在验收期限内。得</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环境影响评价文件对全部危险废物贮存设施进行了评价</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但未完成</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三同时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验收。得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p>
          <w:p>
            <w:pPr>
              <w:widowControl/>
              <w:adjustRightInd w:val="0"/>
              <w:snapToGrid w:val="0"/>
              <w:spacing w:line="226"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环境影响评价文件对部分危险废物贮存设施进行了评价</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且完成了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三同时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验收或在验收期限内。得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8"/>
                <w:kern w:val="0"/>
                <w:sz w:val="21"/>
                <w:szCs w:val="21"/>
              </w:rPr>
              <w:t>4.</w:t>
            </w:r>
            <w:r>
              <w:rPr>
                <w:rFonts w:hint="default" w:ascii="Times New Roman" w:hAnsi="Times New Roman" w:eastAsia="宋体" w:cs="Times New Roman"/>
                <w:color w:val="000000"/>
                <w:spacing w:val="-8"/>
                <w:kern w:val="0"/>
                <w:sz w:val="21"/>
                <w:szCs w:val="21"/>
              </w:rPr>
              <w:t>环境影响评价文件未对危险废物贮存设施进行评价或危险废物实际贮存方式与环境影响评价文件不一致。得</w:t>
            </w:r>
            <w:r>
              <w:rPr>
                <w:rFonts w:ascii="Times New Roman" w:hAnsi="Times New Roman" w:eastAsia="宋体" w:cs="Times New Roman"/>
                <w:color w:val="000000"/>
                <w:spacing w:val="-8"/>
                <w:kern w:val="0"/>
                <w:sz w:val="21"/>
                <w:szCs w:val="21"/>
              </w:rPr>
              <w:t>0</w:t>
            </w:r>
            <w:r>
              <w:rPr>
                <w:rFonts w:hint="default" w:ascii="Times New Roman" w:hAnsi="Times New Roman" w:eastAsia="宋体" w:cs="Times New Roman"/>
                <w:color w:val="000000"/>
                <w:spacing w:val="-8"/>
                <w:kern w:val="0"/>
                <w:sz w:val="21"/>
                <w:szCs w:val="21"/>
              </w:rPr>
              <w:t>分。</w:t>
            </w:r>
          </w:p>
        </w:tc>
        <w:tc>
          <w:tcPr>
            <w:tcW w:w="1854"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查阅相关资料（查看环评材料及批复、验收报告等）</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418" w:hRule="atLeast"/>
          <w:jc w:val="center"/>
        </w:trPr>
        <w:tc>
          <w:tcPr>
            <w:tcW w:w="1309" w:type="dxa"/>
            <w:vMerge w:val="continue"/>
            <w:noWrap w:val="0"/>
            <w:vAlign w:val="top"/>
          </w:tcPr>
          <w:p>
            <w:pPr>
              <w:widowControl/>
              <w:adjustRightInd w:val="0"/>
              <w:snapToGrid w:val="0"/>
              <w:spacing w:line="226" w:lineRule="auto"/>
              <w:ind w:firstLine="0" w:firstLineChars="0"/>
              <w:rPr>
                <w:rFonts w:ascii="Times New Roman" w:hAnsi="Times New Roman" w:eastAsia="宋体" w:cs="Times New Roman"/>
                <w:color w:val="000000"/>
                <w:spacing w:val="-4"/>
                <w:kern w:val="0"/>
                <w:sz w:val="21"/>
                <w:szCs w:val="21"/>
              </w:rPr>
            </w:pPr>
          </w:p>
        </w:tc>
        <w:tc>
          <w:tcPr>
            <w:tcW w:w="1516" w:type="dxa"/>
            <w:gridSpan w:val="2"/>
            <w:noWrap w:val="0"/>
            <w:vAlign w:val="center"/>
          </w:tcPr>
          <w:p>
            <w:pPr>
              <w:widowControl/>
              <w:adjustRightInd w:val="0"/>
              <w:snapToGrid w:val="0"/>
              <w:spacing w:line="226"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17.</w:t>
            </w:r>
            <w:r>
              <w:rPr>
                <w:rFonts w:hint="default" w:ascii="Times New Roman" w:hAnsi="Times New Roman" w:eastAsia="宋体" w:cs="Times New Roman"/>
                <w:color w:val="000000"/>
                <w:spacing w:val="-4"/>
                <w:kern w:val="0"/>
                <w:sz w:val="21"/>
                <w:szCs w:val="21"/>
              </w:rPr>
              <w:t>按照国家有关规定和环境保护标准要求贮存危险废物。</w:t>
            </w:r>
          </w:p>
        </w:tc>
        <w:tc>
          <w:tcPr>
            <w:tcW w:w="693" w:type="dxa"/>
            <w:noWrap w:val="0"/>
            <w:vAlign w:val="center"/>
          </w:tcPr>
          <w:p>
            <w:pPr>
              <w:widowControl/>
              <w:adjustRightInd w:val="0"/>
              <w:snapToGrid w:val="0"/>
              <w:spacing w:line="226"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10</w:t>
            </w:r>
          </w:p>
        </w:tc>
        <w:tc>
          <w:tcPr>
            <w:tcW w:w="696" w:type="dxa"/>
            <w:noWrap w:val="0"/>
            <w:vAlign w:val="center"/>
          </w:tcPr>
          <w:p>
            <w:pPr>
              <w:widowControl/>
              <w:adjustRightInd w:val="0"/>
              <w:snapToGrid w:val="0"/>
              <w:spacing w:line="226" w:lineRule="auto"/>
              <w:ind w:firstLine="0" w:firstLineChars="0"/>
              <w:rPr>
                <w:rFonts w:ascii="Times New Roman" w:hAnsi="Times New Roman" w:eastAsia="宋体" w:cs="Times New Roman"/>
                <w:color w:val="000000"/>
                <w:spacing w:val="-4"/>
                <w:kern w:val="0"/>
                <w:sz w:val="21"/>
                <w:szCs w:val="21"/>
              </w:rPr>
            </w:pPr>
          </w:p>
        </w:tc>
        <w:tc>
          <w:tcPr>
            <w:tcW w:w="1800" w:type="dxa"/>
            <w:noWrap w:val="0"/>
            <w:vAlign w:val="center"/>
          </w:tcPr>
          <w:p>
            <w:pPr>
              <w:widowControl/>
              <w:adjustRightInd w:val="0"/>
              <w:snapToGrid w:val="0"/>
              <w:spacing w:line="226"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符合《危险废物贮存污染控制标准》的有关要求。</w:t>
            </w:r>
          </w:p>
        </w:tc>
        <w:tc>
          <w:tcPr>
            <w:tcW w:w="5690" w:type="dxa"/>
            <w:gridSpan w:val="2"/>
            <w:noWrap w:val="0"/>
            <w:vAlign w:val="top"/>
          </w:tcPr>
          <w:p>
            <w:pPr>
              <w:widowControl/>
              <w:adjustRightInd w:val="0"/>
              <w:snapToGrid w:val="0"/>
              <w:spacing w:line="226" w:lineRule="auto"/>
              <w:ind w:firstLine="0" w:firstLineChars="0"/>
              <w:rPr>
                <w:rFonts w:ascii="Times New Roman" w:hAnsi="Times New Roman" w:eastAsia="宋体" w:cs="Times New Roman"/>
                <w:color w:val="000000"/>
                <w:kern w:val="0"/>
                <w:sz w:val="21"/>
                <w:szCs w:val="21"/>
              </w:rPr>
            </w:pPr>
            <w:r>
              <w:rPr>
                <w:rFonts w:ascii="Times New Roman" w:hAnsi="Times New Roman" w:eastAsia="宋体" w:cs="Times New Roman"/>
                <w:color w:val="000000"/>
                <w:kern w:val="0"/>
                <w:sz w:val="21"/>
                <w:szCs w:val="21"/>
              </w:rPr>
              <w:t>A.</w:t>
            </w:r>
            <w:r>
              <w:rPr>
                <w:rFonts w:hint="default" w:ascii="Times New Roman" w:hAnsi="Times New Roman" w:eastAsia="宋体" w:cs="Times New Roman"/>
                <w:color w:val="000000"/>
                <w:kern w:val="0"/>
                <w:sz w:val="21"/>
                <w:szCs w:val="21"/>
              </w:rPr>
              <w:t>符合《危险废物贮存污染控制标准》一般要求</w:t>
            </w:r>
            <w:r>
              <w:rPr>
                <w:rFonts w:hint="eastAsia" w:ascii="Times New Roman" w:hAnsi="Times New Roman" w:eastAsia="宋体" w:cs="Times New Roman"/>
                <w:color w:val="000000"/>
                <w:kern w:val="0"/>
                <w:sz w:val="21"/>
                <w:szCs w:val="21"/>
                <w:lang w:eastAsia="zh-CN"/>
              </w:rPr>
              <w:t>，</w:t>
            </w:r>
            <w:r>
              <w:rPr>
                <w:rFonts w:hint="default" w:ascii="Times New Roman" w:hAnsi="Times New Roman" w:eastAsia="宋体" w:cs="Times New Roman"/>
                <w:color w:val="000000"/>
                <w:kern w:val="0"/>
                <w:sz w:val="21"/>
                <w:szCs w:val="21"/>
              </w:rPr>
              <w:t>按照危害特性分类贮存危险废物、未混合贮存性质不相容且未经安全性处置的危险废物、具备防渗漏功能或采取相应措施等。</w:t>
            </w:r>
          </w:p>
          <w:p>
            <w:pPr>
              <w:widowControl/>
              <w:adjustRightInd w:val="0"/>
              <w:snapToGrid w:val="0"/>
              <w:spacing w:line="226" w:lineRule="auto"/>
              <w:ind w:firstLine="0" w:firstLineChars="0"/>
              <w:rPr>
                <w:rFonts w:ascii="Times New Roman" w:hAnsi="Times New Roman" w:eastAsia="宋体" w:cs="Times New Roman"/>
                <w:color w:val="000000"/>
                <w:sz w:val="21"/>
                <w:szCs w:val="21"/>
              </w:rPr>
            </w:pPr>
            <w:r>
              <w:rPr>
                <w:rFonts w:ascii="Times New Roman" w:hAnsi="Times New Roman" w:eastAsia="宋体" w:cs="Times New Roman"/>
                <w:color w:val="000000"/>
                <w:kern w:val="0"/>
                <w:sz w:val="21"/>
                <w:szCs w:val="21"/>
              </w:rPr>
              <w:t>B.</w:t>
            </w:r>
            <w:r>
              <w:rPr>
                <w:rFonts w:hint="default" w:ascii="Times New Roman" w:hAnsi="Times New Roman" w:eastAsia="宋体" w:cs="Times New Roman"/>
                <w:color w:val="000000"/>
                <w:sz w:val="21"/>
                <w:szCs w:val="21"/>
              </w:rPr>
              <w:t>符合</w:t>
            </w:r>
            <w:r>
              <w:rPr>
                <w:rFonts w:hint="default" w:ascii="Times New Roman" w:hAnsi="Times New Roman" w:eastAsia="宋体" w:cs="Times New Roman"/>
                <w:color w:val="000000"/>
                <w:kern w:val="0"/>
                <w:sz w:val="21"/>
                <w:szCs w:val="21"/>
              </w:rPr>
              <w:t>《危险废物贮存污染控制标准》贮存容器有关要求</w:t>
            </w:r>
            <w:r>
              <w:rPr>
                <w:rFonts w:hint="eastAsia" w:ascii="Times New Roman" w:hAnsi="Times New Roman" w:eastAsia="宋体" w:cs="Times New Roman"/>
                <w:color w:val="000000"/>
                <w:kern w:val="0"/>
                <w:sz w:val="21"/>
                <w:szCs w:val="21"/>
                <w:lang w:eastAsia="zh-CN"/>
              </w:rPr>
              <w:t>，</w:t>
            </w:r>
            <w:r>
              <w:rPr>
                <w:rFonts w:hint="default" w:ascii="Times New Roman" w:hAnsi="Times New Roman" w:eastAsia="宋体" w:cs="Times New Roman"/>
                <w:color w:val="000000"/>
                <w:kern w:val="0"/>
                <w:sz w:val="21"/>
                <w:szCs w:val="21"/>
              </w:rPr>
              <w:t>装载危险废物的容器完好无损等</w:t>
            </w:r>
            <w:r>
              <w:rPr>
                <w:rFonts w:hint="default" w:ascii="Times New Roman" w:hAnsi="Times New Roman" w:eastAsia="宋体" w:cs="Times New Roman"/>
                <w:color w:val="000000"/>
                <w:sz w:val="21"/>
                <w:szCs w:val="21"/>
              </w:rPr>
              <w:t>。</w:t>
            </w:r>
          </w:p>
          <w:p>
            <w:pPr>
              <w:widowControl/>
              <w:adjustRightInd w:val="0"/>
              <w:snapToGrid w:val="0"/>
              <w:spacing w:line="226" w:lineRule="auto"/>
              <w:ind w:firstLine="0" w:firstLineChars="0"/>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C.</w:t>
            </w:r>
            <w:r>
              <w:rPr>
                <w:rFonts w:hint="default" w:ascii="Times New Roman" w:hAnsi="Times New Roman" w:eastAsia="宋体" w:cs="Times New Roman"/>
                <w:color w:val="000000"/>
                <w:kern w:val="0"/>
                <w:sz w:val="21"/>
                <w:szCs w:val="21"/>
              </w:rPr>
              <w:t>符合《危险废物贮存污染控制标准》污染物排放有关要求</w:t>
            </w:r>
            <w:r>
              <w:rPr>
                <w:rFonts w:hint="eastAsia" w:ascii="Times New Roman" w:hAnsi="Times New Roman" w:eastAsia="宋体" w:cs="Times New Roman"/>
                <w:color w:val="000000"/>
                <w:kern w:val="0"/>
                <w:sz w:val="21"/>
                <w:szCs w:val="21"/>
                <w:lang w:eastAsia="zh-CN"/>
              </w:rPr>
              <w:t>，</w:t>
            </w:r>
            <w:r>
              <w:rPr>
                <w:rFonts w:hint="default" w:ascii="Times New Roman" w:hAnsi="Times New Roman" w:eastAsia="宋体" w:cs="Times New Roman"/>
                <w:color w:val="000000"/>
                <w:sz w:val="21"/>
                <w:szCs w:val="21"/>
              </w:rPr>
              <w:t>危险废物贮存过程产生的各种污染物满足国家污染物排放（控制）标准等要求。</w:t>
            </w:r>
          </w:p>
          <w:p>
            <w:pPr>
              <w:widowControl/>
              <w:adjustRightInd w:val="0"/>
              <w:snapToGrid w:val="0"/>
              <w:spacing w:line="226" w:lineRule="auto"/>
              <w:ind w:firstLine="0" w:firstLineChars="0"/>
              <w:rPr>
                <w:rFonts w:ascii="Times New Roman" w:hAnsi="Times New Roman" w:eastAsia="宋体" w:cs="Times New Roman"/>
                <w:color w:val="000000"/>
                <w:kern w:val="0"/>
                <w:sz w:val="21"/>
                <w:szCs w:val="21"/>
              </w:rPr>
            </w:pPr>
            <w:r>
              <w:rPr>
                <w:rFonts w:ascii="Times New Roman" w:hAnsi="Times New Roman" w:eastAsia="宋体" w:cs="Times New Roman"/>
                <w:color w:val="000000"/>
                <w:sz w:val="21"/>
                <w:szCs w:val="21"/>
              </w:rPr>
              <w:t>D.</w:t>
            </w:r>
            <w:r>
              <w:rPr>
                <w:rFonts w:hint="default" w:ascii="Times New Roman" w:hAnsi="Times New Roman" w:eastAsia="宋体" w:cs="Times New Roman"/>
                <w:color w:val="000000"/>
                <w:kern w:val="0"/>
                <w:sz w:val="21"/>
                <w:szCs w:val="21"/>
              </w:rPr>
              <w:t>符合《危险废物贮存污染控制标准》监测有关要求</w:t>
            </w:r>
            <w:r>
              <w:rPr>
                <w:rFonts w:hint="eastAsia" w:ascii="Times New Roman" w:hAnsi="Times New Roman" w:eastAsia="宋体" w:cs="Times New Roman"/>
                <w:color w:val="000000"/>
                <w:kern w:val="0"/>
                <w:sz w:val="21"/>
                <w:szCs w:val="21"/>
                <w:lang w:eastAsia="zh-CN"/>
              </w:rPr>
              <w:t>，</w:t>
            </w:r>
            <w:r>
              <w:rPr>
                <w:rFonts w:hint="default" w:ascii="Times New Roman" w:hAnsi="Times New Roman" w:eastAsia="宋体" w:cs="Times New Roman"/>
                <w:color w:val="000000"/>
                <w:kern w:val="0"/>
                <w:sz w:val="21"/>
                <w:szCs w:val="21"/>
              </w:rPr>
              <w:t>按照有关规定开展自行监测等。</w:t>
            </w:r>
          </w:p>
          <w:p>
            <w:pPr>
              <w:widowControl/>
              <w:adjustRightInd w:val="0"/>
              <w:snapToGrid w:val="0"/>
              <w:spacing w:line="226" w:lineRule="auto"/>
              <w:ind w:firstLine="0" w:firstLineChars="0"/>
              <w:rPr>
                <w:rFonts w:ascii="Times New Roman" w:hAnsi="Times New Roman" w:eastAsia="宋体" w:cs="Times New Roman"/>
                <w:color w:val="000000"/>
                <w:kern w:val="0"/>
                <w:sz w:val="21"/>
                <w:szCs w:val="21"/>
              </w:rPr>
            </w:pPr>
          </w:p>
          <w:p>
            <w:pPr>
              <w:widowControl/>
              <w:adjustRightInd w:val="0"/>
              <w:snapToGrid w:val="0"/>
              <w:spacing w:line="226"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kern w:val="0"/>
                <w:sz w:val="21"/>
                <w:szCs w:val="21"/>
              </w:rPr>
              <w:t>以上每项符合得</w:t>
            </w:r>
            <w:r>
              <w:rPr>
                <w:rFonts w:ascii="Times New Roman" w:hAnsi="Times New Roman" w:eastAsia="宋体" w:cs="Times New Roman"/>
                <w:color w:val="000000"/>
                <w:kern w:val="0"/>
                <w:sz w:val="21"/>
                <w:szCs w:val="21"/>
              </w:rPr>
              <w:t>2.5</w:t>
            </w:r>
            <w:r>
              <w:rPr>
                <w:rFonts w:hint="default" w:ascii="Times New Roman" w:hAnsi="Times New Roman" w:eastAsia="宋体" w:cs="Times New Roman"/>
                <w:color w:val="000000"/>
                <w:kern w:val="0"/>
                <w:sz w:val="21"/>
                <w:szCs w:val="21"/>
              </w:rPr>
              <w:t>分</w:t>
            </w:r>
            <w:r>
              <w:rPr>
                <w:rFonts w:hint="eastAsia" w:ascii="Times New Roman" w:hAnsi="Times New Roman" w:eastAsia="宋体" w:cs="Times New Roman"/>
                <w:color w:val="000000"/>
                <w:kern w:val="0"/>
                <w:sz w:val="21"/>
                <w:szCs w:val="21"/>
                <w:lang w:eastAsia="zh-CN"/>
              </w:rPr>
              <w:t>，</w:t>
            </w:r>
            <w:r>
              <w:rPr>
                <w:rFonts w:hint="default" w:ascii="Times New Roman" w:hAnsi="Times New Roman" w:eastAsia="宋体" w:cs="Times New Roman"/>
                <w:color w:val="000000"/>
                <w:kern w:val="0"/>
                <w:sz w:val="21"/>
                <w:szCs w:val="21"/>
              </w:rPr>
              <w:t>共</w:t>
            </w:r>
            <w:r>
              <w:rPr>
                <w:rFonts w:ascii="Times New Roman" w:hAnsi="Times New Roman" w:eastAsia="宋体" w:cs="Times New Roman"/>
                <w:color w:val="000000"/>
                <w:kern w:val="0"/>
                <w:sz w:val="21"/>
                <w:szCs w:val="21"/>
              </w:rPr>
              <w:t>10</w:t>
            </w:r>
            <w:r>
              <w:rPr>
                <w:rFonts w:hint="default" w:ascii="Times New Roman" w:hAnsi="Times New Roman" w:eastAsia="宋体" w:cs="Times New Roman"/>
                <w:color w:val="000000"/>
                <w:kern w:val="0"/>
                <w:sz w:val="21"/>
                <w:szCs w:val="21"/>
              </w:rPr>
              <w:t>分。</w:t>
            </w:r>
          </w:p>
        </w:tc>
        <w:tc>
          <w:tcPr>
            <w:tcW w:w="1854"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现场核查厂区内（不仅限于贮存设施）危险废物存放情况</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重点核查是否存在随意堆存、与一般工业固体废物掺混等情形。</w:t>
            </w:r>
          </w:p>
        </w:tc>
        <w:tc>
          <w:tcPr>
            <w:tcW w:w="621" w:type="dxa"/>
            <w:noWrap w:val="0"/>
            <w:vAlign w:val="top"/>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1587" w:hRule="atLeast"/>
          <w:jc w:val="center"/>
        </w:trPr>
        <w:tc>
          <w:tcPr>
            <w:tcW w:w="1309" w:type="dxa"/>
            <w:noWrap w:val="0"/>
            <w:vAlign w:val="center"/>
          </w:tcPr>
          <w:p>
            <w:pPr>
              <w:widowControl/>
              <w:adjustRightInd w:val="0"/>
              <w:snapToGrid w:val="0"/>
              <w:spacing w:line="226"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十、信息发布（《固废法》第二十九条）</w:t>
            </w:r>
          </w:p>
        </w:tc>
        <w:tc>
          <w:tcPr>
            <w:tcW w:w="1516" w:type="dxa"/>
            <w:gridSpan w:val="2"/>
            <w:noWrap w:val="0"/>
            <w:vAlign w:val="center"/>
          </w:tcPr>
          <w:p>
            <w:pPr>
              <w:widowControl/>
              <w:adjustRightInd w:val="0"/>
              <w:snapToGrid w:val="0"/>
              <w:spacing w:line="226"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18.</w:t>
            </w:r>
            <w:r>
              <w:rPr>
                <w:rFonts w:hint="default" w:ascii="Times New Roman" w:hAnsi="Times New Roman" w:eastAsia="宋体" w:cs="Times New Roman"/>
                <w:color w:val="000000"/>
                <w:spacing w:val="-4"/>
                <w:kern w:val="0"/>
                <w:sz w:val="21"/>
                <w:szCs w:val="21"/>
              </w:rPr>
              <w:t>产生固体废物的单位</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应当依法及时公开固体废物污染环境防治信息</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主动接受社会监督。</w:t>
            </w:r>
          </w:p>
        </w:tc>
        <w:tc>
          <w:tcPr>
            <w:tcW w:w="693" w:type="dxa"/>
            <w:noWrap w:val="0"/>
            <w:vAlign w:val="center"/>
          </w:tcPr>
          <w:p>
            <w:pPr>
              <w:widowControl/>
              <w:adjustRightInd w:val="0"/>
              <w:snapToGrid w:val="0"/>
              <w:spacing w:line="226"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p>
        </w:tc>
        <w:tc>
          <w:tcPr>
            <w:tcW w:w="696" w:type="dxa"/>
            <w:noWrap w:val="0"/>
            <w:vAlign w:val="center"/>
          </w:tcPr>
          <w:p>
            <w:pPr>
              <w:widowControl/>
              <w:adjustRightInd w:val="0"/>
              <w:snapToGrid w:val="0"/>
              <w:spacing w:line="226" w:lineRule="auto"/>
              <w:ind w:firstLine="0" w:firstLineChars="0"/>
              <w:rPr>
                <w:rFonts w:ascii="Times New Roman" w:hAnsi="Times New Roman" w:eastAsia="宋体" w:cs="Times New Roman"/>
                <w:color w:val="000000"/>
                <w:spacing w:val="-4"/>
                <w:kern w:val="0"/>
                <w:sz w:val="21"/>
                <w:szCs w:val="21"/>
              </w:rPr>
            </w:pPr>
          </w:p>
        </w:tc>
        <w:tc>
          <w:tcPr>
            <w:tcW w:w="1800" w:type="dxa"/>
            <w:noWrap w:val="0"/>
            <w:vAlign w:val="center"/>
          </w:tcPr>
          <w:p>
            <w:pPr>
              <w:widowControl/>
              <w:adjustRightInd w:val="0"/>
              <w:snapToGrid w:val="0"/>
              <w:spacing w:line="226"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依法及时公开危险废物污染环境防治信息。</w:t>
            </w:r>
          </w:p>
        </w:tc>
        <w:tc>
          <w:tcPr>
            <w:tcW w:w="5690" w:type="dxa"/>
            <w:gridSpan w:val="2"/>
            <w:noWrap w:val="0"/>
            <w:vAlign w:val="center"/>
          </w:tcPr>
          <w:p>
            <w:pPr>
              <w:widowControl/>
              <w:adjustRightInd w:val="0"/>
              <w:snapToGrid w:val="0"/>
              <w:spacing w:line="226"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通过企业网站等途径依法公开当年危险废物污染环境防治信息。得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p>
          <w:p>
            <w:pPr>
              <w:widowControl/>
              <w:adjustRightInd w:val="0"/>
              <w:snapToGrid w:val="0"/>
              <w:spacing w:line="226"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未依法公开当年危险废物污染环境防治信息。得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1854"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425" w:hRule="atLeast"/>
          <w:jc w:val="center"/>
        </w:trPr>
        <w:tc>
          <w:tcPr>
            <w:tcW w:w="2825" w:type="dxa"/>
            <w:gridSpan w:val="3"/>
            <w:noWrap w:val="0"/>
            <w:vAlign w:val="center"/>
          </w:tcPr>
          <w:p>
            <w:pPr>
              <w:widowControl/>
              <w:adjustRightInd w:val="0"/>
              <w:snapToGrid w:val="0"/>
              <w:spacing w:line="240" w:lineRule="auto"/>
              <w:ind w:firstLine="0" w:firstLineChars="0"/>
              <w:jc w:val="center"/>
              <w:rPr>
                <w:rFonts w:ascii="Times New Roman" w:hAnsi="Times New Roman" w:eastAsia="宋体" w:cs="Times New Roman"/>
                <w:b/>
                <w:color w:val="000000"/>
                <w:spacing w:val="-4"/>
                <w:kern w:val="0"/>
                <w:sz w:val="21"/>
                <w:szCs w:val="21"/>
              </w:rPr>
            </w:pPr>
            <w:r>
              <w:rPr>
                <w:rFonts w:hint="default" w:ascii="Times New Roman" w:hAnsi="Times New Roman" w:eastAsia="宋体" w:cs="Times New Roman"/>
                <w:b/>
                <w:color w:val="000000"/>
                <w:spacing w:val="-4"/>
                <w:kern w:val="0"/>
                <w:sz w:val="21"/>
                <w:szCs w:val="21"/>
              </w:rPr>
              <w:t>合计</w:t>
            </w:r>
          </w:p>
        </w:tc>
        <w:tc>
          <w:tcPr>
            <w:tcW w:w="693"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50</w:t>
            </w:r>
          </w:p>
        </w:tc>
        <w:tc>
          <w:tcPr>
            <w:tcW w:w="696"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9965" w:type="dxa"/>
            <w:gridSpan w:val="5"/>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321" w:hRule="atLeast"/>
          <w:jc w:val="center"/>
        </w:trPr>
        <w:tc>
          <w:tcPr>
            <w:tcW w:w="1309" w:type="dxa"/>
            <w:vMerge w:val="restart"/>
            <w:noWrap w:val="0"/>
            <w:vAlign w:val="center"/>
          </w:tcPr>
          <w:p>
            <w:pPr>
              <w:adjustRightInd w:val="0"/>
              <w:snapToGrid w:val="0"/>
              <w:spacing w:line="259" w:lineRule="auto"/>
              <w:ind w:firstLine="0" w:firstLineChars="0"/>
              <w:jc w:val="left"/>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十一、利用设施环境管理（《固废法》第十七条、第十八条、第十九条、第七十九条）</w:t>
            </w:r>
          </w:p>
        </w:tc>
        <w:tc>
          <w:tcPr>
            <w:tcW w:w="1516" w:type="dxa"/>
            <w:gridSpan w:val="2"/>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6"/>
                <w:kern w:val="0"/>
                <w:sz w:val="21"/>
                <w:szCs w:val="21"/>
              </w:rPr>
            </w:pPr>
            <w:r>
              <w:rPr>
                <w:rFonts w:ascii="Times New Roman" w:hAnsi="Times New Roman" w:eastAsia="宋体" w:cs="Times New Roman"/>
                <w:color w:val="000000"/>
                <w:spacing w:val="-6"/>
                <w:kern w:val="0"/>
                <w:sz w:val="21"/>
                <w:szCs w:val="21"/>
              </w:rPr>
              <w:t>19.</w:t>
            </w:r>
            <w:r>
              <w:rPr>
                <w:rFonts w:hint="default" w:ascii="Times New Roman" w:hAnsi="Times New Roman" w:eastAsia="宋体" w:cs="Times New Roman"/>
                <w:color w:val="000000"/>
                <w:spacing w:val="-6"/>
                <w:kern w:val="0"/>
                <w:sz w:val="21"/>
                <w:szCs w:val="21"/>
              </w:rPr>
              <w:t>依法进行环境影响评价</w:t>
            </w:r>
            <w:r>
              <w:rPr>
                <w:rFonts w:hint="eastAsia" w:ascii="Times New Roman" w:hAnsi="Times New Roman" w:eastAsia="宋体" w:cs="Times New Roman"/>
                <w:color w:val="000000"/>
                <w:spacing w:val="-6"/>
                <w:kern w:val="0"/>
                <w:sz w:val="21"/>
                <w:szCs w:val="21"/>
                <w:lang w:eastAsia="zh-CN"/>
              </w:rPr>
              <w:t>，</w:t>
            </w:r>
            <w:r>
              <w:rPr>
                <w:rFonts w:hint="default" w:ascii="Times New Roman" w:hAnsi="Times New Roman" w:eastAsia="宋体" w:cs="Times New Roman"/>
                <w:color w:val="000000"/>
                <w:spacing w:val="-6"/>
                <w:kern w:val="0"/>
                <w:sz w:val="21"/>
                <w:szCs w:val="21"/>
              </w:rPr>
              <w:t>完成</w:t>
            </w:r>
            <w:r>
              <w:rPr>
                <w:rFonts w:hint="eastAsia" w:ascii="Times New Roman" w:hAnsi="Times New Roman" w:eastAsia="宋体" w:cs="Times New Roman"/>
                <w:color w:val="000000"/>
                <w:spacing w:val="-6"/>
                <w:kern w:val="0"/>
                <w:sz w:val="21"/>
                <w:szCs w:val="21"/>
                <w:lang w:eastAsia="zh-CN"/>
              </w:rPr>
              <w:t>“</w:t>
            </w:r>
            <w:r>
              <w:rPr>
                <w:rFonts w:hint="default" w:ascii="Times New Roman" w:hAnsi="Times New Roman" w:eastAsia="宋体" w:cs="Times New Roman"/>
                <w:color w:val="000000"/>
                <w:spacing w:val="-6"/>
                <w:kern w:val="0"/>
                <w:sz w:val="21"/>
                <w:szCs w:val="21"/>
              </w:rPr>
              <w:t>三同时</w:t>
            </w:r>
            <w:r>
              <w:rPr>
                <w:rFonts w:hint="eastAsia" w:ascii="Times New Roman" w:hAnsi="Times New Roman" w:eastAsia="宋体" w:cs="Times New Roman"/>
                <w:color w:val="000000"/>
                <w:spacing w:val="-6"/>
                <w:kern w:val="0"/>
                <w:sz w:val="21"/>
                <w:szCs w:val="21"/>
                <w:lang w:eastAsia="zh-CN"/>
              </w:rPr>
              <w:t>”</w:t>
            </w:r>
            <w:r>
              <w:rPr>
                <w:rFonts w:hint="default" w:ascii="Times New Roman" w:hAnsi="Times New Roman" w:eastAsia="宋体" w:cs="Times New Roman"/>
                <w:color w:val="000000"/>
                <w:spacing w:val="-6"/>
                <w:kern w:val="0"/>
                <w:sz w:val="21"/>
                <w:szCs w:val="21"/>
              </w:rPr>
              <w:t>验收。</w:t>
            </w:r>
          </w:p>
        </w:tc>
        <w:tc>
          <w:tcPr>
            <w:tcW w:w="693" w:type="dxa"/>
            <w:noWrap w:val="0"/>
            <w:vAlign w:val="center"/>
          </w:tcPr>
          <w:p>
            <w:pPr>
              <w:widowControl/>
              <w:adjustRightInd w:val="0"/>
              <w:snapToGrid w:val="0"/>
              <w:spacing w:line="259"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p>
        </w:tc>
        <w:tc>
          <w:tcPr>
            <w:tcW w:w="696" w:type="dxa"/>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p>
        </w:tc>
        <w:tc>
          <w:tcPr>
            <w:tcW w:w="1800" w:type="dxa"/>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有环评材料</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并完成</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三同时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验收。</w:t>
            </w:r>
          </w:p>
        </w:tc>
        <w:tc>
          <w:tcPr>
            <w:tcW w:w="5690" w:type="dxa"/>
            <w:gridSpan w:val="2"/>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环境影响评价文件对全部危险废物利用设施进行了评价</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且完成了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三同时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验收或在验收期限内。得</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环境影响评价文件对全部危险废物利用设施进行了评价</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但未完成</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三同时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验收。得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环境影响评价文件仅对部分危险废物利用设施进行了评价</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且完成了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三同时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验收或在验收期限内。得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p>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4.</w:t>
            </w:r>
            <w:r>
              <w:rPr>
                <w:rFonts w:hint="default" w:ascii="Times New Roman" w:hAnsi="Times New Roman" w:eastAsia="宋体" w:cs="Times New Roman"/>
                <w:color w:val="000000"/>
                <w:spacing w:val="-4"/>
                <w:kern w:val="0"/>
                <w:sz w:val="21"/>
                <w:szCs w:val="21"/>
              </w:rPr>
              <w:t>环境影响评价文件未对危险废物利用设施进行评价或危险废物实际利用方式与环境影响评价文件不一致。得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1854" w:type="dxa"/>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查阅相关资料（查看环评材料及批复、验收报告等）</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4253" w:hRule="atLeast"/>
          <w:jc w:val="center"/>
        </w:trPr>
        <w:tc>
          <w:tcPr>
            <w:tcW w:w="1309" w:type="dxa"/>
            <w:vMerge w:val="continue"/>
            <w:noWrap w:val="0"/>
            <w:vAlign w:val="center"/>
          </w:tcPr>
          <w:p>
            <w:pPr>
              <w:widowControl/>
              <w:adjustRightInd w:val="0"/>
              <w:snapToGrid w:val="0"/>
              <w:spacing w:line="259" w:lineRule="auto"/>
              <w:ind w:firstLine="0" w:firstLineChars="0"/>
              <w:jc w:val="left"/>
              <w:rPr>
                <w:rFonts w:ascii="Times New Roman" w:hAnsi="Times New Roman" w:eastAsia="宋体" w:cs="Times New Roman"/>
                <w:color w:val="000000"/>
                <w:spacing w:val="-4"/>
                <w:kern w:val="0"/>
                <w:sz w:val="21"/>
                <w:szCs w:val="21"/>
              </w:rPr>
            </w:pPr>
          </w:p>
        </w:tc>
        <w:tc>
          <w:tcPr>
            <w:tcW w:w="1516" w:type="dxa"/>
            <w:gridSpan w:val="2"/>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20.</w:t>
            </w:r>
            <w:r>
              <w:rPr>
                <w:rFonts w:hint="default" w:ascii="Times New Roman" w:hAnsi="Times New Roman" w:eastAsia="宋体" w:cs="Times New Roman"/>
                <w:color w:val="000000"/>
                <w:spacing w:val="-4"/>
                <w:kern w:val="0"/>
                <w:sz w:val="21"/>
                <w:szCs w:val="21"/>
              </w:rPr>
              <w:t>定期对利用设施污染物排放进行环境监测</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并符合相关标准要求。</w:t>
            </w:r>
          </w:p>
        </w:tc>
        <w:tc>
          <w:tcPr>
            <w:tcW w:w="693" w:type="dxa"/>
            <w:noWrap w:val="0"/>
            <w:vAlign w:val="center"/>
          </w:tcPr>
          <w:p>
            <w:pPr>
              <w:widowControl/>
              <w:adjustRightInd w:val="0"/>
              <w:snapToGrid w:val="0"/>
              <w:spacing w:line="259"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p>
        </w:tc>
        <w:tc>
          <w:tcPr>
            <w:tcW w:w="696" w:type="dxa"/>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p>
        </w:tc>
        <w:tc>
          <w:tcPr>
            <w:tcW w:w="1800" w:type="dxa"/>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监测点位、指标及频次符合要求</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有定期环境监测报告</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并且污染物排放符合相关标准要求。</w:t>
            </w:r>
          </w:p>
        </w:tc>
        <w:tc>
          <w:tcPr>
            <w:tcW w:w="5690" w:type="dxa"/>
            <w:gridSpan w:val="2"/>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按照有关法律和排污单位自行监测技术指南等规定</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建立企业监测制度</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制定监测方案</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且近一年内按照监测方案要求的监测点位、监测指标和监测频次对自行利用设施污染物排放情况进行了监测</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有环境监测报告</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并且污染物排放符合执行标准。得</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分。</w:t>
            </w:r>
          </w:p>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近一年内有环境监测报告</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并且污染物排放符合执行标准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但监测点位不符合要求或监测指标、频次不足。得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近一年内未对污染物排放情况进行监测</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或污染物超标排放。得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注：企业可根据自身条件和能力</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利用自有人员、场所和设备自行监测；也可委托其他有资质的检（监）测机构代其开展自行监测。</w:t>
            </w:r>
          </w:p>
        </w:tc>
        <w:tc>
          <w:tcPr>
            <w:tcW w:w="1854" w:type="dxa"/>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查阅相关资料（对照相关标准查看环境监测报告）、现场核查</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012" w:hRule="atLeast"/>
          <w:jc w:val="center"/>
        </w:trPr>
        <w:tc>
          <w:tcPr>
            <w:tcW w:w="1309" w:type="dxa"/>
            <w:noWrap w:val="0"/>
            <w:vAlign w:val="center"/>
          </w:tcPr>
          <w:p>
            <w:pPr>
              <w:adjustRightInd w:val="0"/>
              <w:snapToGrid w:val="0"/>
              <w:spacing w:line="259" w:lineRule="auto"/>
              <w:ind w:firstLine="0" w:firstLineChars="0"/>
              <w:jc w:val="left"/>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十一、利用设施环境管理（《固废法》第十七条、第十八条、第十九条、第七十九条）</w:t>
            </w:r>
          </w:p>
        </w:tc>
        <w:tc>
          <w:tcPr>
            <w:tcW w:w="1516" w:type="dxa"/>
            <w:gridSpan w:val="2"/>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21.</w:t>
            </w:r>
            <w:r>
              <w:rPr>
                <w:rFonts w:hint="default" w:ascii="Times New Roman" w:hAnsi="Times New Roman" w:eastAsia="宋体" w:cs="Times New Roman"/>
                <w:color w:val="000000"/>
                <w:spacing w:val="-4"/>
                <w:kern w:val="0"/>
                <w:sz w:val="21"/>
                <w:szCs w:val="21"/>
              </w:rPr>
              <w:t>危险废物资源化利用过程符合环境保护要求。</w:t>
            </w:r>
          </w:p>
        </w:tc>
        <w:tc>
          <w:tcPr>
            <w:tcW w:w="693"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6</w:t>
            </w:r>
          </w:p>
        </w:tc>
        <w:tc>
          <w:tcPr>
            <w:tcW w:w="696" w:type="dxa"/>
            <w:noWrap w:val="0"/>
            <w:vAlign w:val="center"/>
          </w:tcPr>
          <w:p>
            <w:pPr>
              <w:widowControl/>
              <w:adjustRightInd w:val="0"/>
              <w:snapToGrid w:val="0"/>
              <w:spacing w:line="240" w:lineRule="auto"/>
              <w:ind w:firstLine="0" w:firstLineChars="0"/>
              <w:rPr>
                <w:rFonts w:ascii="Times New Roman" w:hAnsi="Times New Roman" w:eastAsia="宋体" w:cs="Times New Roman"/>
                <w:strike/>
                <w:color w:val="000000"/>
                <w:spacing w:val="-4"/>
                <w:kern w:val="0"/>
                <w:sz w:val="21"/>
                <w:szCs w:val="21"/>
              </w:rPr>
            </w:pPr>
          </w:p>
        </w:tc>
        <w:tc>
          <w:tcPr>
            <w:tcW w:w="180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危险废物资源化产物符合《固体废物鉴别标准通则》相关要求。</w:t>
            </w:r>
          </w:p>
        </w:tc>
        <w:tc>
          <w:tcPr>
            <w:tcW w:w="5690" w:type="dxa"/>
            <w:gridSpan w:val="2"/>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满足以下条件之一的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得</w:t>
            </w:r>
            <w:r>
              <w:rPr>
                <w:rFonts w:ascii="Times New Roman" w:hAnsi="Times New Roman" w:eastAsia="宋体" w:cs="Times New Roman"/>
                <w:color w:val="000000"/>
                <w:spacing w:val="-4"/>
                <w:kern w:val="0"/>
                <w:sz w:val="21"/>
                <w:szCs w:val="21"/>
              </w:rPr>
              <w:t>6</w:t>
            </w:r>
            <w:r>
              <w:rPr>
                <w:rFonts w:hint="default" w:ascii="Times New Roman" w:hAnsi="Times New Roman" w:eastAsia="宋体" w:cs="Times New Roman"/>
                <w:color w:val="000000"/>
                <w:spacing w:val="-4"/>
                <w:kern w:val="0"/>
                <w:sz w:val="21"/>
                <w:szCs w:val="21"/>
              </w:rPr>
              <w:t>分：</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A.</w:t>
            </w:r>
            <w:r>
              <w:rPr>
                <w:rFonts w:hint="default" w:ascii="Times New Roman" w:hAnsi="Times New Roman" w:eastAsia="宋体" w:cs="Times New Roman"/>
                <w:color w:val="000000"/>
                <w:spacing w:val="-4"/>
                <w:kern w:val="0"/>
                <w:sz w:val="21"/>
                <w:szCs w:val="21"/>
              </w:rPr>
              <w:t>危险废物资源化产物生产过程中排放到环境中的有害物质限值和该产物中有害物质的含量限值</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符合国家相关污染物排放（控制）标准或技术规范要求</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并提供证明材料。</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B.</w:t>
            </w:r>
            <w:r>
              <w:rPr>
                <w:rFonts w:hint="default" w:ascii="Times New Roman" w:hAnsi="Times New Roman" w:eastAsia="宋体" w:cs="Times New Roman"/>
                <w:color w:val="000000"/>
                <w:spacing w:val="-4"/>
                <w:kern w:val="0"/>
                <w:sz w:val="21"/>
                <w:szCs w:val="21"/>
              </w:rPr>
              <w:t>当没有国家污染控制标准或技术规范时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危险废物资源化产物中所含有害成分含量不高于利用被替代原料生产的产品中的有害成分含量</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并且在该产物生产过程中</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排放到环境中的有害物质浓度不高于利用所替代原料生产产品过程中排放到环境中的有害物质浓度</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并提供证明材料。</w:t>
            </w:r>
          </w:p>
        </w:tc>
        <w:tc>
          <w:tcPr>
            <w:tcW w:w="1854"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查阅相关资料（相关标准或技术规范、污染物排放监测报告、有害物质含量检测报告）</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425" w:hRule="atLeast"/>
          <w:jc w:val="center"/>
        </w:trPr>
        <w:tc>
          <w:tcPr>
            <w:tcW w:w="2825" w:type="dxa"/>
            <w:gridSpan w:val="3"/>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b/>
                <w:color w:val="000000"/>
                <w:spacing w:val="-4"/>
                <w:kern w:val="0"/>
                <w:sz w:val="21"/>
                <w:szCs w:val="21"/>
              </w:rPr>
              <w:t>合计</w:t>
            </w:r>
          </w:p>
        </w:tc>
        <w:tc>
          <w:tcPr>
            <w:tcW w:w="693"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60</w:t>
            </w:r>
          </w:p>
        </w:tc>
        <w:tc>
          <w:tcPr>
            <w:tcW w:w="696" w:type="dxa"/>
            <w:noWrap w:val="0"/>
            <w:vAlign w:val="center"/>
          </w:tcPr>
          <w:p>
            <w:pPr>
              <w:widowControl/>
              <w:adjustRightInd w:val="0"/>
              <w:snapToGrid w:val="0"/>
              <w:spacing w:line="240" w:lineRule="auto"/>
              <w:ind w:firstLine="0" w:firstLineChars="0"/>
              <w:rPr>
                <w:rFonts w:ascii="Times New Roman" w:hAnsi="Times New Roman" w:eastAsia="宋体" w:cs="Times New Roman"/>
                <w:strike/>
                <w:color w:val="000000"/>
                <w:spacing w:val="-4"/>
                <w:kern w:val="0"/>
                <w:sz w:val="21"/>
                <w:szCs w:val="21"/>
              </w:rPr>
            </w:pPr>
          </w:p>
        </w:tc>
        <w:tc>
          <w:tcPr>
            <w:tcW w:w="9965" w:type="dxa"/>
            <w:gridSpan w:val="5"/>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644" w:hRule="atLeast"/>
          <w:jc w:val="center"/>
        </w:trPr>
        <w:tc>
          <w:tcPr>
            <w:tcW w:w="1309" w:type="dxa"/>
            <w:vMerge w:val="restart"/>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十二、处置设施环境管理（《固废法》第十七条、第十八条、第十九条、第七十九条）</w:t>
            </w:r>
          </w:p>
        </w:tc>
        <w:tc>
          <w:tcPr>
            <w:tcW w:w="1516" w:type="dxa"/>
            <w:gridSpan w:val="2"/>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22.</w:t>
            </w:r>
            <w:r>
              <w:rPr>
                <w:rFonts w:hint="default" w:ascii="Times New Roman" w:hAnsi="Times New Roman" w:eastAsia="宋体" w:cs="Times New Roman"/>
                <w:color w:val="000000"/>
                <w:spacing w:val="-4"/>
                <w:kern w:val="0"/>
                <w:sz w:val="21"/>
                <w:szCs w:val="21"/>
              </w:rPr>
              <w:t>依法进行环境影响评价</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完成</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三同时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验收。</w:t>
            </w:r>
          </w:p>
        </w:tc>
        <w:tc>
          <w:tcPr>
            <w:tcW w:w="693"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p>
        </w:tc>
        <w:tc>
          <w:tcPr>
            <w:tcW w:w="696"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180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有环评材料</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并完成</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三同时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验收。</w:t>
            </w:r>
          </w:p>
        </w:tc>
        <w:tc>
          <w:tcPr>
            <w:tcW w:w="5690" w:type="dxa"/>
            <w:gridSpan w:val="2"/>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环境影响评价文件对全部危险废物处置设施进行了评价</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且完成了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三同时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验收或在验收期限内。得</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环境影响评价文件对全部危险废物处置设施进行了评价</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但未完成</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三同时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验收。得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环境影响评价文件仅对部分危险废物处置设施进行了评价</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且完成了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三同时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验收或在验收期限内。得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4.</w:t>
            </w:r>
            <w:r>
              <w:rPr>
                <w:rFonts w:hint="default" w:ascii="Times New Roman" w:hAnsi="Times New Roman" w:eastAsia="宋体" w:cs="Times New Roman"/>
                <w:color w:val="000000"/>
                <w:spacing w:val="-4"/>
                <w:kern w:val="0"/>
                <w:sz w:val="21"/>
                <w:szCs w:val="21"/>
              </w:rPr>
              <w:t>环境影响评价文件未对危险废物处置设施进行评价或危险废物实际处置方式与环境影响评价文件不一致。得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1854"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查阅相关资料（查看环评材料及批复、验收报告等）</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1595" w:hRule="atLeast"/>
          <w:jc w:val="center"/>
        </w:trPr>
        <w:tc>
          <w:tcPr>
            <w:tcW w:w="1309" w:type="dxa"/>
            <w:vMerge w:val="continue"/>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c>
          <w:tcPr>
            <w:tcW w:w="1516" w:type="dxa"/>
            <w:gridSpan w:val="2"/>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23.</w:t>
            </w:r>
            <w:r>
              <w:rPr>
                <w:rFonts w:hint="default" w:ascii="Times New Roman" w:hAnsi="Times New Roman" w:eastAsia="宋体" w:cs="Times New Roman"/>
                <w:color w:val="000000"/>
                <w:spacing w:val="-4"/>
                <w:kern w:val="0"/>
                <w:sz w:val="21"/>
                <w:szCs w:val="21"/>
              </w:rPr>
              <w:t>符合运行环境管理要求。</w:t>
            </w:r>
          </w:p>
        </w:tc>
        <w:tc>
          <w:tcPr>
            <w:tcW w:w="693"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6</w:t>
            </w:r>
          </w:p>
        </w:tc>
        <w:tc>
          <w:tcPr>
            <w:tcW w:w="696" w:type="dxa"/>
            <w:noWrap w:val="0"/>
            <w:vAlign w:val="center"/>
          </w:tcPr>
          <w:p>
            <w:pPr>
              <w:widowControl/>
              <w:adjustRightInd w:val="0"/>
              <w:snapToGrid w:val="0"/>
              <w:spacing w:line="240" w:lineRule="auto"/>
              <w:ind w:firstLine="0" w:firstLineChars="0"/>
              <w:rPr>
                <w:rFonts w:ascii="Times New Roman" w:hAnsi="Times New Roman" w:eastAsia="宋体" w:cs="Times New Roman"/>
                <w:strike/>
                <w:color w:val="000000"/>
                <w:spacing w:val="-4"/>
                <w:kern w:val="0"/>
                <w:sz w:val="21"/>
                <w:szCs w:val="21"/>
              </w:rPr>
            </w:pPr>
          </w:p>
        </w:tc>
        <w:tc>
          <w:tcPr>
            <w:tcW w:w="1800" w:type="dxa"/>
            <w:noWrap w:val="0"/>
            <w:vAlign w:val="center"/>
          </w:tcPr>
          <w:p>
            <w:pPr>
              <w:widowControl/>
              <w:adjustRightInd w:val="0"/>
              <w:snapToGrid w:val="0"/>
              <w:spacing w:line="240" w:lineRule="auto"/>
              <w:ind w:firstLine="0" w:firstLineChars="0"/>
              <w:rPr>
                <w:rFonts w:ascii="Times New Roman" w:hAnsi="Times New Roman" w:eastAsia="宋体" w:cs="Times New Roman"/>
                <w:strike/>
                <w:color w:val="000000"/>
                <w:spacing w:val="-4"/>
                <w:kern w:val="0"/>
                <w:sz w:val="21"/>
                <w:szCs w:val="21"/>
              </w:rPr>
            </w:pPr>
            <w:r>
              <w:rPr>
                <w:rFonts w:hint="default" w:ascii="Times New Roman" w:hAnsi="Times New Roman" w:eastAsia="宋体" w:cs="Times New Roman"/>
                <w:color w:val="000000"/>
                <w:spacing w:val="-4"/>
                <w:kern w:val="0"/>
                <w:sz w:val="21"/>
                <w:szCs w:val="21"/>
              </w:rPr>
              <w:t>运行要求符合相关标准规范。</w:t>
            </w:r>
          </w:p>
        </w:tc>
        <w:tc>
          <w:tcPr>
            <w:tcW w:w="5690" w:type="dxa"/>
            <w:gridSpan w:val="2"/>
            <w:noWrap w:val="0"/>
            <w:vAlign w:val="center"/>
          </w:tcPr>
          <w:p>
            <w:pPr>
              <w:widowControl/>
              <w:adjustRightInd w:val="0"/>
              <w:snapToGrid w:val="0"/>
              <w:spacing w:line="240" w:lineRule="auto"/>
              <w:ind w:firstLine="0" w:firstLineChars="0"/>
              <w:rPr>
                <w:rFonts w:ascii="Times New Roman" w:hAnsi="Times New Roman" w:eastAsia="宋体" w:cs="Times New Roman"/>
                <w:strike/>
                <w:color w:val="000000"/>
                <w:spacing w:val="-4"/>
                <w:kern w:val="0"/>
                <w:sz w:val="21"/>
                <w:szCs w:val="21"/>
              </w:rPr>
            </w:pPr>
            <w:r>
              <w:rPr>
                <w:rFonts w:hint="default" w:ascii="Times New Roman" w:hAnsi="Times New Roman" w:eastAsia="宋体" w:cs="Times New Roman"/>
                <w:color w:val="000000"/>
                <w:spacing w:val="-4"/>
                <w:kern w:val="0"/>
                <w:sz w:val="21"/>
                <w:szCs w:val="21"/>
              </w:rPr>
              <w:t>以焚烧、填埋、水泥窑等方式自行处置危险废物的运行要求符合国家和地方相关标准规范（如《危险废物焚烧污染控制标准》《危险废物填埋污染控制标准》《水泥窑协同处置固体废物污染控制标准》等）。得</w:t>
            </w:r>
            <w:r>
              <w:rPr>
                <w:rFonts w:ascii="Times New Roman" w:hAnsi="Times New Roman" w:eastAsia="宋体" w:cs="Times New Roman"/>
                <w:color w:val="000000"/>
                <w:spacing w:val="-4"/>
                <w:kern w:val="0"/>
                <w:sz w:val="21"/>
                <w:szCs w:val="21"/>
              </w:rPr>
              <w:t>6</w:t>
            </w:r>
            <w:r>
              <w:rPr>
                <w:rFonts w:hint="default" w:ascii="Times New Roman" w:hAnsi="Times New Roman" w:eastAsia="宋体" w:cs="Times New Roman"/>
                <w:color w:val="000000"/>
                <w:spacing w:val="-4"/>
                <w:kern w:val="0"/>
                <w:sz w:val="21"/>
                <w:szCs w:val="21"/>
              </w:rPr>
              <w:t>分。根据实际情况</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酌情打分。</w:t>
            </w:r>
          </w:p>
        </w:tc>
        <w:tc>
          <w:tcPr>
            <w:tcW w:w="1854"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查阅相关资料、现场核查</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643" w:hRule="atLeast"/>
          <w:jc w:val="center"/>
        </w:trPr>
        <w:tc>
          <w:tcPr>
            <w:tcW w:w="1309"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十二、处置设施环境管理（《固废法》第十七条、第十八条、第十九条、第七十九条）</w:t>
            </w:r>
          </w:p>
        </w:tc>
        <w:tc>
          <w:tcPr>
            <w:tcW w:w="1516" w:type="dxa"/>
            <w:gridSpan w:val="2"/>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24.</w:t>
            </w:r>
            <w:r>
              <w:rPr>
                <w:rFonts w:hint="default" w:ascii="Times New Roman" w:hAnsi="Times New Roman" w:eastAsia="宋体" w:cs="Times New Roman"/>
                <w:color w:val="000000"/>
                <w:spacing w:val="-4"/>
                <w:kern w:val="0"/>
                <w:sz w:val="21"/>
                <w:szCs w:val="21"/>
              </w:rPr>
              <w:t>定期对处置设施污染物排放进行环境监测</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并符合相关标准要求。</w:t>
            </w:r>
          </w:p>
        </w:tc>
        <w:tc>
          <w:tcPr>
            <w:tcW w:w="693"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p>
        </w:tc>
        <w:tc>
          <w:tcPr>
            <w:tcW w:w="696"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180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监测点位、指标及频次符合要求</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有定期环境监测报告</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并且污染物排放符合相关标准要求。</w:t>
            </w:r>
          </w:p>
        </w:tc>
        <w:tc>
          <w:tcPr>
            <w:tcW w:w="5690" w:type="dxa"/>
            <w:gridSpan w:val="2"/>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按照有关法律和排污单位自行监测技术指南等规定</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建立企业监测制度</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制定监测方案</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且近一年内按照监测方案要求的监测点位、监测指标和监测频次对自行处置设施污染物排放情况进行了监测</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有环境监测报告</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并且污染物排放符合执行标准。得</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分。</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近一年内有环境监测报告</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并且污染物排放符合执行标准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但监测点位不符合要求或监测指标、频次不足。得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近一年内未对污染物排放情况进行监测</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或污染物超标排放。得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注：企业可根据自身条件和能力</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利用自有人员、场所和设备自行监测；也可委托其他有资质的检（监）测机构代其开展自行监测。</w:t>
            </w:r>
          </w:p>
        </w:tc>
        <w:tc>
          <w:tcPr>
            <w:tcW w:w="1854"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查阅相关资料（对照相关标准查看环境监测报告）、现场核查</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425" w:hRule="atLeast"/>
          <w:jc w:val="center"/>
        </w:trPr>
        <w:tc>
          <w:tcPr>
            <w:tcW w:w="2825" w:type="dxa"/>
            <w:gridSpan w:val="3"/>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b/>
                <w:color w:val="000000"/>
                <w:spacing w:val="-4"/>
                <w:kern w:val="0"/>
                <w:sz w:val="21"/>
                <w:szCs w:val="21"/>
              </w:rPr>
              <w:t>合计</w:t>
            </w:r>
          </w:p>
        </w:tc>
        <w:tc>
          <w:tcPr>
            <w:tcW w:w="693"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70</w:t>
            </w:r>
          </w:p>
        </w:tc>
        <w:tc>
          <w:tcPr>
            <w:tcW w:w="696" w:type="dxa"/>
            <w:noWrap w:val="0"/>
            <w:vAlign w:val="center"/>
          </w:tcPr>
          <w:p>
            <w:pPr>
              <w:widowControl/>
              <w:adjustRightInd w:val="0"/>
              <w:snapToGrid w:val="0"/>
              <w:spacing w:line="240" w:lineRule="auto"/>
              <w:ind w:firstLine="0" w:firstLineChars="0"/>
              <w:rPr>
                <w:rFonts w:ascii="Times New Roman" w:hAnsi="Times New Roman" w:eastAsia="宋体" w:cs="Times New Roman"/>
                <w:strike/>
                <w:color w:val="000000"/>
                <w:spacing w:val="-4"/>
                <w:kern w:val="0"/>
                <w:sz w:val="21"/>
                <w:szCs w:val="21"/>
              </w:rPr>
            </w:pPr>
          </w:p>
        </w:tc>
        <w:tc>
          <w:tcPr>
            <w:tcW w:w="9965" w:type="dxa"/>
            <w:gridSpan w:val="5"/>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1554" w:hRule="atLeast"/>
          <w:jc w:val="center"/>
        </w:trPr>
        <w:tc>
          <w:tcPr>
            <w:tcW w:w="1309"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加分项</w:t>
            </w:r>
          </w:p>
        </w:tc>
        <w:tc>
          <w:tcPr>
            <w:tcW w:w="10395" w:type="dxa"/>
            <w:gridSpan w:val="7"/>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A.</w:t>
            </w:r>
            <w:r>
              <w:rPr>
                <w:rFonts w:hint="default" w:ascii="Times New Roman" w:hAnsi="Times New Roman" w:eastAsia="宋体" w:cs="Times New Roman"/>
                <w:color w:val="000000"/>
                <w:spacing w:val="-4"/>
                <w:kern w:val="0"/>
                <w:sz w:val="21"/>
                <w:szCs w:val="21"/>
              </w:rPr>
              <w:t>在危险废物相关重点环节和关键节点应用视频监控的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加</w:t>
            </w:r>
            <w:r>
              <w:rPr>
                <w:rFonts w:ascii="Times New Roman" w:hAnsi="Times New Roman" w:eastAsia="宋体" w:cs="Times New Roman"/>
                <w:color w:val="000000"/>
                <w:spacing w:val="-4"/>
                <w:kern w:val="0"/>
                <w:sz w:val="21"/>
                <w:szCs w:val="21"/>
              </w:rPr>
              <w:t>0.5</w:t>
            </w:r>
            <w:r>
              <w:rPr>
                <w:rFonts w:hint="default" w:ascii="Times New Roman" w:hAnsi="Times New Roman" w:eastAsia="宋体" w:cs="Times New Roman"/>
                <w:color w:val="000000"/>
                <w:spacing w:val="-4"/>
                <w:kern w:val="0"/>
                <w:sz w:val="21"/>
                <w:szCs w:val="21"/>
              </w:rPr>
              <w:t>分；在危险废物相关重点环节和关键节点应用电子标签的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加</w:t>
            </w:r>
            <w:r>
              <w:rPr>
                <w:rFonts w:ascii="Times New Roman" w:hAnsi="Times New Roman" w:eastAsia="宋体" w:cs="Times New Roman"/>
                <w:color w:val="000000"/>
                <w:spacing w:val="-4"/>
                <w:kern w:val="0"/>
                <w:sz w:val="21"/>
                <w:szCs w:val="21"/>
              </w:rPr>
              <w:t>0.5</w:t>
            </w:r>
            <w:r>
              <w:rPr>
                <w:rFonts w:hint="default" w:ascii="Times New Roman" w:hAnsi="Times New Roman" w:eastAsia="宋体" w:cs="Times New Roman"/>
                <w:color w:val="000000"/>
                <w:spacing w:val="-4"/>
                <w:kern w:val="0"/>
                <w:sz w:val="21"/>
                <w:szCs w:val="21"/>
              </w:rPr>
              <w:t>分。</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B.</w:t>
            </w:r>
            <w:r>
              <w:rPr>
                <w:rFonts w:hint="default" w:ascii="Times New Roman" w:hAnsi="Times New Roman" w:eastAsia="宋体" w:cs="Times New Roman"/>
                <w:color w:val="000000"/>
                <w:spacing w:val="-4"/>
                <w:kern w:val="0"/>
                <w:sz w:val="21"/>
                <w:szCs w:val="21"/>
              </w:rPr>
              <w:t>对管理人员和从事危险废物收集、运输、贮存、利用和处置等工作的人员进行培训的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加</w:t>
            </w:r>
            <w:r>
              <w:rPr>
                <w:rFonts w:ascii="Times New Roman" w:hAnsi="Times New Roman" w:eastAsia="宋体" w:cs="Times New Roman"/>
                <w:color w:val="000000"/>
                <w:spacing w:val="-4"/>
                <w:kern w:val="0"/>
                <w:sz w:val="21"/>
                <w:szCs w:val="21"/>
              </w:rPr>
              <w:t>0.5</w:t>
            </w:r>
            <w:r>
              <w:rPr>
                <w:rFonts w:hint="default" w:ascii="Times New Roman" w:hAnsi="Times New Roman" w:eastAsia="宋体" w:cs="Times New Roman"/>
                <w:color w:val="000000"/>
                <w:spacing w:val="-4"/>
                <w:kern w:val="0"/>
                <w:sz w:val="21"/>
                <w:szCs w:val="21"/>
              </w:rPr>
              <w:t>分；参加培训人员对危险废物管理制度、相应岗位危险废物管理要求等较熟悉的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加</w:t>
            </w:r>
            <w:r>
              <w:rPr>
                <w:rFonts w:ascii="Times New Roman" w:hAnsi="Times New Roman" w:eastAsia="宋体" w:cs="Times New Roman"/>
                <w:color w:val="000000"/>
                <w:spacing w:val="-4"/>
                <w:kern w:val="0"/>
                <w:sz w:val="21"/>
                <w:szCs w:val="21"/>
              </w:rPr>
              <w:t>0.5</w:t>
            </w:r>
            <w:r>
              <w:rPr>
                <w:rFonts w:hint="default" w:ascii="Times New Roman" w:hAnsi="Times New Roman" w:eastAsia="宋体" w:cs="Times New Roman"/>
                <w:color w:val="000000"/>
                <w:spacing w:val="-4"/>
                <w:kern w:val="0"/>
                <w:sz w:val="21"/>
                <w:szCs w:val="21"/>
              </w:rPr>
              <w:t>分。</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C.</w:t>
            </w:r>
            <w:r>
              <w:rPr>
                <w:rFonts w:hint="default" w:ascii="Times New Roman" w:hAnsi="Times New Roman" w:eastAsia="宋体" w:cs="Times New Roman"/>
                <w:color w:val="000000"/>
                <w:spacing w:val="-4"/>
                <w:kern w:val="0"/>
                <w:sz w:val="21"/>
                <w:szCs w:val="21"/>
              </w:rPr>
              <w:t>投保环境污染责任保险的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加</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p>
        </w:tc>
        <w:tc>
          <w:tcPr>
            <w:tcW w:w="1854"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查阅相关资料、现场核查</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1569" w:hRule="atLeast"/>
          <w:jc w:val="center"/>
        </w:trPr>
        <w:tc>
          <w:tcPr>
            <w:tcW w:w="1309"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否决项</w:t>
            </w:r>
          </w:p>
        </w:tc>
        <w:tc>
          <w:tcPr>
            <w:tcW w:w="10395" w:type="dxa"/>
            <w:gridSpan w:val="7"/>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A.</w:t>
            </w:r>
            <w:r>
              <w:rPr>
                <w:rFonts w:hint="default" w:ascii="Times New Roman" w:hAnsi="Times New Roman" w:eastAsia="宋体" w:cs="Times New Roman"/>
                <w:color w:val="000000"/>
                <w:spacing w:val="-4"/>
                <w:kern w:val="0"/>
                <w:sz w:val="21"/>
                <w:szCs w:val="21"/>
              </w:rPr>
              <w:t>擅自转移、倾倒、堆放危险废物的。</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B.</w:t>
            </w:r>
            <w:r>
              <w:rPr>
                <w:rFonts w:hint="default" w:ascii="Times New Roman" w:hAnsi="Times New Roman" w:eastAsia="宋体" w:cs="Times New Roman"/>
                <w:color w:val="000000"/>
                <w:spacing w:val="-4"/>
                <w:kern w:val="0"/>
                <w:sz w:val="21"/>
                <w:szCs w:val="21"/>
              </w:rPr>
              <w:t>将危险废物（收集</w:t>
            </w:r>
            <w:r>
              <w:rPr>
                <w:rFonts w:ascii="Times New Roman" w:hAnsi="Times New Roman" w:eastAsia="宋体" w:cs="Times New Roman"/>
                <w:color w:val="000000"/>
                <w:spacing w:val="-4"/>
                <w:kern w:val="0"/>
                <w:sz w:val="21"/>
                <w:szCs w:val="21"/>
              </w:rPr>
              <w:t>/</w:t>
            </w:r>
            <w:r>
              <w:rPr>
                <w:rFonts w:hint="default" w:ascii="Times New Roman" w:hAnsi="Times New Roman" w:eastAsia="宋体" w:cs="Times New Roman"/>
                <w:color w:val="000000"/>
                <w:spacing w:val="-4"/>
                <w:kern w:val="0"/>
                <w:sz w:val="21"/>
                <w:szCs w:val="21"/>
              </w:rPr>
              <w:t>利用</w:t>
            </w:r>
            <w:r>
              <w:rPr>
                <w:rFonts w:ascii="Times New Roman" w:hAnsi="Times New Roman" w:eastAsia="宋体" w:cs="Times New Roman"/>
                <w:color w:val="000000"/>
                <w:spacing w:val="-4"/>
                <w:kern w:val="0"/>
                <w:sz w:val="21"/>
                <w:szCs w:val="21"/>
              </w:rPr>
              <w:t>/</w:t>
            </w:r>
            <w:r>
              <w:rPr>
                <w:rFonts w:hint="default" w:ascii="Times New Roman" w:hAnsi="Times New Roman" w:eastAsia="宋体" w:cs="Times New Roman"/>
                <w:color w:val="000000"/>
                <w:spacing w:val="-4"/>
                <w:kern w:val="0"/>
                <w:sz w:val="21"/>
                <w:szCs w:val="21"/>
              </w:rPr>
              <w:t>处置环节豁免的除外）提供或者委托给无许可证的单位或者其他生产经营者从事经营活动的。</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C.</w:t>
            </w:r>
            <w:r>
              <w:rPr>
                <w:rFonts w:hint="default" w:ascii="Times New Roman" w:hAnsi="Times New Roman" w:eastAsia="宋体" w:cs="Times New Roman"/>
                <w:color w:val="000000"/>
                <w:spacing w:val="-4"/>
                <w:kern w:val="0"/>
                <w:sz w:val="21"/>
                <w:szCs w:val="21"/>
              </w:rPr>
              <w:t>未运行联单擅自转移危险废物或未经批准擅自跨省（自治区、直辖市）、跨境转移危险废物的。</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D.</w:t>
            </w:r>
            <w:r>
              <w:rPr>
                <w:rFonts w:hint="default" w:ascii="Times New Roman" w:hAnsi="Times New Roman" w:eastAsia="宋体" w:cs="Times New Roman"/>
                <w:color w:val="000000"/>
                <w:spacing w:val="-4"/>
                <w:kern w:val="0"/>
                <w:sz w:val="21"/>
                <w:szCs w:val="21"/>
              </w:rPr>
              <w:t>由于危险废物管理不当导致突发环境事件发生的。</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E.</w:t>
            </w:r>
            <w:r>
              <w:rPr>
                <w:rFonts w:hint="default" w:ascii="Times New Roman" w:hAnsi="Times New Roman" w:eastAsia="宋体" w:cs="Times New Roman"/>
                <w:color w:val="000000"/>
                <w:spacing w:val="-4"/>
                <w:kern w:val="0"/>
                <w:sz w:val="21"/>
                <w:szCs w:val="21"/>
              </w:rPr>
              <w:t>执行台账和申报制度存在不报或虚报、瞒报危险废物的。</w:t>
            </w:r>
          </w:p>
        </w:tc>
        <w:tc>
          <w:tcPr>
            <w:tcW w:w="1854"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现场核查</w:t>
            </w:r>
          </w:p>
        </w:tc>
        <w:tc>
          <w:tcPr>
            <w:tcW w:w="621"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673" w:hRule="atLeast"/>
          <w:jc w:val="center"/>
        </w:trPr>
        <w:tc>
          <w:tcPr>
            <w:tcW w:w="2790" w:type="dxa"/>
            <w:gridSpan w:val="2"/>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b/>
                <w:bCs/>
                <w:color w:val="000000"/>
                <w:spacing w:val="-4"/>
                <w:kern w:val="0"/>
                <w:sz w:val="21"/>
                <w:szCs w:val="21"/>
              </w:rPr>
              <w:t>评估得分</w:t>
            </w:r>
          </w:p>
        </w:tc>
        <w:tc>
          <w:tcPr>
            <w:tcW w:w="3796" w:type="dxa"/>
            <w:gridSpan w:val="5"/>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7593" w:type="dxa"/>
            <w:gridSpan w:val="3"/>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b/>
                <w:bCs/>
                <w:color w:val="000000"/>
                <w:spacing w:val="-4"/>
                <w:kern w:val="0"/>
                <w:sz w:val="21"/>
                <w:szCs w:val="21"/>
              </w:rPr>
              <w:t>评估结果：达标□基本达标□不达标□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998" w:hRule="atLeast"/>
          <w:jc w:val="center"/>
        </w:trPr>
        <w:tc>
          <w:tcPr>
            <w:tcW w:w="14179" w:type="dxa"/>
            <w:gridSpan w:val="10"/>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说明：</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工作组应当至少包括</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名具有环境执法证件的人员</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可邀请专家参与检查。</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评估人员要做好记录并签字。</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对危险废物流向、贮存、利用、处置等信息</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要核查原始凭证。</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4.</w:t>
            </w:r>
            <w:r>
              <w:rPr>
                <w:rFonts w:hint="default" w:ascii="Times New Roman" w:hAnsi="Times New Roman" w:eastAsia="宋体" w:cs="Times New Roman"/>
                <w:color w:val="000000"/>
                <w:spacing w:val="-4"/>
                <w:kern w:val="0"/>
                <w:sz w:val="21"/>
                <w:szCs w:val="21"/>
              </w:rPr>
              <w:t>根据评分要点给出得分。</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5.</w:t>
            </w:r>
            <w:r>
              <w:rPr>
                <w:rFonts w:hint="default" w:ascii="Times New Roman" w:hAnsi="Times New Roman" w:eastAsia="宋体" w:cs="Times New Roman"/>
                <w:color w:val="000000"/>
                <w:spacing w:val="-4"/>
                <w:kern w:val="0"/>
                <w:sz w:val="21"/>
                <w:szCs w:val="21"/>
              </w:rPr>
              <w:t>备注栏可对评估情况进行简要记录。</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6.</w:t>
            </w:r>
            <w:r>
              <w:rPr>
                <w:rFonts w:hint="default" w:ascii="Times New Roman" w:hAnsi="Times New Roman" w:eastAsia="宋体" w:cs="Times New Roman"/>
                <w:color w:val="000000"/>
                <w:spacing w:val="-4"/>
                <w:kern w:val="0"/>
                <w:sz w:val="21"/>
                <w:szCs w:val="21"/>
              </w:rPr>
              <w:t>评估内容不适用的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计为</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并将该项分值从满分中扣除后</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按比例换算达标、基本达标、不达标界值。</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7.</w:t>
            </w:r>
            <w:r>
              <w:rPr>
                <w:rFonts w:hint="default" w:ascii="Times New Roman" w:hAnsi="Times New Roman" w:eastAsia="宋体" w:cs="Times New Roman"/>
                <w:color w:val="000000"/>
                <w:spacing w:val="-4"/>
                <w:kern w:val="0"/>
                <w:sz w:val="21"/>
                <w:szCs w:val="21"/>
              </w:rPr>
              <w:t>加分项目以当年是否开展为准。</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8.</w:t>
            </w:r>
            <w:r>
              <w:rPr>
                <w:rFonts w:hint="default" w:ascii="Times New Roman" w:hAnsi="Times New Roman" w:eastAsia="宋体" w:cs="Times New Roman"/>
                <w:color w:val="000000"/>
                <w:spacing w:val="-4"/>
                <w:kern w:val="0"/>
                <w:sz w:val="21"/>
                <w:szCs w:val="21"/>
              </w:rPr>
              <w:t>否决项</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即该项不得分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则评估结果为不达标。</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9.</w:t>
            </w:r>
            <w:r>
              <w:rPr>
                <w:rFonts w:hint="default" w:ascii="Times New Roman" w:hAnsi="Times New Roman" w:eastAsia="宋体" w:cs="Times New Roman"/>
                <w:color w:val="000000"/>
                <w:spacing w:val="-4"/>
                <w:kern w:val="0"/>
                <w:sz w:val="21"/>
                <w:szCs w:val="21"/>
              </w:rPr>
              <w:t>评估标准：</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）无自行利用或处置设施的产废单位满分为</w:t>
            </w:r>
            <w:r>
              <w:rPr>
                <w:rFonts w:ascii="Times New Roman" w:hAnsi="Times New Roman" w:eastAsia="宋体" w:cs="Times New Roman"/>
                <w:color w:val="000000"/>
                <w:spacing w:val="-4"/>
                <w:kern w:val="0"/>
                <w:sz w:val="21"/>
                <w:szCs w:val="21"/>
              </w:rPr>
              <w:t>50</w:t>
            </w:r>
            <w:r>
              <w:rPr>
                <w:rFonts w:hint="default" w:ascii="Times New Roman" w:hAnsi="Times New Roman" w:eastAsia="宋体" w:cs="Times New Roman"/>
                <w:color w:val="000000"/>
                <w:spacing w:val="-4"/>
                <w:kern w:val="0"/>
                <w:sz w:val="21"/>
                <w:szCs w:val="21"/>
              </w:rPr>
              <w:t>分</w:t>
            </w:r>
            <w:r>
              <w:rPr>
                <w:rFonts w:hint="eastAsia" w:ascii="Times New Roman" w:hAnsi="Times New Roman" w:eastAsia="宋体" w:cs="Times New Roman"/>
                <w:color w:val="000000"/>
                <w:spacing w:val="-4"/>
                <w:kern w:val="0"/>
                <w:sz w:val="21"/>
                <w:szCs w:val="21"/>
                <w:lang w:eastAsia="zh-CN"/>
              </w:rPr>
              <w:t>，</w:t>
            </w:r>
            <w:r>
              <w:rPr>
                <w:rFonts w:ascii="Times New Roman" w:hAnsi="Times New Roman" w:eastAsia="宋体" w:cs="Times New Roman"/>
                <w:color w:val="000000"/>
                <w:spacing w:val="-4"/>
                <w:kern w:val="0"/>
                <w:sz w:val="21"/>
                <w:szCs w:val="21"/>
              </w:rPr>
              <w:t>40</w:t>
            </w:r>
            <w:r>
              <w:rPr>
                <w:rFonts w:hint="default" w:ascii="Times New Roman" w:hAnsi="Times New Roman" w:eastAsia="宋体" w:cs="Times New Roman"/>
                <w:color w:val="000000"/>
                <w:spacing w:val="-4"/>
                <w:kern w:val="0"/>
                <w:sz w:val="21"/>
                <w:szCs w:val="21"/>
              </w:rPr>
              <w:t>（含）</w:t>
            </w:r>
            <w:r>
              <w:rPr>
                <w:rFonts w:ascii="Times New Roman" w:hAnsi="Times New Roman" w:eastAsia="宋体" w:cs="Times New Roman"/>
                <w:color w:val="000000"/>
                <w:spacing w:val="-4"/>
                <w:kern w:val="0"/>
                <w:sz w:val="21"/>
                <w:szCs w:val="21"/>
              </w:rPr>
              <w:t>-50</w:t>
            </w:r>
            <w:r>
              <w:rPr>
                <w:rFonts w:hint="default" w:ascii="Times New Roman" w:hAnsi="Times New Roman" w:eastAsia="宋体" w:cs="Times New Roman"/>
                <w:color w:val="000000"/>
                <w:spacing w:val="-4"/>
                <w:kern w:val="0"/>
                <w:sz w:val="21"/>
                <w:szCs w:val="21"/>
              </w:rPr>
              <w:t>分为达标</w:t>
            </w:r>
            <w:r>
              <w:rPr>
                <w:rFonts w:hint="eastAsia" w:ascii="Times New Roman" w:hAnsi="Times New Roman" w:eastAsia="宋体" w:cs="Times New Roman"/>
                <w:color w:val="000000"/>
                <w:spacing w:val="-4"/>
                <w:kern w:val="0"/>
                <w:sz w:val="21"/>
                <w:szCs w:val="21"/>
                <w:lang w:eastAsia="zh-CN"/>
              </w:rPr>
              <w:t>，</w:t>
            </w:r>
            <w:r>
              <w:rPr>
                <w:rFonts w:ascii="Times New Roman" w:hAnsi="Times New Roman" w:eastAsia="宋体" w:cs="Times New Roman"/>
                <w:color w:val="000000"/>
                <w:spacing w:val="-4"/>
                <w:kern w:val="0"/>
                <w:sz w:val="21"/>
                <w:szCs w:val="21"/>
              </w:rPr>
              <w:t>30</w:t>
            </w:r>
            <w:r>
              <w:rPr>
                <w:rFonts w:hint="default" w:ascii="Times New Roman" w:hAnsi="Times New Roman" w:eastAsia="宋体" w:cs="Times New Roman"/>
                <w:color w:val="000000"/>
                <w:spacing w:val="-4"/>
                <w:kern w:val="0"/>
                <w:sz w:val="21"/>
                <w:szCs w:val="21"/>
              </w:rPr>
              <w:t>（含）</w:t>
            </w:r>
            <w:r>
              <w:rPr>
                <w:rFonts w:ascii="Times New Roman" w:hAnsi="Times New Roman" w:eastAsia="宋体" w:cs="Times New Roman"/>
                <w:color w:val="000000"/>
                <w:spacing w:val="-4"/>
                <w:kern w:val="0"/>
                <w:sz w:val="21"/>
                <w:szCs w:val="21"/>
              </w:rPr>
              <w:t>-40</w:t>
            </w:r>
            <w:r>
              <w:rPr>
                <w:rFonts w:hint="default" w:ascii="Times New Roman" w:hAnsi="Times New Roman" w:eastAsia="宋体" w:cs="Times New Roman"/>
                <w:color w:val="000000"/>
                <w:spacing w:val="-4"/>
                <w:kern w:val="0"/>
                <w:sz w:val="21"/>
                <w:szCs w:val="21"/>
              </w:rPr>
              <w:t>分为基本达标；</w:t>
            </w:r>
            <w:r>
              <w:rPr>
                <w:rFonts w:ascii="Times New Roman" w:hAnsi="Times New Roman" w:eastAsia="宋体" w:cs="Times New Roman"/>
                <w:color w:val="000000"/>
                <w:spacing w:val="-4"/>
                <w:kern w:val="0"/>
                <w:sz w:val="21"/>
                <w:szCs w:val="21"/>
              </w:rPr>
              <w:t>30</w:t>
            </w:r>
            <w:r>
              <w:rPr>
                <w:rFonts w:hint="default" w:ascii="Times New Roman" w:hAnsi="Times New Roman" w:eastAsia="宋体" w:cs="Times New Roman"/>
                <w:color w:val="000000"/>
                <w:spacing w:val="-4"/>
                <w:kern w:val="0"/>
                <w:sz w:val="21"/>
                <w:szCs w:val="21"/>
              </w:rPr>
              <w:t>分以下为不达标。</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）有自行利用或处置设施的产废单位满分为</w:t>
            </w:r>
            <w:r>
              <w:rPr>
                <w:rFonts w:ascii="Times New Roman" w:hAnsi="Times New Roman" w:eastAsia="宋体" w:cs="Times New Roman"/>
                <w:color w:val="000000"/>
                <w:spacing w:val="-4"/>
                <w:kern w:val="0"/>
                <w:sz w:val="21"/>
                <w:szCs w:val="21"/>
              </w:rPr>
              <w:t>60</w:t>
            </w:r>
            <w:r>
              <w:rPr>
                <w:rFonts w:hint="default" w:ascii="Times New Roman" w:hAnsi="Times New Roman" w:eastAsia="宋体" w:cs="Times New Roman"/>
                <w:color w:val="000000"/>
                <w:spacing w:val="-4"/>
                <w:kern w:val="0"/>
                <w:sz w:val="21"/>
                <w:szCs w:val="21"/>
              </w:rPr>
              <w:t>分</w:t>
            </w:r>
            <w:r>
              <w:rPr>
                <w:rFonts w:hint="eastAsia" w:ascii="Times New Roman" w:hAnsi="Times New Roman" w:eastAsia="宋体" w:cs="Times New Roman"/>
                <w:color w:val="000000"/>
                <w:spacing w:val="-4"/>
                <w:kern w:val="0"/>
                <w:sz w:val="21"/>
                <w:szCs w:val="21"/>
                <w:lang w:eastAsia="zh-CN"/>
              </w:rPr>
              <w:t>，</w:t>
            </w:r>
            <w:r>
              <w:rPr>
                <w:rFonts w:ascii="Times New Roman" w:hAnsi="Times New Roman" w:eastAsia="宋体" w:cs="Times New Roman"/>
                <w:color w:val="000000"/>
                <w:spacing w:val="-4"/>
                <w:kern w:val="0"/>
                <w:sz w:val="21"/>
                <w:szCs w:val="21"/>
              </w:rPr>
              <w:t>48</w:t>
            </w:r>
            <w:r>
              <w:rPr>
                <w:rFonts w:hint="default" w:ascii="Times New Roman" w:hAnsi="Times New Roman" w:eastAsia="宋体" w:cs="Times New Roman"/>
                <w:color w:val="000000"/>
                <w:spacing w:val="-4"/>
                <w:kern w:val="0"/>
                <w:sz w:val="21"/>
                <w:szCs w:val="21"/>
              </w:rPr>
              <w:t>（含）</w:t>
            </w:r>
            <w:r>
              <w:rPr>
                <w:rFonts w:ascii="Times New Roman" w:hAnsi="Times New Roman" w:eastAsia="宋体" w:cs="Times New Roman"/>
                <w:color w:val="000000"/>
                <w:spacing w:val="-4"/>
                <w:kern w:val="0"/>
                <w:sz w:val="21"/>
                <w:szCs w:val="21"/>
              </w:rPr>
              <w:t>-60</w:t>
            </w:r>
            <w:r>
              <w:rPr>
                <w:rFonts w:hint="default" w:ascii="Times New Roman" w:hAnsi="Times New Roman" w:eastAsia="宋体" w:cs="Times New Roman"/>
                <w:color w:val="000000"/>
                <w:spacing w:val="-4"/>
                <w:kern w:val="0"/>
                <w:sz w:val="21"/>
                <w:szCs w:val="21"/>
              </w:rPr>
              <w:t>分为达标</w:t>
            </w:r>
            <w:r>
              <w:rPr>
                <w:rFonts w:hint="eastAsia" w:ascii="Times New Roman" w:hAnsi="Times New Roman" w:eastAsia="宋体" w:cs="Times New Roman"/>
                <w:color w:val="000000"/>
                <w:spacing w:val="-4"/>
                <w:kern w:val="0"/>
                <w:sz w:val="21"/>
                <w:szCs w:val="21"/>
                <w:lang w:eastAsia="zh-CN"/>
              </w:rPr>
              <w:t>，</w:t>
            </w:r>
            <w:r>
              <w:rPr>
                <w:rFonts w:ascii="Times New Roman" w:hAnsi="Times New Roman" w:eastAsia="宋体" w:cs="Times New Roman"/>
                <w:color w:val="000000"/>
                <w:spacing w:val="-4"/>
                <w:kern w:val="0"/>
                <w:sz w:val="21"/>
                <w:szCs w:val="21"/>
              </w:rPr>
              <w:t>36</w:t>
            </w:r>
            <w:r>
              <w:rPr>
                <w:rFonts w:hint="default" w:ascii="Times New Roman" w:hAnsi="Times New Roman" w:eastAsia="宋体" w:cs="Times New Roman"/>
                <w:color w:val="000000"/>
                <w:spacing w:val="-4"/>
                <w:kern w:val="0"/>
                <w:sz w:val="21"/>
                <w:szCs w:val="21"/>
              </w:rPr>
              <w:t>（含）</w:t>
            </w:r>
            <w:r>
              <w:rPr>
                <w:rFonts w:ascii="Times New Roman" w:hAnsi="Times New Roman" w:eastAsia="宋体" w:cs="Times New Roman"/>
                <w:color w:val="000000"/>
                <w:spacing w:val="-4"/>
                <w:kern w:val="0"/>
                <w:sz w:val="21"/>
                <w:szCs w:val="21"/>
              </w:rPr>
              <w:t>-48</w:t>
            </w:r>
            <w:r>
              <w:rPr>
                <w:rFonts w:hint="default" w:ascii="Times New Roman" w:hAnsi="Times New Roman" w:eastAsia="宋体" w:cs="Times New Roman"/>
                <w:color w:val="000000"/>
                <w:spacing w:val="-4"/>
                <w:kern w:val="0"/>
                <w:sz w:val="21"/>
                <w:szCs w:val="21"/>
              </w:rPr>
              <w:t>分为基本达标</w:t>
            </w:r>
            <w:r>
              <w:rPr>
                <w:rFonts w:hint="eastAsia" w:ascii="Times New Roman" w:hAnsi="Times New Roman" w:eastAsia="宋体" w:cs="Times New Roman"/>
                <w:color w:val="000000"/>
                <w:spacing w:val="-4"/>
                <w:kern w:val="0"/>
                <w:sz w:val="21"/>
                <w:szCs w:val="21"/>
                <w:lang w:eastAsia="zh-CN"/>
              </w:rPr>
              <w:t>，</w:t>
            </w:r>
            <w:r>
              <w:rPr>
                <w:rFonts w:ascii="Times New Roman" w:hAnsi="Times New Roman" w:eastAsia="宋体" w:cs="Times New Roman"/>
                <w:color w:val="000000"/>
                <w:spacing w:val="-4"/>
                <w:kern w:val="0"/>
                <w:sz w:val="21"/>
                <w:szCs w:val="21"/>
              </w:rPr>
              <w:t>36</w:t>
            </w:r>
            <w:r>
              <w:rPr>
                <w:rFonts w:hint="default" w:ascii="Times New Roman" w:hAnsi="Times New Roman" w:eastAsia="宋体" w:cs="Times New Roman"/>
                <w:color w:val="000000"/>
                <w:spacing w:val="-4"/>
                <w:kern w:val="0"/>
                <w:sz w:val="21"/>
                <w:szCs w:val="21"/>
              </w:rPr>
              <w:t>分以下为不达标。</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w:t>
            </w: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）有自行利用和处置设施的产废单位满分为</w:t>
            </w:r>
            <w:r>
              <w:rPr>
                <w:rFonts w:ascii="Times New Roman" w:hAnsi="Times New Roman" w:eastAsia="宋体" w:cs="Times New Roman"/>
                <w:color w:val="000000"/>
                <w:spacing w:val="-4"/>
                <w:kern w:val="0"/>
                <w:sz w:val="21"/>
                <w:szCs w:val="21"/>
              </w:rPr>
              <w:t>70</w:t>
            </w:r>
            <w:r>
              <w:rPr>
                <w:rFonts w:hint="default" w:ascii="Times New Roman" w:hAnsi="Times New Roman" w:eastAsia="宋体" w:cs="Times New Roman"/>
                <w:color w:val="000000"/>
                <w:spacing w:val="-4"/>
                <w:kern w:val="0"/>
                <w:sz w:val="21"/>
                <w:szCs w:val="21"/>
              </w:rPr>
              <w:t>分</w:t>
            </w:r>
            <w:r>
              <w:rPr>
                <w:rFonts w:hint="eastAsia" w:ascii="Times New Roman" w:hAnsi="Times New Roman" w:eastAsia="宋体" w:cs="Times New Roman"/>
                <w:color w:val="000000"/>
                <w:spacing w:val="-4"/>
                <w:kern w:val="0"/>
                <w:sz w:val="21"/>
                <w:szCs w:val="21"/>
                <w:lang w:eastAsia="zh-CN"/>
              </w:rPr>
              <w:t>，</w:t>
            </w:r>
            <w:r>
              <w:rPr>
                <w:rFonts w:ascii="Times New Roman" w:hAnsi="Times New Roman" w:eastAsia="宋体" w:cs="Times New Roman"/>
                <w:color w:val="000000"/>
                <w:spacing w:val="-4"/>
                <w:kern w:val="0"/>
                <w:sz w:val="21"/>
                <w:szCs w:val="21"/>
              </w:rPr>
              <w:t>56</w:t>
            </w:r>
            <w:r>
              <w:rPr>
                <w:rFonts w:hint="default" w:ascii="Times New Roman" w:hAnsi="Times New Roman" w:eastAsia="宋体" w:cs="Times New Roman"/>
                <w:color w:val="000000"/>
                <w:spacing w:val="-4"/>
                <w:kern w:val="0"/>
                <w:sz w:val="21"/>
                <w:szCs w:val="21"/>
              </w:rPr>
              <w:t>（含）</w:t>
            </w:r>
            <w:r>
              <w:rPr>
                <w:rFonts w:ascii="Times New Roman" w:hAnsi="Times New Roman" w:eastAsia="宋体" w:cs="Times New Roman"/>
                <w:color w:val="000000"/>
                <w:spacing w:val="-4"/>
                <w:kern w:val="0"/>
                <w:sz w:val="21"/>
                <w:szCs w:val="21"/>
              </w:rPr>
              <w:t>-70</w:t>
            </w:r>
            <w:r>
              <w:rPr>
                <w:rFonts w:hint="default" w:ascii="Times New Roman" w:hAnsi="Times New Roman" w:eastAsia="宋体" w:cs="Times New Roman"/>
                <w:color w:val="000000"/>
                <w:spacing w:val="-4"/>
                <w:kern w:val="0"/>
                <w:sz w:val="21"/>
                <w:szCs w:val="21"/>
              </w:rPr>
              <w:t>分为达标</w:t>
            </w:r>
            <w:r>
              <w:rPr>
                <w:rFonts w:hint="eastAsia" w:ascii="Times New Roman" w:hAnsi="Times New Roman" w:eastAsia="宋体" w:cs="Times New Roman"/>
                <w:color w:val="000000"/>
                <w:spacing w:val="-4"/>
                <w:kern w:val="0"/>
                <w:sz w:val="21"/>
                <w:szCs w:val="21"/>
                <w:lang w:eastAsia="zh-CN"/>
              </w:rPr>
              <w:t>，</w:t>
            </w:r>
            <w:r>
              <w:rPr>
                <w:rFonts w:ascii="Times New Roman" w:hAnsi="Times New Roman" w:eastAsia="宋体" w:cs="Times New Roman"/>
                <w:color w:val="000000"/>
                <w:spacing w:val="-4"/>
                <w:kern w:val="0"/>
                <w:sz w:val="21"/>
                <w:szCs w:val="21"/>
              </w:rPr>
              <w:t>42</w:t>
            </w:r>
            <w:r>
              <w:rPr>
                <w:rFonts w:hint="default" w:ascii="Times New Roman" w:hAnsi="Times New Roman" w:eastAsia="宋体" w:cs="Times New Roman"/>
                <w:color w:val="000000"/>
                <w:spacing w:val="-4"/>
                <w:kern w:val="0"/>
                <w:sz w:val="21"/>
                <w:szCs w:val="21"/>
              </w:rPr>
              <w:t>（含）</w:t>
            </w:r>
            <w:r>
              <w:rPr>
                <w:rFonts w:ascii="Times New Roman" w:hAnsi="Times New Roman" w:eastAsia="宋体" w:cs="Times New Roman"/>
                <w:color w:val="000000"/>
                <w:spacing w:val="-4"/>
                <w:kern w:val="0"/>
                <w:sz w:val="21"/>
                <w:szCs w:val="21"/>
              </w:rPr>
              <w:t>-56</w:t>
            </w:r>
            <w:r>
              <w:rPr>
                <w:rFonts w:hint="default" w:ascii="Times New Roman" w:hAnsi="Times New Roman" w:eastAsia="宋体" w:cs="Times New Roman"/>
                <w:color w:val="000000"/>
                <w:spacing w:val="-4"/>
                <w:kern w:val="0"/>
                <w:sz w:val="21"/>
                <w:szCs w:val="21"/>
              </w:rPr>
              <w:t>分为基本达标</w:t>
            </w:r>
            <w:r>
              <w:rPr>
                <w:rFonts w:hint="eastAsia" w:ascii="Times New Roman" w:hAnsi="Times New Roman" w:eastAsia="宋体" w:cs="Times New Roman"/>
                <w:color w:val="000000"/>
                <w:spacing w:val="-4"/>
                <w:kern w:val="0"/>
                <w:sz w:val="21"/>
                <w:szCs w:val="21"/>
                <w:lang w:eastAsia="zh-CN"/>
              </w:rPr>
              <w:t>，</w:t>
            </w:r>
            <w:r>
              <w:rPr>
                <w:rFonts w:ascii="Times New Roman" w:hAnsi="Times New Roman" w:eastAsia="宋体" w:cs="Times New Roman"/>
                <w:color w:val="000000"/>
                <w:spacing w:val="-4"/>
                <w:kern w:val="0"/>
                <w:sz w:val="21"/>
                <w:szCs w:val="21"/>
              </w:rPr>
              <w:t>42</w:t>
            </w:r>
            <w:r>
              <w:rPr>
                <w:rFonts w:hint="default" w:ascii="Times New Roman" w:hAnsi="Times New Roman" w:eastAsia="宋体" w:cs="Times New Roman"/>
                <w:color w:val="000000"/>
                <w:spacing w:val="-4"/>
                <w:kern w:val="0"/>
                <w:sz w:val="21"/>
                <w:szCs w:val="21"/>
              </w:rPr>
              <w:t>分以下为不达标。</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10.</w:t>
            </w:r>
            <w:r>
              <w:rPr>
                <w:rFonts w:hint="default" w:ascii="Times New Roman" w:hAnsi="Times New Roman" w:eastAsia="宋体" w:cs="Times New Roman"/>
                <w:color w:val="000000"/>
                <w:spacing w:val="-4"/>
                <w:kern w:val="0"/>
                <w:sz w:val="21"/>
                <w:szCs w:val="21"/>
              </w:rPr>
              <w:t>非工业源危险废物产生单位（医疗机构、实验室、机动车保养维修等单位）规范化环境管理评估指标可以参照本表。</w:t>
            </w:r>
          </w:p>
        </w:tc>
      </w:tr>
    </w:tbl>
    <w:p>
      <w:pPr>
        <w:adjustRightInd w:val="0"/>
        <w:snapToGrid w:val="0"/>
        <w:spacing w:line="288" w:lineRule="auto"/>
        <w:ind w:firstLine="960" w:firstLineChars="300"/>
        <w:jc w:val="center"/>
        <w:rPr>
          <w:rFonts w:ascii="Times New Roman" w:hAnsi="Times New Roman" w:eastAsia="黑体" w:cs="Times New Roman"/>
          <w:color w:val="000000"/>
          <w:kern w:val="0"/>
          <w:sz w:val="32"/>
          <w:szCs w:val="32"/>
        </w:rPr>
        <w:sectPr>
          <w:pgSz w:w="16838" w:h="11906" w:orient="landscape"/>
          <w:pgMar w:top="1440" w:right="1800" w:bottom="1440" w:left="1800" w:header="851" w:footer="1134" w:gutter="0"/>
          <w:pgNumType w:fmt="decimal"/>
          <w:cols w:space="720" w:num="1"/>
          <w:rtlGutter w:val="0"/>
          <w:docGrid w:type="lines" w:linePitch="327" w:charSpace="0"/>
        </w:sectPr>
      </w:pPr>
    </w:p>
    <w:p>
      <w:pPr>
        <w:autoSpaceDE w:val="0"/>
        <w:autoSpaceDN w:val="0"/>
        <w:adjustRightInd w:val="0"/>
        <w:snapToGrid w:val="0"/>
        <w:spacing w:line="240" w:lineRule="auto"/>
        <w:ind w:firstLine="0" w:firstLineChars="0"/>
        <w:jc w:val="center"/>
        <w:rPr>
          <w:rFonts w:hint="default" w:ascii="Times New Roman" w:hAnsi="Times New Roman" w:eastAsia="方正小标宋简体" w:cs="Times New Roman"/>
          <w:bCs/>
          <w:color w:val="000000"/>
          <w:kern w:val="0"/>
          <w:sz w:val="44"/>
          <w:szCs w:val="44"/>
        </w:rPr>
      </w:pPr>
      <w:r>
        <w:rPr>
          <w:rFonts w:hint="eastAsia" w:ascii="方正小标宋简体" w:hAnsi="方正小标宋简体" w:eastAsia="方正小标宋简体" w:cs="方正小标宋简体"/>
          <w:bCs/>
          <w:color w:val="000000"/>
          <w:kern w:val="0"/>
          <w:sz w:val="44"/>
          <w:szCs w:val="44"/>
        </w:rPr>
        <w:t>表</w:t>
      </w:r>
      <w:r>
        <w:rPr>
          <w:rFonts w:hint="eastAsia" w:ascii="方正小标宋简体" w:hAnsi="方正小标宋简体" w:eastAsia="方正小标宋简体" w:cs="方正小标宋简体"/>
          <w:bCs/>
          <w:color w:val="000000"/>
          <w:kern w:val="0"/>
          <w:sz w:val="44"/>
          <w:szCs w:val="44"/>
          <w:lang w:val="en-US" w:eastAsia="zh-CN"/>
        </w:rPr>
        <w:t>2</w:t>
      </w:r>
      <w:r>
        <w:rPr>
          <w:rFonts w:hint="eastAsia" w:ascii="方正小标宋简体" w:hAnsi="方正小标宋简体" w:eastAsia="方正小标宋简体" w:cs="方正小标宋简体"/>
          <w:bCs/>
          <w:color w:val="000000"/>
          <w:kern w:val="0"/>
          <w:sz w:val="44"/>
          <w:szCs w:val="44"/>
        </w:rPr>
        <w:t xml:space="preserve"> </w:t>
      </w:r>
      <w:r>
        <w:rPr>
          <w:rFonts w:hint="default" w:ascii="Times New Roman" w:hAnsi="Times New Roman" w:eastAsia="方正小标宋简体" w:cs="Times New Roman"/>
          <w:bCs/>
          <w:color w:val="000000"/>
          <w:kern w:val="0"/>
          <w:sz w:val="44"/>
          <w:szCs w:val="44"/>
        </w:rPr>
        <w:t xml:space="preserve"> 危险废物规范化环境管理评估指标（危险废物经营单位）</w:t>
      </w:r>
    </w:p>
    <w:tbl>
      <w:tblPr>
        <w:tblStyle w:val="7"/>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058"/>
        <w:gridCol w:w="1962"/>
        <w:gridCol w:w="720"/>
        <w:gridCol w:w="710"/>
        <w:gridCol w:w="1850"/>
        <w:gridCol w:w="394"/>
        <w:gridCol w:w="4790"/>
        <w:gridCol w:w="2122"/>
        <w:gridCol w:w="70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058" w:type="dxa"/>
            <w:vMerge w:val="restart"/>
            <w:noWrap w:val="0"/>
            <w:vAlign w:val="center"/>
          </w:tcPr>
          <w:p>
            <w:pPr>
              <w:widowControl/>
              <w:adjustRightInd w:val="0"/>
              <w:snapToGrid w:val="0"/>
              <w:spacing w:line="240" w:lineRule="auto"/>
              <w:ind w:firstLine="0" w:firstLineChars="0"/>
              <w:jc w:val="center"/>
              <w:rPr>
                <w:rFonts w:ascii="Times New Roman" w:hAnsi="Times New Roman" w:eastAsia="黑体" w:cs="Times New Roman"/>
                <w:color w:val="000000"/>
                <w:spacing w:val="-4"/>
                <w:kern w:val="0"/>
                <w:sz w:val="21"/>
                <w:szCs w:val="21"/>
              </w:rPr>
            </w:pPr>
            <w:r>
              <w:rPr>
                <w:rFonts w:hint="default" w:ascii="Times New Roman" w:hAnsi="Times New Roman" w:eastAsia="黑体" w:cs="Times New Roman"/>
                <w:color w:val="000000"/>
                <w:spacing w:val="-4"/>
                <w:kern w:val="0"/>
                <w:sz w:val="21"/>
                <w:szCs w:val="21"/>
              </w:rPr>
              <w:t>评估项目</w:t>
            </w:r>
          </w:p>
        </w:tc>
        <w:tc>
          <w:tcPr>
            <w:tcW w:w="1962" w:type="dxa"/>
            <w:vMerge w:val="restart"/>
            <w:noWrap w:val="0"/>
            <w:vAlign w:val="center"/>
          </w:tcPr>
          <w:p>
            <w:pPr>
              <w:widowControl/>
              <w:adjustRightInd w:val="0"/>
              <w:snapToGrid w:val="0"/>
              <w:spacing w:line="240" w:lineRule="auto"/>
              <w:ind w:firstLine="0" w:firstLineChars="0"/>
              <w:jc w:val="center"/>
              <w:rPr>
                <w:rFonts w:ascii="Times New Roman" w:hAnsi="Times New Roman" w:eastAsia="黑体" w:cs="Times New Roman"/>
                <w:color w:val="000000"/>
                <w:spacing w:val="-4"/>
                <w:kern w:val="0"/>
                <w:sz w:val="21"/>
                <w:szCs w:val="21"/>
              </w:rPr>
            </w:pPr>
            <w:r>
              <w:rPr>
                <w:rFonts w:hint="default" w:ascii="Times New Roman" w:hAnsi="Times New Roman" w:eastAsia="黑体" w:cs="Times New Roman"/>
                <w:color w:val="000000"/>
                <w:spacing w:val="-4"/>
                <w:kern w:val="0"/>
                <w:sz w:val="21"/>
                <w:szCs w:val="21"/>
              </w:rPr>
              <w:t>评估主要内容</w:t>
            </w:r>
          </w:p>
        </w:tc>
        <w:tc>
          <w:tcPr>
            <w:tcW w:w="1430" w:type="dxa"/>
            <w:gridSpan w:val="2"/>
            <w:noWrap w:val="0"/>
            <w:vAlign w:val="center"/>
          </w:tcPr>
          <w:p>
            <w:pPr>
              <w:widowControl/>
              <w:adjustRightInd w:val="0"/>
              <w:snapToGrid w:val="0"/>
              <w:spacing w:line="240" w:lineRule="auto"/>
              <w:ind w:firstLine="0" w:firstLineChars="0"/>
              <w:jc w:val="center"/>
              <w:rPr>
                <w:rFonts w:ascii="Times New Roman" w:hAnsi="Times New Roman" w:eastAsia="黑体" w:cs="Times New Roman"/>
                <w:color w:val="000000"/>
                <w:spacing w:val="-4"/>
                <w:kern w:val="0"/>
                <w:sz w:val="21"/>
                <w:szCs w:val="21"/>
              </w:rPr>
            </w:pPr>
            <w:r>
              <w:rPr>
                <w:rFonts w:hint="default" w:ascii="Times New Roman" w:hAnsi="Times New Roman" w:eastAsia="黑体" w:cs="Times New Roman"/>
                <w:color w:val="000000"/>
                <w:spacing w:val="-4"/>
                <w:kern w:val="0"/>
                <w:sz w:val="21"/>
                <w:szCs w:val="21"/>
              </w:rPr>
              <w:t>分数</w:t>
            </w:r>
          </w:p>
        </w:tc>
        <w:tc>
          <w:tcPr>
            <w:tcW w:w="1850" w:type="dxa"/>
            <w:vMerge w:val="restart"/>
            <w:noWrap w:val="0"/>
            <w:vAlign w:val="center"/>
          </w:tcPr>
          <w:p>
            <w:pPr>
              <w:widowControl/>
              <w:adjustRightInd w:val="0"/>
              <w:snapToGrid w:val="0"/>
              <w:spacing w:line="240" w:lineRule="auto"/>
              <w:ind w:firstLine="0" w:firstLineChars="0"/>
              <w:jc w:val="center"/>
              <w:rPr>
                <w:rFonts w:ascii="Times New Roman" w:hAnsi="Times New Roman" w:eastAsia="黑体" w:cs="Times New Roman"/>
                <w:color w:val="000000"/>
                <w:spacing w:val="-4"/>
                <w:kern w:val="0"/>
                <w:sz w:val="21"/>
                <w:szCs w:val="21"/>
              </w:rPr>
            </w:pPr>
            <w:r>
              <w:rPr>
                <w:rFonts w:hint="default" w:ascii="Times New Roman" w:hAnsi="Times New Roman" w:eastAsia="黑体" w:cs="Times New Roman"/>
                <w:color w:val="000000"/>
                <w:spacing w:val="-4"/>
                <w:kern w:val="0"/>
                <w:sz w:val="21"/>
                <w:szCs w:val="21"/>
              </w:rPr>
              <w:t>评估标准</w:t>
            </w:r>
          </w:p>
        </w:tc>
        <w:tc>
          <w:tcPr>
            <w:tcW w:w="5184" w:type="dxa"/>
            <w:gridSpan w:val="2"/>
            <w:vMerge w:val="restart"/>
            <w:noWrap w:val="0"/>
            <w:vAlign w:val="center"/>
          </w:tcPr>
          <w:p>
            <w:pPr>
              <w:widowControl/>
              <w:adjustRightInd w:val="0"/>
              <w:snapToGrid w:val="0"/>
              <w:spacing w:line="240" w:lineRule="auto"/>
              <w:ind w:firstLine="0" w:firstLineChars="0"/>
              <w:jc w:val="center"/>
              <w:rPr>
                <w:rFonts w:ascii="Times New Roman" w:hAnsi="Times New Roman" w:eastAsia="黑体" w:cs="Times New Roman"/>
                <w:color w:val="000000"/>
                <w:spacing w:val="-4"/>
                <w:kern w:val="0"/>
                <w:sz w:val="21"/>
                <w:szCs w:val="21"/>
              </w:rPr>
            </w:pPr>
            <w:r>
              <w:rPr>
                <w:rFonts w:hint="default" w:ascii="Times New Roman" w:hAnsi="Times New Roman" w:eastAsia="黑体" w:cs="Times New Roman"/>
                <w:color w:val="000000"/>
                <w:spacing w:val="-4"/>
                <w:kern w:val="0"/>
                <w:sz w:val="21"/>
                <w:szCs w:val="21"/>
              </w:rPr>
              <w:t>评分要点</w:t>
            </w:r>
          </w:p>
        </w:tc>
        <w:tc>
          <w:tcPr>
            <w:tcW w:w="2122" w:type="dxa"/>
            <w:vMerge w:val="restart"/>
            <w:noWrap w:val="0"/>
            <w:vAlign w:val="center"/>
          </w:tcPr>
          <w:p>
            <w:pPr>
              <w:widowControl/>
              <w:adjustRightInd w:val="0"/>
              <w:snapToGrid w:val="0"/>
              <w:spacing w:line="240" w:lineRule="auto"/>
              <w:ind w:firstLine="0" w:firstLineChars="0"/>
              <w:jc w:val="center"/>
              <w:rPr>
                <w:rFonts w:ascii="Times New Roman" w:hAnsi="Times New Roman" w:eastAsia="黑体" w:cs="Times New Roman"/>
                <w:color w:val="000000"/>
                <w:spacing w:val="-4"/>
                <w:kern w:val="0"/>
                <w:sz w:val="21"/>
                <w:szCs w:val="21"/>
              </w:rPr>
            </w:pPr>
            <w:r>
              <w:rPr>
                <w:rFonts w:hint="default" w:ascii="Times New Roman" w:hAnsi="Times New Roman" w:eastAsia="黑体" w:cs="Times New Roman"/>
                <w:color w:val="000000"/>
                <w:spacing w:val="-4"/>
                <w:kern w:val="0"/>
                <w:sz w:val="21"/>
                <w:szCs w:val="21"/>
              </w:rPr>
              <w:t>评估方法</w:t>
            </w:r>
          </w:p>
        </w:tc>
        <w:tc>
          <w:tcPr>
            <w:tcW w:w="705" w:type="dxa"/>
            <w:vMerge w:val="restart"/>
            <w:noWrap w:val="0"/>
            <w:vAlign w:val="center"/>
          </w:tcPr>
          <w:p>
            <w:pPr>
              <w:widowControl/>
              <w:adjustRightInd w:val="0"/>
              <w:snapToGrid w:val="0"/>
              <w:spacing w:line="240" w:lineRule="auto"/>
              <w:ind w:firstLine="0" w:firstLineChars="0"/>
              <w:rPr>
                <w:rFonts w:ascii="Times New Roman" w:hAnsi="Times New Roman" w:eastAsia="黑体" w:cs="Times New Roman"/>
                <w:color w:val="000000"/>
                <w:spacing w:val="-4"/>
                <w:kern w:val="0"/>
                <w:sz w:val="21"/>
                <w:szCs w:val="21"/>
              </w:rPr>
            </w:pPr>
            <w:r>
              <w:rPr>
                <w:rFonts w:hint="default" w:ascii="Times New Roman" w:hAnsi="Times New Roman" w:eastAsia="黑体" w:cs="Times New Roman"/>
                <w:color w:val="000000"/>
                <w:spacing w:val="-4"/>
                <w:kern w:val="0"/>
                <w:sz w:val="21"/>
                <w:szCs w:val="21"/>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058" w:type="dxa"/>
            <w:vMerge w:val="continue"/>
            <w:noWrap w:val="0"/>
            <w:vAlign w:val="center"/>
          </w:tcPr>
          <w:p>
            <w:pPr>
              <w:widowControl/>
              <w:adjustRightInd w:val="0"/>
              <w:snapToGrid w:val="0"/>
              <w:spacing w:before="100" w:beforeAutospacing="1" w:after="100" w:afterAutospacing="1" w:line="240" w:lineRule="auto"/>
              <w:ind w:firstLine="0" w:firstLineChars="0"/>
              <w:outlineLvl w:val="2"/>
              <w:rPr>
                <w:rFonts w:ascii="Times New Roman" w:hAnsi="Times New Roman" w:eastAsia="黑体" w:cs="Times New Roman"/>
                <w:color w:val="000000"/>
                <w:spacing w:val="-4"/>
                <w:kern w:val="0"/>
                <w:sz w:val="21"/>
                <w:szCs w:val="21"/>
              </w:rPr>
            </w:pPr>
          </w:p>
        </w:tc>
        <w:tc>
          <w:tcPr>
            <w:tcW w:w="1962" w:type="dxa"/>
            <w:vMerge w:val="continue"/>
            <w:noWrap w:val="0"/>
            <w:vAlign w:val="center"/>
          </w:tcPr>
          <w:p>
            <w:pPr>
              <w:widowControl/>
              <w:adjustRightInd w:val="0"/>
              <w:snapToGrid w:val="0"/>
              <w:spacing w:before="100" w:beforeAutospacing="1" w:after="100" w:afterAutospacing="1" w:line="240" w:lineRule="auto"/>
              <w:ind w:firstLine="0" w:firstLineChars="0"/>
              <w:jc w:val="center"/>
              <w:outlineLvl w:val="2"/>
              <w:rPr>
                <w:rFonts w:ascii="Times New Roman" w:hAnsi="Times New Roman" w:eastAsia="黑体" w:cs="Times New Roman"/>
                <w:color w:val="000000"/>
                <w:spacing w:val="-4"/>
                <w:kern w:val="0"/>
                <w:sz w:val="21"/>
                <w:szCs w:val="21"/>
              </w:rPr>
            </w:pPr>
          </w:p>
        </w:tc>
        <w:tc>
          <w:tcPr>
            <w:tcW w:w="720" w:type="dxa"/>
            <w:noWrap w:val="0"/>
            <w:vAlign w:val="center"/>
          </w:tcPr>
          <w:p>
            <w:pPr>
              <w:widowControl/>
              <w:adjustRightInd w:val="0"/>
              <w:snapToGrid w:val="0"/>
              <w:spacing w:line="240" w:lineRule="auto"/>
              <w:ind w:firstLine="0" w:firstLineChars="0"/>
              <w:jc w:val="center"/>
              <w:rPr>
                <w:rFonts w:ascii="Times New Roman" w:hAnsi="Times New Roman" w:eastAsia="黑体" w:cs="Times New Roman"/>
                <w:color w:val="000000"/>
                <w:spacing w:val="-4"/>
                <w:kern w:val="0"/>
                <w:sz w:val="21"/>
                <w:szCs w:val="21"/>
              </w:rPr>
            </w:pPr>
            <w:r>
              <w:rPr>
                <w:rFonts w:hint="default" w:ascii="Times New Roman" w:hAnsi="Times New Roman" w:eastAsia="黑体" w:cs="Times New Roman"/>
                <w:color w:val="000000"/>
                <w:spacing w:val="-4"/>
                <w:kern w:val="0"/>
                <w:sz w:val="21"/>
                <w:szCs w:val="21"/>
              </w:rPr>
              <w:t>满分</w:t>
            </w:r>
          </w:p>
        </w:tc>
        <w:tc>
          <w:tcPr>
            <w:tcW w:w="710" w:type="dxa"/>
            <w:noWrap w:val="0"/>
            <w:vAlign w:val="center"/>
          </w:tcPr>
          <w:p>
            <w:pPr>
              <w:widowControl/>
              <w:adjustRightInd w:val="0"/>
              <w:snapToGrid w:val="0"/>
              <w:spacing w:line="240" w:lineRule="auto"/>
              <w:ind w:firstLine="0" w:firstLineChars="0"/>
              <w:jc w:val="center"/>
              <w:rPr>
                <w:rFonts w:ascii="Times New Roman" w:hAnsi="Times New Roman" w:eastAsia="黑体" w:cs="Times New Roman"/>
                <w:color w:val="000000"/>
                <w:spacing w:val="-4"/>
                <w:kern w:val="0"/>
                <w:sz w:val="21"/>
                <w:szCs w:val="21"/>
              </w:rPr>
            </w:pPr>
            <w:r>
              <w:rPr>
                <w:rFonts w:hint="default" w:ascii="Times New Roman" w:hAnsi="Times New Roman" w:eastAsia="黑体" w:cs="Times New Roman"/>
                <w:color w:val="000000"/>
                <w:spacing w:val="-4"/>
                <w:kern w:val="0"/>
                <w:sz w:val="21"/>
                <w:szCs w:val="21"/>
              </w:rPr>
              <w:t>得分</w:t>
            </w:r>
          </w:p>
        </w:tc>
        <w:tc>
          <w:tcPr>
            <w:tcW w:w="1850" w:type="dxa"/>
            <w:vMerge w:val="continue"/>
            <w:noWrap w:val="0"/>
            <w:vAlign w:val="center"/>
          </w:tcPr>
          <w:p>
            <w:pPr>
              <w:widowControl/>
              <w:adjustRightInd w:val="0"/>
              <w:snapToGrid w:val="0"/>
              <w:spacing w:before="100" w:beforeAutospacing="1" w:after="100" w:afterAutospacing="1" w:line="240" w:lineRule="auto"/>
              <w:ind w:firstLine="0" w:firstLineChars="0"/>
              <w:jc w:val="center"/>
              <w:outlineLvl w:val="0"/>
              <w:rPr>
                <w:rFonts w:ascii="Times New Roman" w:hAnsi="Times New Roman" w:eastAsia="黑体" w:cs="Times New Roman"/>
                <w:color w:val="000000"/>
                <w:spacing w:val="-4"/>
                <w:kern w:val="0"/>
                <w:sz w:val="21"/>
                <w:szCs w:val="21"/>
              </w:rPr>
            </w:pPr>
          </w:p>
        </w:tc>
        <w:tc>
          <w:tcPr>
            <w:tcW w:w="5184" w:type="dxa"/>
            <w:gridSpan w:val="2"/>
            <w:vMerge w:val="continue"/>
            <w:noWrap w:val="0"/>
            <w:vAlign w:val="center"/>
          </w:tcPr>
          <w:p>
            <w:pPr>
              <w:widowControl/>
              <w:adjustRightInd w:val="0"/>
              <w:snapToGrid w:val="0"/>
              <w:spacing w:before="100" w:beforeAutospacing="1" w:after="100" w:afterAutospacing="1" w:line="240" w:lineRule="auto"/>
              <w:ind w:firstLine="0" w:firstLineChars="0"/>
              <w:jc w:val="center"/>
              <w:outlineLvl w:val="0"/>
              <w:rPr>
                <w:rFonts w:ascii="Times New Roman" w:hAnsi="Times New Roman" w:eastAsia="黑体" w:cs="Times New Roman"/>
                <w:color w:val="000000"/>
                <w:spacing w:val="-4"/>
                <w:kern w:val="0"/>
                <w:sz w:val="21"/>
                <w:szCs w:val="21"/>
              </w:rPr>
            </w:pPr>
          </w:p>
        </w:tc>
        <w:tc>
          <w:tcPr>
            <w:tcW w:w="2122" w:type="dxa"/>
            <w:vMerge w:val="continue"/>
            <w:noWrap w:val="0"/>
            <w:vAlign w:val="center"/>
          </w:tcPr>
          <w:p>
            <w:pPr>
              <w:widowControl/>
              <w:adjustRightInd w:val="0"/>
              <w:snapToGrid w:val="0"/>
              <w:spacing w:before="100" w:beforeAutospacing="1" w:after="100" w:afterAutospacing="1" w:line="240" w:lineRule="auto"/>
              <w:ind w:firstLine="0" w:firstLineChars="0"/>
              <w:jc w:val="center"/>
              <w:outlineLvl w:val="0"/>
              <w:rPr>
                <w:rFonts w:ascii="Times New Roman" w:hAnsi="Times New Roman" w:eastAsia="黑体" w:cs="Times New Roman"/>
                <w:color w:val="000000"/>
                <w:spacing w:val="-4"/>
                <w:kern w:val="0"/>
                <w:sz w:val="21"/>
                <w:szCs w:val="21"/>
              </w:rPr>
            </w:pPr>
          </w:p>
        </w:tc>
        <w:tc>
          <w:tcPr>
            <w:tcW w:w="705" w:type="dxa"/>
            <w:vMerge w:val="continue"/>
            <w:noWrap w:val="0"/>
            <w:vAlign w:val="center"/>
          </w:tcPr>
          <w:p>
            <w:pPr>
              <w:widowControl/>
              <w:adjustRightInd w:val="0"/>
              <w:snapToGrid w:val="0"/>
              <w:spacing w:before="100" w:beforeAutospacing="1" w:after="100" w:afterAutospacing="1" w:line="240" w:lineRule="auto"/>
              <w:ind w:firstLine="0" w:firstLineChars="0"/>
              <w:jc w:val="center"/>
              <w:outlineLvl w:val="0"/>
              <w:rPr>
                <w:rFonts w:ascii="Times New Roman" w:hAnsi="Times New Roman" w:eastAsia="黑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58" w:type="dxa"/>
            <w:vMerge w:val="restart"/>
            <w:noWrap w:val="0"/>
            <w:vAlign w:val="center"/>
          </w:tcPr>
          <w:p>
            <w:pPr>
              <w:widowControl/>
              <w:adjustRightInd w:val="0"/>
              <w:snapToGrid w:val="0"/>
              <w:spacing w:line="21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一、经营许可证制度（《固废法》第八十条）</w:t>
            </w:r>
          </w:p>
        </w:tc>
        <w:tc>
          <w:tcPr>
            <w:tcW w:w="1962" w:type="dxa"/>
            <w:noWrap w:val="0"/>
            <w:vAlign w:val="center"/>
          </w:tcPr>
          <w:p>
            <w:pPr>
              <w:widowControl/>
              <w:adjustRightInd w:val="0"/>
              <w:snapToGrid w:val="0"/>
              <w:spacing w:line="218"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按照危险废物经营许可证规定从事危险废物收集、贮存、利用、处置等经营活动。</w:t>
            </w:r>
          </w:p>
        </w:tc>
        <w:tc>
          <w:tcPr>
            <w:tcW w:w="720" w:type="dxa"/>
            <w:noWrap w:val="0"/>
            <w:vAlign w:val="center"/>
          </w:tcPr>
          <w:p>
            <w:pPr>
              <w:widowControl/>
              <w:adjustRightInd w:val="0"/>
              <w:snapToGrid w:val="0"/>
              <w:spacing w:line="218"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4</w:t>
            </w:r>
          </w:p>
        </w:tc>
        <w:tc>
          <w:tcPr>
            <w:tcW w:w="710" w:type="dxa"/>
            <w:noWrap w:val="0"/>
            <w:vAlign w:val="center"/>
          </w:tcPr>
          <w:p>
            <w:pPr>
              <w:widowControl/>
              <w:adjustRightInd w:val="0"/>
              <w:snapToGrid w:val="0"/>
              <w:spacing w:line="218" w:lineRule="auto"/>
              <w:ind w:firstLine="0" w:firstLineChars="0"/>
              <w:jc w:val="center"/>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1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严格按照危险废物经营许可证规定从事经营活动。</w:t>
            </w:r>
          </w:p>
        </w:tc>
        <w:tc>
          <w:tcPr>
            <w:tcW w:w="5184" w:type="dxa"/>
            <w:gridSpan w:val="2"/>
            <w:noWrap w:val="0"/>
            <w:vAlign w:val="center"/>
          </w:tcPr>
          <w:p>
            <w:pPr>
              <w:widowControl/>
              <w:adjustRightInd w:val="0"/>
              <w:snapToGrid w:val="0"/>
              <w:spacing w:line="218" w:lineRule="auto"/>
              <w:ind w:firstLine="0" w:firstLineChars="0"/>
              <w:jc w:val="left"/>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严格按照危险废物经营许可证规定从事经营活动。得</w:t>
            </w:r>
            <w:r>
              <w:rPr>
                <w:rFonts w:ascii="Times New Roman" w:hAnsi="Times New Roman" w:eastAsia="宋体" w:cs="Times New Roman"/>
                <w:color w:val="000000"/>
                <w:spacing w:val="-4"/>
                <w:kern w:val="0"/>
                <w:sz w:val="21"/>
                <w:szCs w:val="21"/>
              </w:rPr>
              <w:t>4</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未按照危险废物经营许可证规定从事经营活动。得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p>
            <w:pPr>
              <w:widowControl/>
              <w:adjustRightInd w:val="0"/>
              <w:snapToGrid w:val="0"/>
              <w:spacing w:line="218" w:lineRule="auto"/>
              <w:ind w:firstLine="0" w:firstLineChars="0"/>
              <w:jc w:val="left"/>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注：以下情形均为未按照危险废物经营许可证规定从事经营活动的行为：</w:t>
            </w:r>
          </w:p>
          <w:p>
            <w:pPr>
              <w:widowControl/>
              <w:adjustRightInd w:val="0"/>
              <w:snapToGrid w:val="0"/>
              <w:spacing w:line="218" w:lineRule="auto"/>
              <w:ind w:firstLine="0" w:firstLineChars="0"/>
              <w:jc w:val="left"/>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A.</w:t>
            </w:r>
            <w:r>
              <w:rPr>
                <w:rFonts w:hint="default" w:ascii="Times New Roman" w:hAnsi="Times New Roman" w:eastAsia="宋体" w:cs="Times New Roman"/>
                <w:color w:val="000000"/>
                <w:spacing w:val="-4"/>
                <w:kern w:val="0"/>
                <w:sz w:val="21"/>
                <w:szCs w:val="21"/>
              </w:rPr>
              <w:t>不遵守许可证中所注明或附加的条件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不依许可证中所规定的种类、性质、方式、数量、经营时限等条件接受危险废物。</w:t>
            </w:r>
          </w:p>
          <w:p>
            <w:pPr>
              <w:widowControl/>
              <w:adjustRightInd w:val="0"/>
              <w:snapToGrid w:val="0"/>
              <w:spacing w:line="218" w:lineRule="auto"/>
              <w:ind w:firstLine="0" w:firstLineChars="0"/>
              <w:jc w:val="left"/>
              <w:rPr>
                <w:rFonts w:ascii="Times New Roman" w:hAnsi="Times New Roman" w:eastAsia="宋体" w:cs="Times New Roman"/>
                <w:color w:val="000000"/>
                <w:spacing w:val="-5"/>
                <w:kern w:val="0"/>
                <w:sz w:val="21"/>
                <w:szCs w:val="21"/>
              </w:rPr>
            </w:pPr>
            <w:r>
              <w:rPr>
                <w:rFonts w:ascii="Times New Roman" w:hAnsi="Times New Roman" w:eastAsia="宋体" w:cs="Times New Roman"/>
                <w:color w:val="000000"/>
                <w:spacing w:val="-5"/>
                <w:kern w:val="0"/>
                <w:sz w:val="21"/>
                <w:szCs w:val="21"/>
              </w:rPr>
              <w:t>B.</w:t>
            </w:r>
            <w:r>
              <w:rPr>
                <w:rFonts w:hint="default" w:ascii="Times New Roman" w:hAnsi="Times New Roman" w:eastAsia="宋体" w:cs="Times New Roman"/>
                <w:color w:val="000000"/>
                <w:spacing w:val="-5"/>
                <w:kern w:val="0"/>
                <w:sz w:val="21"/>
                <w:szCs w:val="21"/>
              </w:rPr>
              <w:t>不依取得许可证时规定的条件和要求建设、配备、使用、管理有关设施、设备和配备、培训人员。</w:t>
            </w:r>
          </w:p>
          <w:p>
            <w:pPr>
              <w:widowControl/>
              <w:adjustRightInd w:val="0"/>
              <w:snapToGrid w:val="0"/>
              <w:spacing w:line="218" w:lineRule="auto"/>
              <w:ind w:firstLine="0" w:firstLineChars="0"/>
              <w:jc w:val="left"/>
              <w:rPr>
                <w:rFonts w:ascii="Times New Roman" w:hAnsi="Times New Roman" w:eastAsia="宋体" w:cs="Times New Roman"/>
                <w:color w:val="000000"/>
                <w:spacing w:val="-6"/>
                <w:kern w:val="0"/>
                <w:sz w:val="21"/>
                <w:szCs w:val="21"/>
              </w:rPr>
            </w:pPr>
            <w:r>
              <w:rPr>
                <w:rFonts w:ascii="Times New Roman" w:hAnsi="Times New Roman" w:eastAsia="宋体" w:cs="Times New Roman"/>
                <w:color w:val="000000"/>
                <w:spacing w:val="-4"/>
                <w:kern w:val="0"/>
                <w:sz w:val="21"/>
                <w:szCs w:val="21"/>
              </w:rPr>
              <w:t>C.</w:t>
            </w:r>
            <w:r>
              <w:rPr>
                <w:rFonts w:hint="default" w:ascii="Times New Roman" w:hAnsi="Times New Roman" w:eastAsia="宋体" w:cs="Times New Roman"/>
                <w:color w:val="000000"/>
                <w:spacing w:val="-4"/>
                <w:kern w:val="0"/>
                <w:sz w:val="21"/>
                <w:szCs w:val="21"/>
              </w:rPr>
              <w:t>在许可证使用期满时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不按规定上缴、注销许可证或申请办理延期手续。</w:t>
            </w:r>
          </w:p>
        </w:tc>
        <w:tc>
          <w:tcPr>
            <w:tcW w:w="2122" w:type="dxa"/>
            <w:noWrap w:val="0"/>
            <w:vAlign w:val="center"/>
          </w:tcPr>
          <w:p>
            <w:pPr>
              <w:widowControl/>
              <w:adjustRightInd w:val="0"/>
              <w:snapToGrid w:val="0"/>
              <w:spacing w:line="21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查阅相关资料、现场核查（对照所持危险废物经营许可证的相关规定核对是否按要求从事经营活动）</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42" w:hRule="atLeast"/>
          <w:jc w:val="center"/>
        </w:trPr>
        <w:tc>
          <w:tcPr>
            <w:tcW w:w="1058" w:type="dxa"/>
            <w:vMerge w:val="continue"/>
            <w:noWrap w:val="0"/>
            <w:vAlign w:val="center"/>
          </w:tcPr>
          <w:p>
            <w:pPr>
              <w:widowControl/>
              <w:adjustRightInd w:val="0"/>
              <w:snapToGrid w:val="0"/>
              <w:spacing w:line="218" w:lineRule="auto"/>
              <w:ind w:firstLine="0" w:firstLineChars="0"/>
              <w:rPr>
                <w:rFonts w:ascii="Times New Roman" w:hAnsi="Times New Roman" w:eastAsia="宋体" w:cs="Times New Roman"/>
                <w:color w:val="000000"/>
                <w:spacing w:val="-4"/>
                <w:kern w:val="0"/>
                <w:sz w:val="21"/>
                <w:szCs w:val="21"/>
              </w:rPr>
            </w:pPr>
          </w:p>
        </w:tc>
        <w:tc>
          <w:tcPr>
            <w:tcW w:w="1962" w:type="dxa"/>
            <w:noWrap w:val="0"/>
            <w:vAlign w:val="center"/>
          </w:tcPr>
          <w:p>
            <w:pPr>
              <w:widowControl/>
              <w:adjustRightInd w:val="0"/>
              <w:snapToGrid w:val="0"/>
              <w:spacing w:line="218"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危险废物收集许可证持有单位</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应当在规定的时限内将收集的危险废物提供或者委托给利用、处置单位进行利用或者处置。（仅适用于持危险废物收集经营许可证的单位）</w:t>
            </w:r>
          </w:p>
        </w:tc>
        <w:tc>
          <w:tcPr>
            <w:tcW w:w="720" w:type="dxa"/>
            <w:noWrap w:val="0"/>
            <w:vAlign w:val="center"/>
          </w:tcPr>
          <w:p>
            <w:pPr>
              <w:widowControl/>
              <w:adjustRightInd w:val="0"/>
              <w:snapToGrid w:val="0"/>
              <w:spacing w:line="218"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p>
        </w:tc>
        <w:tc>
          <w:tcPr>
            <w:tcW w:w="710" w:type="dxa"/>
            <w:noWrap w:val="0"/>
            <w:vAlign w:val="center"/>
          </w:tcPr>
          <w:p>
            <w:pPr>
              <w:widowControl/>
              <w:adjustRightInd w:val="0"/>
              <w:snapToGrid w:val="0"/>
              <w:spacing w:line="218" w:lineRule="auto"/>
              <w:ind w:firstLine="0" w:firstLineChars="0"/>
              <w:jc w:val="center"/>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1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在规定的时限内将危险废物转移给利用、处置单位。</w:t>
            </w:r>
          </w:p>
        </w:tc>
        <w:tc>
          <w:tcPr>
            <w:tcW w:w="5184" w:type="dxa"/>
            <w:gridSpan w:val="2"/>
            <w:noWrap w:val="0"/>
            <w:vAlign w:val="center"/>
          </w:tcPr>
          <w:p>
            <w:pPr>
              <w:widowControl/>
              <w:adjustRightInd w:val="0"/>
              <w:snapToGrid w:val="0"/>
              <w:spacing w:line="218" w:lineRule="auto"/>
              <w:ind w:firstLine="0" w:firstLineChars="0"/>
              <w:jc w:val="left"/>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在规定的时限内将收集的危险废物转移给具有相应资质的单位处理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能提供相应的合同、危险废物经营许可证及经营管理台账等相关证明材料</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超期的提供发证生态环境主管部门同意延期的证明材料。得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未在规定的时限内将收集的危险废物转移给具有相应资质的单位、且不能提供发证生态环境主管部门同意延期的证明材料</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或未提供相应的合同、危险废物经营许可证及经营管理台账等相关证明材料。得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2122" w:type="dxa"/>
            <w:noWrap w:val="0"/>
            <w:vAlign w:val="center"/>
          </w:tcPr>
          <w:p>
            <w:pPr>
              <w:widowControl/>
              <w:adjustRightInd w:val="0"/>
              <w:snapToGrid w:val="0"/>
              <w:spacing w:line="21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查阅相关资料（查看接收合同和接收单位的危险废物经营许可证等相关材料；查看经营管理台账）</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35" w:hRule="atLeast"/>
          <w:jc w:val="center"/>
        </w:trPr>
        <w:tc>
          <w:tcPr>
            <w:tcW w:w="1058" w:type="dxa"/>
            <w:vMerge w:val="restart"/>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二、标识制度（《固废法》第七十七条）</w:t>
            </w:r>
          </w:p>
        </w:tc>
        <w:tc>
          <w:tcPr>
            <w:tcW w:w="196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危险废物的容器和包装物应当按照规定设置危险废物识别标志。</w:t>
            </w:r>
          </w:p>
        </w:tc>
        <w:tc>
          <w:tcPr>
            <w:tcW w:w="720"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p>
        </w:tc>
        <w:tc>
          <w:tcPr>
            <w:tcW w:w="71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依据国家和地方相关标准规范所示标签设置危险废物识别标志。</w:t>
            </w:r>
          </w:p>
        </w:tc>
        <w:tc>
          <w:tcPr>
            <w:tcW w:w="5184" w:type="dxa"/>
            <w:gridSpan w:val="2"/>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6"/>
                <w:kern w:val="0"/>
                <w:sz w:val="21"/>
                <w:szCs w:val="21"/>
              </w:rPr>
            </w:pPr>
            <w:r>
              <w:rPr>
                <w:rFonts w:ascii="Times New Roman" w:hAnsi="Times New Roman" w:eastAsia="宋体" w:cs="Times New Roman"/>
                <w:color w:val="000000"/>
                <w:spacing w:val="-6"/>
                <w:kern w:val="0"/>
                <w:sz w:val="21"/>
                <w:szCs w:val="21"/>
              </w:rPr>
              <w:t>1.</w:t>
            </w:r>
            <w:r>
              <w:rPr>
                <w:rFonts w:hint="default" w:ascii="Times New Roman" w:hAnsi="Times New Roman" w:eastAsia="宋体" w:cs="Times New Roman"/>
                <w:color w:val="000000"/>
                <w:spacing w:val="-6"/>
                <w:kern w:val="0"/>
                <w:sz w:val="21"/>
                <w:szCs w:val="21"/>
              </w:rPr>
              <w:t>设置了规范的（样式正确、内容填写真实完整）危险废物识别标志。得</w:t>
            </w:r>
            <w:r>
              <w:rPr>
                <w:rFonts w:ascii="Times New Roman" w:hAnsi="Times New Roman" w:eastAsia="宋体" w:cs="Times New Roman"/>
                <w:color w:val="000000"/>
                <w:spacing w:val="-6"/>
                <w:kern w:val="0"/>
                <w:sz w:val="21"/>
                <w:szCs w:val="21"/>
              </w:rPr>
              <w:t>1</w:t>
            </w:r>
            <w:r>
              <w:rPr>
                <w:rFonts w:hint="default" w:ascii="Times New Roman" w:hAnsi="Times New Roman" w:eastAsia="宋体" w:cs="Times New Roman"/>
                <w:color w:val="000000"/>
                <w:spacing w:val="-6"/>
                <w:kern w:val="0"/>
                <w:sz w:val="21"/>
                <w:szCs w:val="21"/>
              </w:rPr>
              <w:t>分。</w:t>
            </w:r>
            <w:r>
              <w:rPr>
                <w:rFonts w:ascii="Times New Roman" w:hAnsi="Times New Roman" w:eastAsia="宋体" w:cs="Times New Roman"/>
                <w:color w:val="000000"/>
                <w:spacing w:val="-6"/>
                <w:kern w:val="0"/>
                <w:sz w:val="21"/>
                <w:szCs w:val="21"/>
              </w:rPr>
              <w:br w:type="textWrapping"/>
            </w:r>
            <w:r>
              <w:rPr>
                <w:rFonts w:ascii="Times New Roman" w:hAnsi="Times New Roman" w:eastAsia="宋体" w:cs="Times New Roman"/>
                <w:color w:val="000000"/>
                <w:spacing w:val="-6"/>
                <w:kern w:val="0"/>
                <w:sz w:val="21"/>
                <w:szCs w:val="21"/>
              </w:rPr>
              <w:t>2.</w:t>
            </w:r>
            <w:r>
              <w:rPr>
                <w:rFonts w:hint="default" w:ascii="Times New Roman" w:hAnsi="Times New Roman" w:eastAsia="宋体" w:cs="Times New Roman"/>
                <w:color w:val="000000"/>
                <w:spacing w:val="-6"/>
                <w:kern w:val="0"/>
                <w:sz w:val="21"/>
                <w:szCs w:val="21"/>
              </w:rPr>
              <w:t>识别标志样式或填写内容有</w:t>
            </w:r>
            <w:r>
              <w:rPr>
                <w:rFonts w:ascii="Times New Roman" w:hAnsi="Times New Roman" w:eastAsia="宋体" w:cs="Times New Roman"/>
                <w:color w:val="000000"/>
                <w:spacing w:val="-6"/>
                <w:kern w:val="0"/>
                <w:sz w:val="21"/>
                <w:szCs w:val="21"/>
              </w:rPr>
              <w:t>1</w:t>
            </w:r>
            <w:r>
              <w:rPr>
                <w:rFonts w:hint="default" w:ascii="Times New Roman" w:hAnsi="Times New Roman" w:eastAsia="宋体" w:cs="Times New Roman"/>
                <w:color w:val="000000"/>
                <w:spacing w:val="-6"/>
                <w:kern w:val="0"/>
                <w:sz w:val="21"/>
                <w:szCs w:val="21"/>
              </w:rPr>
              <w:t>处错误。得</w:t>
            </w:r>
            <w:r>
              <w:rPr>
                <w:rFonts w:ascii="Times New Roman" w:hAnsi="Times New Roman" w:eastAsia="宋体" w:cs="Times New Roman"/>
                <w:color w:val="000000"/>
                <w:spacing w:val="-6"/>
                <w:kern w:val="0"/>
                <w:sz w:val="21"/>
                <w:szCs w:val="21"/>
              </w:rPr>
              <w:t>0.5</w:t>
            </w:r>
            <w:r>
              <w:rPr>
                <w:rFonts w:hint="default" w:ascii="Times New Roman" w:hAnsi="Times New Roman" w:eastAsia="宋体" w:cs="Times New Roman"/>
                <w:color w:val="000000"/>
                <w:spacing w:val="-6"/>
                <w:kern w:val="0"/>
                <w:sz w:val="21"/>
                <w:szCs w:val="21"/>
              </w:rPr>
              <w:t>分。</w:t>
            </w:r>
          </w:p>
          <w:p>
            <w:pPr>
              <w:widowControl/>
              <w:adjustRightInd w:val="0"/>
              <w:snapToGrid w:val="0"/>
              <w:spacing w:line="228" w:lineRule="auto"/>
              <w:ind w:firstLine="0" w:firstLineChars="0"/>
              <w:rPr>
                <w:rFonts w:ascii="Times New Roman" w:hAnsi="Times New Roman" w:eastAsia="宋体" w:cs="Times New Roman"/>
                <w:color w:val="000000"/>
                <w:spacing w:val="-6"/>
                <w:kern w:val="0"/>
                <w:sz w:val="21"/>
                <w:szCs w:val="21"/>
              </w:rPr>
            </w:pPr>
            <w:r>
              <w:rPr>
                <w:rFonts w:ascii="Times New Roman" w:hAnsi="Times New Roman" w:eastAsia="宋体" w:cs="Times New Roman"/>
                <w:color w:val="000000"/>
                <w:spacing w:val="-6"/>
                <w:kern w:val="0"/>
                <w:sz w:val="21"/>
                <w:szCs w:val="21"/>
              </w:rPr>
              <w:t>3.</w:t>
            </w:r>
            <w:r>
              <w:rPr>
                <w:rFonts w:hint="default" w:ascii="Times New Roman" w:hAnsi="Times New Roman" w:eastAsia="宋体" w:cs="Times New Roman"/>
                <w:color w:val="000000"/>
                <w:spacing w:val="-6"/>
                <w:kern w:val="0"/>
                <w:sz w:val="21"/>
                <w:szCs w:val="21"/>
              </w:rPr>
              <w:t>未设置识别标志或识别标志样式不正确、填写内容有</w:t>
            </w:r>
            <w:r>
              <w:rPr>
                <w:rFonts w:ascii="Times New Roman" w:hAnsi="Times New Roman" w:eastAsia="宋体" w:cs="Times New Roman"/>
                <w:color w:val="000000"/>
                <w:spacing w:val="-6"/>
                <w:kern w:val="0"/>
                <w:sz w:val="21"/>
                <w:szCs w:val="21"/>
              </w:rPr>
              <w:t>2</w:t>
            </w:r>
            <w:r>
              <w:rPr>
                <w:rFonts w:hint="default" w:ascii="Times New Roman" w:hAnsi="Times New Roman" w:eastAsia="宋体" w:cs="Times New Roman"/>
                <w:color w:val="000000"/>
                <w:spacing w:val="-6"/>
                <w:kern w:val="0"/>
                <w:sz w:val="21"/>
                <w:szCs w:val="21"/>
              </w:rPr>
              <w:t>处及以上错误。得</w:t>
            </w:r>
            <w:r>
              <w:rPr>
                <w:rFonts w:ascii="Times New Roman" w:hAnsi="Times New Roman" w:eastAsia="宋体" w:cs="Times New Roman"/>
                <w:color w:val="000000"/>
                <w:spacing w:val="-6"/>
                <w:kern w:val="0"/>
                <w:sz w:val="21"/>
                <w:szCs w:val="21"/>
              </w:rPr>
              <w:t>0</w:t>
            </w:r>
            <w:r>
              <w:rPr>
                <w:rFonts w:hint="default" w:ascii="Times New Roman" w:hAnsi="Times New Roman" w:eastAsia="宋体" w:cs="Times New Roman"/>
                <w:color w:val="000000"/>
                <w:spacing w:val="-6"/>
                <w:kern w:val="0"/>
                <w:sz w:val="21"/>
                <w:szCs w:val="21"/>
              </w:rPr>
              <w:t>分。</w:t>
            </w:r>
          </w:p>
        </w:tc>
        <w:tc>
          <w:tcPr>
            <w:tcW w:w="2122" w:type="dxa"/>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6"/>
                <w:kern w:val="0"/>
                <w:sz w:val="21"/>
                <w:szCs w:val="21"/>
              </w:rPr>
            </w:pPr>
            <w:r>
              <w:rPr>
                <w:rFonts w:hint="default" w:ascii="Times New Roman" w:hAnsi="Times New Roman" w:eastAsia="宋体" w:cs="Times New Roman"/>
                <w:color w:val="000000"/>
                <w:spacing w:val="-6"/>
                <w:kern w:val="0"/>
                <w:sz w:val="21"/>
                <w:szCs w:val="21"/>
              </w:rPr>
              <w:t>现场核查</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94" w:hRule="atLeast"/>
          <w:jc w:val="center"/>
        </w:trPr>
        <w:tc>
          <w:tcPr>
            <w:tcW w:w="1058" w:type="dxa"/>
            <w:vMerge w:val="continue"/>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196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4.</w:t>
            </w:r>
            <w:r>
              <w:rPr>
                <w:rFonts w:hint="default" w:ascii="Times New Roman" w:hAnsi="Times New Roman" w:eastAsia="宋体" w:cs="Times New Roman"/>
                <w:color w:val="000000"/>
                <w:spacing w:val="-4"/>
                <w:kern w:val="0"/>
                <w:sz w:val="21"/>
                <w:szCs w:val="21"/>
              </w:rPr>
              <w:t>收集、贮存、利用、处置危险废物的设施、场所</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应当按照规定设置危险废物识别标志。</w:t>
            </w:r>
          </w:p>
        </w:tc>
        <w:tc>
          <w:tcPr>
            <w:tcW w:w="720"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p>
        </w:tc>
        <w:tc>
          <w:tcPr>
            <w:tcW w:w="71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依据国家和地方相关标准规范所示标签和警示标志设置危险废物识别标志。</w:t>
            </w:r>
          </w:p>
        </w:tc>
        <w:tc>
          <w:tcPr>
            <w:tcW w:w="5184" w:type="dxa"/>
            <w:gridSpan w:val="2"/>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6"/>
                <w:kern w:val="0"/>
                <w:sz w:val="21"/>
                <w:szCs w:val="21"/>
              </w:rPr>
            </w:pPr>
            <w:r>
              <w:rPr>
                <w:rFonts w:ascii="Times New Roman" w:hAnsi="Times New Roman" w:eastAsia="宋体" w:cs="Times New Roman"/>
                <w:color w:val="000000"/>
                <w:spacing w:val="-6"/>
                <w:kern w:val="0"/>
                <w:sz w:val="21"/>
                <w:szCs w:val="21"/>
              </w:rPr>
              <w:t>1.</w:t>
            </w:r>
            <w:r>
              <w:rPr>
                <w:rFonts w:hint="default" w:ascii="Times New Roman" w:hAnsi="Times New Roman" w:eastAsia="宋体" w:cs="Times New Roman"/>
                <w:color w:val="000000"/>
                <w:spacing w:val="-6"/>
                <w:kern w:val="0"/>
                <w:sz w:val="21"/>
                <w:szCs w:val="21"/>
              </w:rPr>
              <w:t>在收集、贮存、利用、处置危险废物的设施、场所均设置了规范（形状、颜色、图案均正确）的危险废物识别标志。得</w:t>
            </w:r>
            <w:r>
              <w:rPr>
                <w:rFonts w:ascii="Times New Roman" w:hAnsi="Times New Roman" w:eastAsia="宋体" w:cs="Times New Roman"/>
                <w:color w:val="000000"/>
                <w:spacing w:val="-6"/>
                <w:kern w:val="0"/>
                <w:sz w:val="21"/>
                <w:szCs w:val="21"/>
              </w:rPr>
              <w:t>1</w:t>
            </w:r>
            <w:r>
              <w:rPr>
                <w:rFonts w:hint="default" w:ascii="Times New Roman" w:hAnsi="Times New Roman" w:eastAsia="宋体" w:cs="Times New Roman"/>
                <w:color w:val="000000"/>
                <w:spacing w:val="-6"/>
                <w:kern w:val="0"/>
                <w:sz w:val="21"/>
                <w:szCs w:val="21"/>
              </w:rPr>
              <w:t>分。</w:t>
            </w:r>
          </w:p>
          <w:p>
            <w:pPr>
              <w:widowControl/>
              <w:adjustRightInd w:val="0"/>
              <w:snapToGrid w:val="0"/>
              <w:spacing w:line="228" w:lineRule="auto"/>
              <w:ind w:firstLine="0" w:firstLineChars="0"/>
              <w:rPr>
                <w:rFonts w:ascii="Times New Roman" w:hAnsi="Times New Roman" w:eastAsia="宋体" w:cs="Times New Roman"/>
                <w:color w:val="000000"/>
                <w:spacing w:val="-6"/>
                <w:kern w:val="0"/>
                <w:sz w:val="21"/>
                <w:szCs w:val="21"/>
              </w:rPr>
            </w:pPr>
            <w:r>
              <w:rPr>
                <w:rFonts w:ascii="Times New Roman" w:hAnsi="Times New Roman" w:eastAsia="宋体" w:cs="Times New Roman"/>
                <w:color w:val="000000"/>
                <w:spacing w:val="-6"/>
                <w:kern w:val="0"/>
                <w:sz w:val="21"/>
                <w:szCs w:val="21"/>
              </w:rPr>
              <w:t>2.</w:t>
            </w:r>
            <w:r>
              <w:rPr>
                <w:rFonts w:hint="default" w:ascii="Times New Roman" w:hAnsi="Times New Roman" w:eastAsia="宋体" w:cs="Times New Roman"/>
                <w:color w:val="000000"/>
                <w:spacing w:val="-6"/>
                <w:kern w:val="0"/>
                <w:sz w:val="21"/>
                <w:szCs w:val="21"/>
              </w:rPr>
              <w:t>上述危险废物环境管理的相关设施、场所识别标志有</w:t>
            </w:r>
            <w:r>
              <w:rPr>
                <w:rFonts w:ascii="Times New Roman" w:hAnsi="Times New Roman" w:eastAsia="宋体" w:cs="Times New Roman"/>
                <w:color w:val="000000"/>
                <w:spacing w:val="-6"/>
                <w:kern w:val="0"/>
                <w:sz w:val="21"/>
                <w:szCs w:val="21"/>
              </w:rPr>
              <w:t>1</w:t>
            </w:r>
            <w:r>
              <w:rPr>
                <w:rFonts w:hint="default" w:ascii="Times New Roman" w:hAnsi="Times New Roman" w:eastAsia="宋体" w:cs="Times New Roman"/>
                <w:color w:val="000000"/>
                <w:spacing w:val="-6"/>
                <w:kern w:val="0"/>
                <w:sz w:val="21"/>
                <w:szCs w:val="21"/>
              </w:rPr>
              <w:t>处错误。得</w:t>
            </w:r>
            <w:r>
              <w:rPr>
                <w:rFonts w:ascii="Times New Roman" w:hAnsi="Times New Roman" w:eastAsia="宋体" w:cs="Times New Roman"/>
                <w:color w:val="000000"/>
                <w:spacing w:val="-6"/>
                <w:kern w:val="0"/>
                <w:sz w:val="21"/>
                <w:szCs w:val="21"/>
              </w:rPr>
              <w:t>0.5</w:t>
            </w:r>
            <w:r>
              <w:rPr>
                <w:rFonts w:hint="default" w:ascii="Times New Roman" w:hAnsi="Times New Roman" w:eastAsia="宋体" w:cs="Times New Roman"/>
                <w:color w:val="000000"/>
                <w:spacing w:val="-6"/>
                <w:kern w:val="0"/>
                <w:sz w:val="21"/>
                <w:szCs w:val="21"/>
              </w:rPr>
              <w:t>分。</w:t>
            </w:r>
            <w:r>
              <w:rPr>
                <w:rFonts w:ascii="Times New Roman" w:hAnsi="Times New Roman" w:eastAsia="宋体" w:cs="Times New Roman"/>
                <w:color w:val="000000"/>
                <w:spacing w:val="-6"/>
                <w:kern w:val="0"/>
                <w:sz w:val="21"/>
                <w:szCs w:val="21"/>
              </w:rPr>
              <w:br w:type="textWrapping"/>
            </w:r>
            <w:r>
              <w:rPr>
                <w:rFonts w:ascii="Times New Roman" w:hAnsi="Times New Roman" w:eastAsia="宋体" w:cs="Times New Roman"/>
                <w:color w:val="000000"/>
                <w:spacing w:val="-6"/>
                <w:kern w:val="0"/>
                <w:sz w:val="21"/>
                <w:szCs w:val="21"/>
              </w:rPr>
              <w:t>3.</w:t>
            </w:r>
            <w:r>
              <w:rPr>
                <w:rFonts w:hint="default" w:ascii="Times New Roman" w:hAnsi="Times New Roman" w:eastAsia="宋体" w:cs="Times New Roman"/>
                <w:color w:val="000000"/>
                <w:spacing w:val="-6"/>
                <w:kern w:val="0"/>
                <w:sz w:val="21"/>
                <w:szCs w:val="21"/>
              </w:rPr>
              <w:t>上述危险废物环境管理的相关设施、场所未设置识别标志或识别标志有</w:t>
            </w:r>
            <w:r>
              <w:rPr>
                <w:rFonts w:ascii="Times New Roman" w:hAnsi="Times New Roman" w:eastAsia="宋体" w:cs="Times New Roman"/>
                <w:color w:val="000000"/>
                <w:spacing w:val="-6"/>
                <w:kern w:val="0"/>
                <w:sz w:val="21"/>
                <w:szCs w:val="21"/>
              </w:rPr>
              <w:t>2</w:t>
            </w:r>
            <w:r>
              <w:rPr>
                <w:rFonts w:hint="default" w:ascii="Times New Roman" w:hAnsi="Times New Roman" w:eastAsia="宋体" w:cs="Times New Roman"/>
                <w:color w:val="000000"/>
                <w:spacing w:val="-6"/>
                <w:kern w:val="0"/>
                <w:sz w:val="21"/>
                <w:szCs w:val="21"/>
              </w:rPr>
              <w:t>处及以上错误。得</w:t>
            </w:r>
            <w:r>
              <w:rPr>
                <w:rFonts w:ascii="Times New Roman" w:hAnsi="Times New Roman" w:eastAsia="宋体" w:cs="Times New Roman"/>
                <w:color w:val="000000"/>
                <w:spacing w:val="-6"/>
                <w:kern w:val="0"/>
                <w:sz w:val="21"/>
                <w:szCs w:val="21"/>
              </w:rPr>
              <w:t>0</w:t>
            </w:r>
            <w:r>
              <w:rPr>
                <w:rFonts w:hint="default" w:ascii="Times New Roman" w:hAnsi="Times New Roman" w:eastAsia="宋体" w:cs="Times New Roman"/>
                <w:color w:val="000000"/>
                <w:spacing w:val="-6"/>
                <w:kern w:val="0"/>
                <w:sz w:val="21"/>
                <w:szCs w:val="21"/>
              </w:rPr>
              <w:t>分。</w:t>
            </w:r>
          </w:p>
        </w:tc>
        <w:tc>
          <w:tcPr>
            <w:tcW w:w="2122" w:type="dxa"/>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6"/>
                <w:kern w:val="0"/>
                <w:sz w:val="21"/>
                <w:szCs w:val="21"/>
              </w:rPr>
            </w:pPr>
            <w:r>
              <w:rPr>
                <w:rFonts w:hint="default" w:ascii="Times New Roman" w:hAnsi="Times New Roman" w:eastAsia="宋体" w:cs="Times New Roman"/>
                <w:color w:val="000000"/>
                <w:spacing w:val="-6"/>
                <w:kern w:val="0"/>
                <w:sz w:val="21"/>
                <w:szCs w:val="21"/>
              </w:rPr>
              <w:t>现场核查</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56" w:hRule="atLeast"/>
          <w:jc w:val="center"/>
        </w:trPr>
        <w:tc>
          <w:tcPr>
            <w:tcW w:w="1058" w:type="dxa"/>
            <w:vMerge w:val="restart"/>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三、管理计划制度（《固废法》第七十八条）</w:t>
            </w:r>
          </w:p>
        </w:tc>
        <w:tc>
          <w:tcPr>
            <w:tcW w:w="196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5.</w:t>
            </w:r>
            <w:r>
              <w:rPr>
                <w:rFonts w:hint="default" w:ascii="Times New Roman" w:hAnsi="Times New Roman" w:eastAsia="宋体" w:cs="Times New Roman"/>
                <w:color w:val="000000"/>
                <w:spacing w:val="-4"/>
                <w:kern w:val="0"/>
                <w:sz w:val="21"/>
                <w:szCs w:val="21"/>
              </w:rPr>
              <w:t>危险废物管理计划包括减少危险废物产生量和降低危险废物危害性的措施</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以及危险废物贮存、利用、处置措施。</w:t>
            </w:r>
          </w:p>
        </w:tc>
        <w:tc>
          <w:tcPr>
            <w:tcW w:w="720"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p>
        </w:tc>
        <w:tc>
          <w:tcPr>
            <w:tcW w:w="71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制定了危险废物管理计划；内容齐全</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危险废物的产生环节、种类、危害特性、产生量、利用处置方式描述清晰。</w:t>
            </w:r>
          </w:p>
        </w:tc>
        <w:tc>
          <w:tcPr>
            <w:tcW w:w="5184" w:type="dxa"/>
            <w:gridSpan w:val="2"/>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6"/>
                <w:kern w:val="0"/>
                <w:sz w:val="21"/>
                <w:szCs w:val="21"/>
              </w:rPr>
            </w:pPr>
            <w:r>
              <w:rPr>
                <w:rFonts w:ascii="Times New Roman" w:hAnsi="Times New Roman" w:eastAsia="宋体" w:cs="Times New Roman"/>
                <w:color w:val="000000"/>
                <w:spacing w:val="-6"/>
                <w:kern w:val="0"/>
                <w:sz w:val="21"/>
                <w:szCs w:val="21"/>
              </w:rPr>
              <w:t>A.</w:t>
            </w:r>
            <w:r>
              <w:rPr>
                <w:rFonts w:hint="default" w:ascii="Times New Roman" w:hAnsi="Times New Roman" w:eastAsia="宋体" w:cs="Times New Roman"/>
                <w:color w:val="000000"/>
                <w:spacing w:val="-6"/>
                <w:kern w:val="0"/>
                <w:sz w:val="21"/>
                <w:szCs w:val="21"/>
              </w:rPr>
              <w:t>危险废物的产生环节、种类描述清晰。</w:t>
            </w:r>
          </w:p>
          <w:p>
            <w:pPr>
              <w:widowControl/>
              <w:adjustRightInd w:val="0"/>
              <w:snapToGrid w:val="0"/>
              <w:spacing w:line="228" w:lineRule="auto"/>
              <w:ind w:firstLine="0" w:firstLineChars="0"/>
              <w:rPr>
                <w:rFonts w:ascii="Times New Roman" w:hAnsi="Times New Roman" w:eastAsia="宋体" w:cs="Times New Roman"/>
                <w:color w:val="000000"/>
                <w:spacing w:val="-6"/>
                <w:kern w:val="0"/>
                <w:sz w:val="21"/>
                <w:szCs w:val="21"/>
              </w:rPr>
            </w:pPr>
            <w:r>
              <w:rPr>
                <w:rFonts w:ascii="Times New Roman" w:hAnsi="Times New Roman" w:eastAsia="宋体" w:cs="Times New Roman"/>
                <w:color w:val="000000"/>
                <w:spacing w:val="-6"/>
                <w:kern w:val="0"/>
                <w:sz w:val="21"/>
                <w:szCs w:val="21"/>
              </w:rPr>
              <w:t>B.</w:t>
            </w:r>
            <w:r>
              <w:rPr>
                <w:rFonts w:hint="default" w:ascii="Times New Roman" w:hAnsi="Times New Roman" w:eastAsia="宋体" w:cs="Times New Roman"/>
                <w:color w:val="000000"/>
                <w:spacing w:val="-6"/>
                <w:kern w:val="0"/>
                <w:sz w:val="21"/>
                <w:szCs w:val="21"/>
              </w:rPr>
              <w:t>危险废物产生量预测依据充分</w:t>
            </w:r>
            <w:r>
              <w:rPr>
                <w:rFonts w:hint="eastAsia" w:ascii="Times New Roman" w:hAnsi="Times New Roman" w:eastAsia="宋体" w:cs="Times New Roman"/>
                <w:color w:val="000000"/>
                <w:spacing w:val="-6"/>
                <w:kern w:val="0"/>
                <w:sz w:val="21"/>
                <w:szCs w:val="21"/>
                <w:lang w:eastAsia="zh-CN"/>
              </w:rPr>
              <w:t>，</w:t>
            </w:r>
            <w:r>
              <w:rPr>
                <w:rFonts w:hint="default" w:ascii="Times New Roman" w:hAnsi="Times New Roman" w:eastAsia="宋体" w:cs="Times New Roman"/>
                <w:color w:val="000000"/>
                <w:spacing w:val="-6"/>
                <w:kern w:val="0"/>
                <w:sz w:val="21"/>
                <w:szCs w:val="21"/>
              </w:rPr>
              <w:t>且提出了减少产生量的措施。</w:t>
            </w:r>
          </w:p>
          <w:p>
            <w:pPr>
              <w:widowControl/>
              <w:adjustRightInd w:val="0"/>
              <w:snapToGrid w:val="0"/>
              <w:spacing w:line="228" w:lineRule="auto"/>
              <w:ind w:firstLine="0" w:firstLineChars="0"/>
              <w:rPr>
                <w:rFonts w:ascii="Times New Roman" w:hAnsi="Times New Roman" w:eastAsia="宋体" w:cs="Times New Roman"/>
                <w:color w:val="000000"/>
                <w:spacing w:val="-6"/>
                <w:kern w:val="0"/>
                <w:sz w:val="21"/>
                <w:szCs w:val="21"/>
              </w:rPr>
            </w:pPr>
            <w:r>
              <w:rPr>
                <w:rFonts w:ascii="Times New Roman" w:hAnsi="Times New Roman" w:eastAsia="宋体" w:cs="Times New Roman"/>
                <w:color w:val="000000"/>
                <w:spacing w:val="-6"/>
                <w:kern w:val="0"/>
                <w:sz w:val="21"/>
                <w:szCs w:val="21"/>
              </w:rPr>
              <w:t>C.</w:t>
            </w:r>
            <w:r>
              <w:rPr>
                <w:rFonts w:hint="default" w:ascii="Times New Roman" w:hAnsi="Times New Roman" w:eastAsia="宋体" w:cs="Times New Roman"/>
                <w:color w:val="000000"/>
                <w:spacing w:val="-6"/>
                <w:kern w:val="0"/>
                <w:sz w:val="21"/>
                <w:szCs w:val="21"/>
              </w:rPr>
              <w:t>危险废物的危害特性描述准确</w:t>
            </w:r>
            <w:r>
              <w:rPr>
                <w:rFonts w:hint="eastAsia" w:ascii="Times New Roman" w:hAnsi="Times New Roman" w:eastAsia="宋体" w:cs="Times New Roman"/>
                <w:color w:val="000000"/>
                <w:spacing w:val="-6"/>
                <w:kern w:val="0"/>
                <w:sz w:val="21"/>
                <w:szCs w:val="21"/>
                <w:lang w:eastAsia="zh-CN"/>
              </w:rPr>
              <w:t>，</w:t>
            </w:r>
            <w:r>
              <w:rPr>
                <w:rFonts w:hint="default" w:ascii="Times New Roman" w:hAnsi="Times New Roman" w:eastAsia="宋体" w:cs="Times New Roman"/>
                <w:color w:val="000000"/>
                <w:spacing w:val="-6"/>
                <w:kern w:val="0"/>
                <w:sz w:val="21"/>
                <w:szCs w:val="21"/>
              </w:rPr>
              <w:t>且提出了降低危害性的措施。</w:t>
            </w:r>
          </w:p>
          <w:p>
            <w:pPr>
              <w:widowControl/>
              <w:adjustRightInd w:val="0"/>
              <w:snapToGrid w:val="0"/>
              <w:spacing w:line="228" w:lineRule="auto"/>
              <w:ind w:firstLine="0" w:firstLineChars="0"/>
              <w:rPr>
                <w:rFonts w:ascii="Times New Roman" w:hAnsi="Times New Roman" w:eastAsia="宋体" w:cs="Times New Roman"/>
                <w:color w:val="000000"/>
                <w:spacing w:val="-6"/>
                <w:kern w:val="0"/>
                <w:sz w:val="21"/>
                <w:szCs w:val="21"/>
              </w:rPr>
            </w:pPr>
            <w:r>
              <w:rPr>
                <w:rFonts w:ascii="Times New Roman" w:hAnsi="Times New Roman" w:eastAsia="宋体" w:cs="Times New Roman"/>
                <w:color w:val="000000"/>
                <w:spacing w:val="-6"/>
                <w:kern w:val="0"/>
                <w:sz w:val="21"/>
                <w:szCs w:val="21"/>
              </w:rPr>
              <w:t>D.</w:t>
            </w:r>
            <w:r>
              <w:rPr>
                <w:rFonts w:hint="default" w:ascii="Times New Roman" w:hAnsi="Times New Roman" w:eastAsia="宋体" w:cs="Times New Roman"/>
                <w:color w:val="000000"/>
                <w:spacing w:val="-6"/>
                <w:kern w:val="0"/>
                <w:sz w:val="21"/>
                <w:szCs w:val="21"/>
              </w:rPr>
              <w:t>危险废物贮存、利用、处置措施描述清晰。</w:t>
            </w:r>
            <w:r>
              <w:rPr>
                <w:rFonts w:ascii="Times New Roman" w:hAnsi="Times New Roman" w:eastAsia="宋体" w:cs="Times New Roman"/>
                <w:color w:val="000000"/>
                <w:spacing w:val="-6"/>
                <w:kern w:val="0"/>
                <w:sz w:val="21"/>
                <w:szCs w:val="21"/>
              </w:rPr>
              <w:br w:type="textWrapping"/>
            </w:r>
            <w:r>
              <w:rPr>
                <w:rFonts w:ascii="Times New Roman" w:hAnsi="Times New Roman" w:eastAsia="宋体" w:cs="Times New Roman"/>
                <w:color w:val="000000"/>
                <w:spacing w:val="-6"/>
                <w:kern w:val="0"/>
                <w:sz w:val="21"/>
                <w:szCs w:val="21"/>
              </w:rPr>
              <w:br w:type="textWrapping"/>
            </w:r>
            <w:r>
              <w:rPr>
                <w:rFonts w:hint="default" w:ascii="Times New Roman" w:hAnsi="Times New Roman" w:eastAsia="宋体" w:cs="Times New Roman"/>
                <w:color w:val="000000"/>
                <w:spacing w:val="-6"/>
                <w:kern w:val="0"/>
                <w:sz w:val="21"/>
                <w:szCs w:val="21"/>
              </w:rPr>
              <w:t>以上每项符合得</w:t>
            </w:r>
            <w:r>
              <w:rPr>
                <w:rFonts w:ascii="Times New Roman" w:hAnsi="Times New Roman" w:eastAsia="宋体" w:cs="Times New Roman"/>
                <w:color w:val="000000"/>
                <w:spacing w:val="-6"/>
                <w:kern w:val="0"/>
                <w:sz w:val="21"/>
                <w:szCs w:val="21"/>
              </w:rPr>
              <w:t>0.5</w:t>
            </w:r>
            <w:r>
              <w:rPr>
                <w:rFonts w:hint="default" w:ascii="Times New Roman" w:hAnsi="Times New Roman" w:eastAsia="宋体" w:cs="Times New Roman"/>
                <w:color w:val="000000"/>
                <w:spacing w:val="-6"/>
                <w:kern w:val="0"/>
                <w:sz w:val="21"/>
                <w:szCs w:val="21"/>
              </w:rPr>
              <w:t>分</w:t>
            </w:r>
            <w:r>
              <w:rPr>
                <w:rFonts w:hint="eastAsia" w:ascii="Times New Roman" w:hAnsi="Times New Roman" w:eastAsia="宋体" w:cs="Times New Roman"/>
                <w:color w:val="000000"/>
                <w:spacing w:val="-6"/>
                <w:kern w:val="0"/>
                <w:sz w:val="21"/>
                <w:szCs w:val="21"/>
                <w:lang w:eastAsia="zh-CN"/>
              </w:rPr>
              <w:t>，</w:t>
            </w:r>
            <w:r>
              <w:rPr>
                <w:rFonts w:hint="default" w:ascii="Times New Roman" w:hAnsi="Times New Roman" w:eastAsia="宋体" w:cs="Times New Roman"/>
                <w:color w:val="000000"/>
                <w:spacing w:val="-6"/>
                <w:kern w:val="0"/>
                <w:sz w:val="21"/>
                <w:szCs w:val="21"/>
              </w:rPr>
              <w:t>共</w:t>
            </w:r>
            <w:r>
              <w:rPr>
                <w:rFonts w:ascii="Times New Roman" w:hAnsi="Times New Roman" w:eastAsia="宋体" w:cs="Times New Roman"/>
                <w:color w:val="000000"/>
                <w:spacing w:val="-6"/>
                <w:kern w:val="0"/>
                <w:sz w:val="21"/>
                <w:szCs w:val="21"/>
              </w:rPr>
              <w:t>2</w:t>
            </w:r>
            <w:r>
              <w:rPr>
                <w:rFonts w:hint="default" w:ascii="Times New Roman" w:hAnsi="Times New Roman" w:eastAsia="宋体" w:cs="Times New Roman"/>
                <w:color w:val="000000"/>
                <w:spacing w:val="-6"/>
                <w:kern w:val="0"/>
                <w:sz w:val="21"/>
                <w:szCs w:val="21"/>
              </w:rPr>
              <w:t>分。</w:t>
            </w:r>
          </w:p>
        </w:tc>
        <w:tc>
          <w:tcPr>
            <w:tcW w:w="2122" w:type="dxa"/>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6"/>
                <w:kern w:val="0"/>
                <w:sz w:val="21"/>
                <w:szCs w:val="21"/>
              </w:rPr>
            </w:pPr>
            <w:r>
              <w:rPr>
                <w:rFonts w:ascii="Times New Roman" w:hAnsi="Times New Roman" w:eastAsia="宋体" w:cs="Times New Roman"/>
                <w:color w:val="000000"/>
                <w:spacing w:val="-6"/>
                <w:kern w:val="0"/>
                <w:sz w:val="21"/>
                <w:szCs w:val="21"/>
              </w:rPr>
              <w:t>1.</w:t>
            </w:r>
            <w:r>
              <w:rPr>
                <w:rFonts w:hint="default" w:ascii="Times New Roman" w:hAnsi="Times New Roman" w:eastAsia="宋体" w:cs="Times New Roman"/>
                <w:color w:val="000000"/>
                <w:spacing w:val="-6"/>
                <w:kern w:val="0"/>
                <w:sz w:val="21"/>
                <w:szCs w:val="21"/>
              </w:rPr>
              <w:t>查阅相关资料（查看危险废物管理计划）。</w:t>
            </w:r>
          </w:p>
          <w:p>
            <w:pPr>
              <w:widowControl/>
              <w:adjustRightInd w:val="0"/>
              <w:snapToGrid w:val="0"/>
              <w:spacing w:line="228" w:lineRule="auto"/>
              <w:ind w:firstLine="0" w:firstLineChars="0"/>
              <w:rPr>
                <w:rFonts w:ascii="Times New Roman" w:hAnsi="Times New Roman" w:eastAsia="宋体" w:cs="Times New Roman"/>
                <w:color w:val="000000"/>
                <w:spacing w:val="-6"/>
                <w:kern w:val="0"/>
                <w:sz w:val="21"/>
                <w:szCs w:val="21"/>
              </w:rPr>
            </w:pPr>
            <w:r>
              <w:rPr>
                <w:rFonts w:ascii="Times New Roman" w:hAnsi="Times New Roman" w:eastAsia="宋体" w:cs="Times New Roman"/>
                <w:color w:val="000000"/>
                <w:spacing w:val="-6"/>
                <w:kern w:val="0"/>
                <w:sz w:val="21"/>
                <w:szCs w:val="21"/>
              </w:rPr>
              <w:t>2.</w:t>
            </w:r>
            <w:r>
              <w:rPr>
                <w:rFonts w:hint="default" w:ascii="Times New Roman" w:hAnsi="Times New Roman" w:eastAsia="宋体" w:cs="Times New Roman"/>
                <w:color w:val="000000"/>
                <w:spacing w:val="-6"/>
                <w:kern w:val="0"/>
                <w:sz w:val="21"/>
                <w:szCs w:val="21"/>
              </w:rPr>
              <w:t>比对该企业近</w:t>
            </w:r>
            <w:r>
              <w:rPr>
                <w:rFonts w:ascii="Times New Roman" w:hAnsi="Times New Roman" w:eastAsia="宋体" w:cs="Times New Roman"/>
                <w:color w:val="000000"/>
                <w:spacing w:val="-6"/>
                <w:kern w:val="0"/>
                <w:sz w:val="21"/>
                <w:szCs w:val="21"/>
              </w:rPr>
              <w:t>3</w:t>
            </w:r>
            <w:r>
              <w:rPr>
                <w:rFonts w:hint="default" w:ascii="Times New Roman" w:hAnsi="Times New Roman" w:eastAsia="宋体" w:cs="Times New Roman"/>
                <w:color w:val="000000"/>
                <w:spacing w:val="-6"/>
                <w:kern w:val="0"/>
                <w:sz w:val="21"/>
                <w:szCs w:val="21"/>
              </w:rPr>
              <w:t>年管理计划</w:t>
            </w:r>
            <w:r>
              <w:rPr>
                <w:rFonts w:hint="eastAsia" w:ascii="Times New Roman" w:hAnsi="Times New Roman" w:eastAsia="宋体" w:cs="Times New Roman"/>
                <w:color w:val="000000"/>
                <w:spacing w:val="-6"/>
                <w:kern w:val="0"/>
                <w:sz w:val="21"/>
                <w:szCs w:val="21"/>
                <w:lang w:eastAsia="zh-CN"/>
              </w:rPr>
              <w:t>，</w:t>
            </w:r>
            <w:r>
              <w:rPr>
                <w:rFonts w:hint="default" w:ascii="Times New Roman" w:hAnsi="Times New Roman" w:eastAsia="宋体" w:cs="Times New Roman"/>
                <w:color w:val="000000"/>
                <w:spacing w:val="-6"/>
                <w:kern w:val="0"/>
                <w:sz w:val="21"/>
                <w:szCs w:val="21"/>
              </w:rPr>
              <w:t>查阅危险废物产生情况是否有较大变动。如有</w:t>
            </w:r>
            <w:r>
              <w:rPr>
                <w:rFonts w:hint="eastAsia" w:ascii="Times New Roman" w:hAnsi="Times New Roman" w:eastAsia="宋体" w:cs="Times New Roman"/>
                <w:color w:val="000000"/>
                <w:spacing w:val="-6"/>
                <w:kern w:val="0"/>
                <w:sz w:val="21"/>
                <w:szCs w:val="21"/>
                <w:lang w:eastAsia="zh-CN"/>
              </w:rPr>
              <w:t>，</w:t>
            </w:r>
            <w:r>
              <w:rPr>
                <w:rFonts w:hint="default" w:ascii="Times New Roman" w:hAnsi="Times New Roman" w:eastAsia="宋体" w:cs="Times New Roman"/>
                <w:color w:val="000000"/>
                <w:spacing w:val="-6"/>
                <w:kern w:val="0"/>
                <w:sz w:val="21"/>
                <w:szCs w:val="21"/>
              </w:rPr>
              <w:t>请企业提供说明材料。</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67" w:hRule="atLeast"/>
          <w:jc w:val="center"/>
        </w:trPr>
        <w:tc>
          <w:tcPr>
            <w:tcW w:w="1058" w:type="dxa"/>
            <w:vMerge w:val="continue"/>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c>
          <w:tcPr>
            <w:tcW w:w="196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6.</w:t>
            </w:r>
            <w:r>
              <w:rPr>
                <w:rFonts w:hint="default" w:ascii="Times New Roman" w:hAnsi="Times New Roman" w:eastAsia="宋体" w:cs="Times New Roman"/>
                <w:color w:val="000000"/>
                <w:spacing w:val="-4"/>
                <w:kern w:val="0"/>
                <w:sz w:val="21"/>
                <w:szCs w:val="21"/>
              </w:rPr>
              <w:t>报产生危险废物的单位所在地生态环境主管部门备案。</w:t>
            </w:r>
          </w:p>
        </w:tc>
        <w:tc>
          <w:tcPr>
            <w:tcW w:w="720"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p>
        </w:tc>
        <w:tc>
          <w:tcPr>
            <w:tcW w:w="71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通过国家危险废物信息管理系统报所在地生态环境主管部门备案；内容发生变更时及时变更相关备案内容。</w:t>
            </w:r>
          </w:p>
        </w:tc>
        <w:tc>
          <w:tcPr>
            <w:tcW w:w="5184" w:type="dxa"/>
            <w:gridSpan w:val="2"/>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经所在地生态环境主管部门备案</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并可提供相关备案证明材料；管理计划内容发生变更时及时变更相关备案内容。得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未报所在地生态环境主管部门备案</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或未能提供相关证明材料</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或内容有变更未及时变更相关备案内容。得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212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查阅相关资料（由企业提供已经备案的证明材料）</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298" w:hRule="atLeast"/>
          <w:jc w:val="center"/>
        </w:trPr>
        <w:tc>
          <w:tcPr>
            <w:tcW w:w="1058"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四、排污许可制度（《固废法》第三十九条）</w:t>
            </w:r>
          </w:p>
        </w:tc>
        <w:tc>
          <w:tcPr>
            <w:tcW w:w="196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7.</w:t>
            </w:r>
            <w:r>
              <w:rPr>
                <w:rFonts w:hint="default" w:ascii="Times New Roman" w:hAnsi="Times New Roman" w:eastAsia="宋体" w:cs="Times New Roman"/>
                <w:color w:val="000000"/>
                <w:spacing w:val="-4"/>
                <w:kern w:val="0"/>
                <w:sz w:val="21"/>
                <w:szCs w:val="21"/>
              </w:rPr>
              <w:t>产生工业固体废物的单位应当取得排污许可证。</w:t>
            </w:r>
          </w:p>
        </w:tc>
        <w:tc>
          <w:tcPr>
            <w:tcW w:w="720"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p>
        </w:tc>
        <w:tc>
          <w:tcPr>
            <w:tcW w:w="71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依法取得排污许可证并按证排污。</w:t>
            </w:r>
          </w:p>
        </w:tc>
        <w:tc>
          <w:tcPr>
            <w:tcW w:w="5184" w:type="dxa"/>
            <w:gridSpan w:val="2"/>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依法取得排污许可证</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许可证中按照技术规范对工业固体废物提出明确环境管理要求</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对工业固体废物的贮存、自行利用处置和委托外单位利用处置符合许可证要求</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按要求及时提交台账记录和执行报告。得</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分。</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依法取得排污许可证</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对工业固体废物的贮存、自行利用处置和委托外单位利用处置符合许可证要求</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但未按要求及时提交台账记录和执行报告。得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未依法取得排污许可证</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或依法取得了排污许可证</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但对工业固体废物的贮存、自行利用处置和委托外单位利用处置不符合许可证要求</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未及时提交台账记录和执行报告。得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212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查阅相关资料、现场核查</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319" w:hRule="atLeast"/>
          <w:jc w:val="center"/>
        </w:trPr>
        <w:tc>
          <w:tcPr>
            <w:tcW w:w="1058"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五、台账和申报制度（《固废法》第七十八条）</w:t>
            </w:r>
          </w:p>
        </w:tc>
        <w:tc>
          <w:tcPr>
            <w:tcW w:w="196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8.</w:t>
            </w:r>
            <w:r>
              <w:rPr>
                <w:rFonts w:hint="default" w:ascii="Times New Roman" w:hAnsi="Times New Roman" w:eastAsia="宋体" w:cs="Times New Roman"/>
                <w:color w:val="000000"/>
                <w:spacing w:val="-4"/>
                <w:kern w:val="0"/>
                <w:sz w:val="21"/>
                <w:szCs w:val="21"/>
              </w:rPr>
              <w:t>通过国家或省危险废物信息管理系统向所在地生态环境主管部门如实申报危险废物的种类、产生量、流向、贮存、处置等有关资料。</w:t>
            </w:r>
          </w:p>
        </w:tc>
        <w:tc>
          <w:tcPr>
            <w:tcW w:w="720"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4</w:t>
            </w:r>
          </w:p>
        </w:tc>
        <w:tc>
          <w:tcPr>
            <w:tcW w:w="71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通过国家危险废物信息管理系统如实申报；内容齐全；能提供证明材料</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证明所申报数据的真实性和合理性。</w:t>
            </w:r>
          </w:p>
        </w:tc>
        <w:tc>
          <w:tcPr>
            <w:tcW w:w="5184" w:type="dxa"/>
            <w:gridSpan w:val="2"/>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全面、准确地申报了危险废物的种类、产生量、流向、贮存、利用、处置情况；且可提供证明材料（如危险废物管理台账、环评文件、竣工验收文件、危险废物转移联单、危险废物利用处置合同、财务数据等）。得</w:t>
            </w:r>
            <w:r>
              <w:rPr>
                <w:rFonts w:ascii="Times New Roman" w:hAnsi="Times New Roman" w:eastAsia="宋体" w:cs="Times New Roman"/>
                <w:color w:val="000000"/>
                <w:spacing w:val="-4"/>
                <w:kern w:val="0"/>
                <w:sz w:val="21"/>
                <w:szCs w:val="21"/>
              </w:rPr>
              <w:t>4</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申报内容中存在</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处及以下错误。得</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不报或虚报、漏报、瞒报危险废物的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或申报内容中关于危险废物的种类、产生量、流向、贮存、利用和处置情况存在</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处以上错误。得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212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至少抽选</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种产生量大的危险废物</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核实产生、贮存、转移、利用、处置全过程流向的合规合理性。</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查阅相关资料（由企业提供已经申报登记的证明材料和相应的其他证明材料）。</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比对该企业近</w:t>
            </w: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年申报资料</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查阅危险废物产生情况是否有较大变动。如有</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请企业提供说明材料。</w:t>
            </w:r>
          </w:p>
        </w:tc>
        <w:tc>
          <w:tcPr>
            <w:tcW w:w="705"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27" w:hRule="atLeast"/>
          <w:jc w:val="center"/>
        </w:trPr>
        <w:tc>
          <w:tcPr>
            <w:tcW w:w="1058" w:type="dxa"/>
            <w:vMerge w:val="restart"/>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六、转移制度（《固废法》第三十七条、第八十二条）</w:t>
            </w:r>
          </w:p>
        </w:tc>
        <w:tc>
          <w:tcPr>
            <w:tcW w:w="196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9.</w:t>
            </w:r>
            <w:r>
              <w:rPr>
                <w:rFonts w:hint="default" w:ascii="Times New Roman" w:hAnsi="Times New Roman" w:eastAsia="宋体" w:cs="Times New Roman"/>
                <w:color w:val="000000"/>
                <w:spacing w:val="-4"/>
                <w:kern w:val="0"/>
                <w:sz w:val="21"/>
                <w:szCs w:val="21"/>
              </w:rPr>
              <w:t>接收、转移危险废物的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按照危险废物转移有关规定</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如实填写、运行转移联单。</w:t>
            </w:r>
          </w:p>
        </w:tc>
        <w:tc>
          <w:tcPr>
            <w:tcW w:w="720"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4</w:t>
            </w:r>
          </w:p>
        </w:tc>
        <w:tc>
          <w:tcPr>
            <w:tcW w:w="71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按照实际接收、转移的危险废物</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如实填写、运行危险废物转移联单。</w:t>
            </w:r>
          </w:p>
        </w:tc>
        <w:tc>
          <w:tcPr>
            <w:tcW w:w="5184" w:type="dxa"/>
            <w:gridSpan w:val="2"/>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接收、转移危险废物的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按照危险废物转移有关规定通过国家危险废物信息管理系统如实填写、运行电子联单。得</w:t>
            </w:r>
            <w:r>
              <w:rPr>
                <w:rFonts w:ascii="Times New Roman" w:hAnsi="Times New Roman" w:eastAsia="宋体" w:cs="Times New Roman"/>
                <w:color w:val="000000"/>
                <w:spacing w:val="-4"/>
                <w:kern w:val="0"/>
                <w:sz w:val="21"/>
                <w:szCs w:val="21"/>
              </w:rPr>
              <w:t>4</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联单填写不规范</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存在</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处及以下错填、漏填等情况。得</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未运行联单擅自转移危险废物</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或联单填写存在错填、漏填在</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处以上</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或错填危险废物代码以符合其经营范围。得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212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查阅相关资料、现场核查（现场查看转移联单</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并与经营情况记录等进行核对）</w:t>
            </w:r>
          </w:p>
        </w:tc>
        <w:tc>
          <w:tcPr>
            <w:tcW w:w="705"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40" w:hRule="atLeast"/>
          <w:jc w:val="center"/>
        </w:trPr>
        <w:tc>
          <w:tcPr>
            <w:tcW w:w="1058" w:type="dxa"/>
            <w:vMerge w:val="continue"/>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196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10.</w:t>
            </w:r>
            <w:r>
              <w:rPr>
                <w:rFonts w:hint="default" w:ascii="Times New Roman" w:hAnsi="Times New Roman" w:eastAsia="宋体" w:cs="Times New Roman"/>
                <w:color w:val="000000"/>
                <w:spacing w:val="-4"/>
                <w:kern w:val="0"/>
                <w:sz w:val="21"/>
                <w:szCs w:val="21"/>
              </w:rPr>
              <w:t>利用处置过程新产生危险废物的单位委托他人运输、利用、处置的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应当对受托方的主体资格和技术能力进行核实</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依法签订书面合同</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在合同中约定污染防治要求。</w:t>
            </w:r>
          </w:p>
        </w:tc>
        <w:tc>
          <w:tcPr>
            <w:tcW w:w="720"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5</w:t>
            </w:r>
          </w:p>
        </w:tc>
        <w:tc>
          <w:tcPr>
            <w:tcW w:w="71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利用处置过程新产生危险废物需转移给外单位利用或处置的单位</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核定受托方的主体资格和技术能力。</w:t>
            </w:r>
          </w:p>
        </w:tc>
        <w:tc>
          <w:tcPr>
            <w:tcW w:w="5184" w:type="dxa"/>
            <w:gridSpan w:val="2"/>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A.</w:t>
            </w:r>
            <w:r>
              <w:rPr>
                <w:rFonts w:hint="default" w:ascii="Times New Roman" w:hAnsi="Times New Roman" w:eastAsia="宋体" w:cs="Times New Roman"/>
                <w:color w:val="000000"/>
                <w:spacing w:val="-4"/>
                <w:kern w:val="0"/>
                <w:sz w:val="21"/>
                <w:szCs w:val="21"/>
              </w:rPr>
              <w:t>对受托方的主体资格和技术能力进行核实</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且可提供证明材料。</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B.</w:t>
            </w:r>
            <w:r>
              <w:rPr>
                <w:rFonts w:hint="default" w:ascii="Times New Roman" w:hAnsi="Times New Roman" w:eastAsia="宋体" w:cs="Times New Roman"/>
                <w:color w:val="000000"/>
                <w:spacing w:val="-4"/>
                <w:kern w:val="0"/>
                <w:sz w:val="21"/>
                <w:szCs w:val="21"/>
              </w:rPr>
              <w:t>及时核对受托方收集、利用或者处置相关危险废物情况</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且可提供证明材料。</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以上每项符合得</w:t>
            </w:r>
            <w:r>
              <w:rPr>
                <w:rFonts w:ascii="Times New Roman" w:hAnsi="Times New Roman" w:eastAsia="宋体" w:cs="Times New Roman"/>
                <w:color w:val="000000"/>
                <w:spacing w:val="-4"/>
                <w:kern w:val="0"/>
                <w:sz w:val="21"/>
                <w:szCs w:val="21"/>
              </w:rPr>
              <w:t>2.5</w:t>
            </w:r>
            <w:r>
              <w:rPr>
                <w:rFonts w:hint="default" w:ascii="Times New Roman" w:hAnsi="Times New Roman" w:eastAsia="宋体" w:cs="Times New Roman"/>
                <w:color w:val="000000"/>
                <w:spacing w:val="-4"/>
                <w:kern w:val="0"/>
                <w:sz w:val="21"/>
                <w:szCs w:val="21"/>
              </w:rPr>
              <w:t>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共</w:t>
            </w:r>
            <w:r>
              <w:rPr>
                <w:rFonts w:ascii="Times New Roman" w:hAnsi="Times New Roman" w:eastAsia="宋体" w:cs="Times New Roman"/>
                <w:color w:val="000000"/>
                <w:spacing w:val="-4"/>
                <w:kern w:val="0"/>
                <w:sz w:val="21"/>
                <w:szCs w:val="21"/>
              </w:rPr>
              <w:t>5</w:t>
            </w:r>
            <w:r>
              <w:rPr>
                <w:rFonts w:hint="default" w:ascii="Times New Roman" w:hAnsi="Times New Roman" w:eastAsia="宋体" w:cs="Times New Roman"/>
                <w:color w:val="000000"/>
                <w:spacing w:val="-4"/>
                <w:kern w:val="0"/>
                <w:sz w:val="21"/>
                <w:szCs w:val="21"/>
              </w:rPr>
              <w:t>分。</w:t>
            </w:r>
          </w:p>
        </w:tc>
        <w:tc>
          <w:tcPr>
            <w:tcW w:w="212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查阅相关资料（如受托方危险废物经营许可证及其附件的复印件等）。</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实地或电话同受托方核实</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包括转移联单同产废单位的台账核实；转移联单同经营单位的经营管理台账核实。</w:t>
            </w:r>
          </w:p>
        </w:tc>
        <w:tc>
          <w:tcPr>
            <w:tcW w:w="705"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91" w:hRule="atLeast"/>
          <w:jc w:val="center"/>
        </w:trPr>
        <w:tc>
          <w:tcPr>
            <w:tcW w:w="1058" w:type="dxa"/>
            <w:vMerge w:val="continue"/>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196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11.</w:t>
            </w:r>
            <w:r>
              <w:rPr>
                <w:rFonts w:hint="default" w:ascii="Times New Roman" w:hAnsi="Times New Roman" w:eastAsia="宋体" w:cs="Times New Roman"/>
                <w:color w:val="000000"/>
                <w:spacing w:val="-4"/>
                <w:kern w:val="0"/>
                <w:sz w:val="21"/>
                <w:szCs w:val="21"/>
              </w:rPr>
              <w:t>跨省、自治区、直辖市转移危险废物的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应当向危险废物移出地省、自治区、直辖市人民政府生态环境主管部门申请。</w:t>
            </w:r>
          </w:p>
        </w:tc>
        <w:tc>
          <w:tcPr>
            <w:tcW w:w="720"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p>
        </w:tc>
        <w:tc>
          <w:tcPr>
            <w:tcW w:w="71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向移出地省级生态环境主管部门申请并获得批准。</w:t>
            </w:r>
          </w:p>
        </w:tc>
        <w:tc>
          <w:tcPr>
            <w:tcW w:w="5184" w:type="dxa"/>
            <w:gridSpan w:val="2"/>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跨省、自治区、直辖市转移危险废物的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在转移危险废物前向移出地省级生态环境主管部门申请并得到批准。得</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分。</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未获得省级生态环境主管部门批准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擅自转移危险废物。得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212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查阅相关资料（查看批准证明）</w:t>
            </w:r>
          </w:p>
        </w:tc>
        <w:tc>
          <w:tcPr>
            <w:tcW w:w="705"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335" w:hRule="atLeast"/>
          <w:jc w:val="center"/>
        </w:trPr>
        <w:tc>
          <w:tcPr>
            <w:tcW w:w="1058" w:type="dxa"/>
            <w:vMerge w:val="restart"/>
            <w:noWrap w:val="0"/>
            <w:vAlign w:val="center"/>
          </w:tcPr>
          <w:p>
            <w:pPr>
              <w:widowControl/>
              <w:adjustRightInd w:val="0"/>
              <w:snapToGrid w:val="0"/>
              <w:spacing w:line="259" w:lineRule="auto"/>
              <w:ind w:firstLine="0" w:firstLineChars="0"/>
              <w:jc w:val="left"/>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七、环境应急预案备案制度（《固废法》第八十五条）</w:t>
            </w:r>
          </w:p>
        </w:tc>
        <w:tc>
          <w:tcPr>
            <w:tcW w:w="1962" w:type="dxa"/>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12.</w:t>
            </w:r>
            <w:r>
              <w:rPr>
                <w:rFonts w:hint="default" w:ascii="Times New Roman" w:hAnsi="Times New Roman" w:eastAsia="宋体" w:cs="Times New Roman"/>
                <w:color w:val="000000"/>
                <w:spacing w:val="-4"/>
                <w:kern w:val="0"/>
                <w:sz w:val="21"/>
                <w:szCs w:val="21"/>
              </w:rPr>
              <w:t>按照危险废物经营单位编制环境应急预案相关标准规范要求</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依法制定了意外事故的环境污染防范措施和应急预案。</w:t>
            </w:r>
          </w:p>
        </w:tc>
        <w:tc>
          <w:tcPr>
            <w:tcW w:w="720" w:type="dxa"/>
            <w:noWrap w:val="0"/>
            <w:vAlign w:val="center"/>
          </w:tcPr>
          <w:p>
            <w:pPr>
              <w:widowControl/>
              <w:adjustRightInd w:val="0"/>
              <w:snapToGrid w:val="0"/>
              <w:spacing w:line="264"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p>
        </w:tc>
        <w:tc>
          <w:tcPr>
            <w:tcW w:w="710" w:type="dxa"/>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有意外事故应急预案（综合性应急预案有危险废物相关篇章或有危险废物专门应急预案）。</w:t>
            </w:r>
          </w:p>
        </w:tc>
        <w:tc>
          <w:tcPr>
            <w:tcW w:w="5184" w:type="dxa"/>
            <w:gridSpan w:val="2"/>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A.</w:t>
            </w:r>
            <w:r>
              <w:rPr>
                <w:rFonts w:hint="default" w:ascii="Times New Roman" w:hAnsi="Times New Roman" w:eastAsia="宋体" w:cs="Times New Roman"/>
                <w:color w:val="000000"/>
                <w:spacing w:val="-4"/>
                <w:kern w:val="0"/>
                <w:sz w:val="21"/>
                <w:szCs w:val="21"/>
              </w:rPr>
              <w:t>应急预案有明确的管理机构及负责人。</w:t>
            </w:r>
          </w:p>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B.</w:t>
            </w:r>
            <w:r>
              <w:rPr>
                <w:rFonts w:hint="default" w:ascii="Times New Roman" w:hAnsi="Times New Roman" w:eastAsia="宋体" w:cs="Times New Roman"/>
                <w:color w:val="000000"/>
                <w:spacing w:val="-4"/>
                <w:kern w:val="0"/>
                <w:sz w:val="21"/>
                <w:szCs w:val="21"/>
              </w:rPr>
              <w:t>有意外事故的情形及相应的处理措施。</w:t>
            </w:r>
          </w:p>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C.</w:t>
            </w:r>
            <w:r>
              <w:rPr>
                <w:rFonts w:hint="default" w:ascii="Times New Roman" w:hAnsi="Times New Roman" w:eastAsia="宋体" w:cs="Times New Roman"/>
                <w:color w:val="000000"/>
                <w:spacing w:val="-4"/>
                <w:kern w:val="0"/>
                <w:sz w:val="21"/>
                <w:szCs w:val="21"/>
              </w:rPr>
              <w:t>有应急预案中要求配置的应急装备及物资。</w:t>
            </w:r>
          </w:p>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D.</w:t>
            </w:r>
            <w:r>
              <w:rPr>
                <w:rFonts w:hint="default" w:ascii="Times New Roman" w:hAnsi="Times New Roman" w:eastAsia="宋体" w:cs="Times New Roman"/>
                <w:color w:val="000000"/>
                <w:spacing w:val="-4"/>
                <w:kern w:val="0"/>
                <w:sz w:val="21"/>
                <w:szCs w:val="21"/>
              </w:rPr>
              <w:t>内部及外部环境发生改变时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及时对应急预案进行了修订。</w:t>
            </w:r>
          </w:p>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制定了环境应急预案且达到以上全部要求。得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未制定环境应急预案</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或制定的环境应急预案不能达到上述</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项以上要求。得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2122" w:type="dxa"/>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查阅相关资料（查看环境应急预案）、现场核查</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97" w:hRule="atLeast"/>
          <w:jc w:val="center"/>
        </w:trPr>
        <w:tc>
          <w:tcPr>
            <w:tcW w:w="1058" w:type="dxa"/>
            <w:vMerge w:val="continue"/>
            <w:noWrap w:val="0"/>
            <w:vAlign w:val="center"/>
          </w:tcPr>
          <w:p>
            <w:pPr>
              <w:widowControl/>
              <w:adjustRightInd w:val="0"/>
              <w:snapToGrid w:val="0"/>
              <w:spacing w:line="259" w:lineRule="auto"/>
              <w:ind w:firstLine="0" w:firstLineChars="0"/>
              <w:jc w:val="left"/>
              <w:rPr>
                <w:rFonts w:ascii="Times New Roman" w:hAnsi="Times New Roman" w:eastAsia="宋体" w:cs="Times New Roman"/>
                <w:color w:val="000000"/>
                <w:spacing w:val="-4"/>
                <w:kern w:val="0"/>
                <w:sz w:val="21"/>
                <w:szCs w:val="21"/>
              </w:rPr>
            </w:pPr>
          </w:p>
        </w:tc>
        <w:tc>
          <w:tcPr>
            <w:tcW w:w="1962" w:type="dxa"/>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13.</w:t>
            </w:r>
            <w:r>
              <w:rPr>
                <w:rFonts w:hint="default" w:ascii="Times New Roman" w:hAnsi="Times New Roman" w:eastAsia="宋体" w:cs="Times New Roman"/>
                <w:color w:val="000000"/>
                <w:spacing w:val="-4"/>
                <w:kern w:val="0"/>
                <w:sz w:val="21"/>
                <w:szCs w:val="21"/>
              </w:rPr>
              <w:t>向所在地生态环境主管部门和其他负有固体废物污染环境防治监督管理职责的部门备案。</w:t>
            </w:r>
          </w:p>
        </w:tc>
        <w:tc>
          <w:tcPr>
            <w:tcW w:w="720" w:type="dxa"/>
            <w:noWrap w:val="0"/>
            <w:vAlign w:val="center"/>
          </w:tcPr>
          <w:p>
            <w:pPr>
              <w:widowControl/>
              <w:adjustRightInd w:val="0"/>
              <w:snapToGrid w:val="0"/>
              <w:spacing w:line="264"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p>
        </w:tc>
        <w:tc>
          <w:tcPr>
            <w:tcW w:w="710" w:type="dxa"/>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在所在地生态环境主管部门和其他负有固体废物污染环境防治监督管理职责的部门备案。</w:t>
            </w:r>
          </w:p>
        </w:tc>
        <w:tc>
          <w:tcPr>
            <w:tcW w:w="5184" w:type="dxa"/>
            <w:gridSpan w:val="2"/>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环境应急预案报所在地生态环境主管部门和其他负有固体废物污染环境防治监督管理职责的部门备案</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有相关的证明材料。得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未备案或无相关的证明材料。得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2122" w:type="dxa"/>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查阅相关资料（查看备案证明）</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84" w:hRule="atLeast"/>
          <w:jc w:val="center"/>
        </w:trPr>
        <w:tc>
          <w:tcPr>
            <w:tcW w:w="1058" w:type="dxa"/>
            <w:vMerge w:val="continue"/>
            <w:noWrap w:val="0"/>
            <w:vAlign w:val="center"/>
          </w:tcPr>
          <w:p>
            <w:pPr>
              <w:widowControl/>
              <w:adjustRightInd w:val="0"/>
              <w:snapToGrid w:val="0"/>
              <w:spacing w:line="259" w:lineRule="auto"/>
              <w:ind w:firstLine="0" w:firstLineChars="0"/>
              <w:jc w:val="left"/>
              <w:rPr>
                <w:rFonts w:ascii="Times New Roman" w:hAnsi="Times New Roman" w:eastAsia="宋体" w:cs="Times New Roman"/>
                <w:color w:val="000000"/>
                <w:spacing w:val="-4"/>
                <w:kern w:val="0"/>
                <w:sz w:val="21"/>
                <w:szCs w:val="21"/>
              </w:rPr>
            </w:pPr>
          </w:p>
        </w:tc>
        <w:tc>
          <w:tcPr>
            <w:tcW w:w="1962" w:type="dxa"/>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14.</w:t>
            </w:r>
            <w:r>
              <w:rPr>
                <w:rFonts w:hint="default" w:ascii="Times New Roman" w:hAnsi="Times New Roman" w:eastAsia="宋体" w:cs="Times New Roman"/>
                <w:color w:val="000000"/>
                <w:spacing w:val="-4"/>
                <w:kern w:val="0"/>
                <w:sz w:val="21"/>
                <w:szCs w:val="21"/>
              </w:rPr>
              <w:t>按照预案要求每年组织应急演练。</w:t>
            </w:r>
          </w:p>
        </w:tc>
        <w:tc>
          <w:tcPr>
            <w:tcW w:w="720" w:type="dxa"/>
            <w:noWrap w:val="0"/>
            <w:vAlign w:val="center"/>
          </w:tcPr>
          <w:p>
            <w:pPr>
              <w:widowControl/>
              <w:adjustRightInd w:val="0"/>
              <w:snapToGrid w:val="0"/>
              <w:spacing w:line="264"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p>
        </w:tc>
        <w:tc>
          <w:tcPr>
            <w:tcW w:w="710" w:type="dxa"/>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9"/>
                <w:kern w:val="0"/>
                <w:sz w:val="21"/>
                <w:szCs w:val="21"/>
              </w:rPr>
            </w:pPr>
            <w:r>
              <w:rPr>
                <w:rFonts w:hint="default" w:ascii="Times New Roman" w:hAnsi="Times New Roman" w:eastAsia="宋体" w:cs="Times New Roman"/>
                <w:color w:val="000000"/>
                <w:spacing w:val="-9"/>
                <w:kern w:val="0"/>
                <w:sz w:val="21"/>
                <w:szCs w:val="21"/>
              </w:rPr>
              <w:t>按照预案要求每年组织环境应急演练。</w:t>
            </w:r>
          </w:p>
        </w:tc>
        <w:tc>
          <w:tcPr>
            <w:tcW w:w="5184" w:type="dxa"/>
            <w:gridSpan w:val="2"/>
            <w:noWrap w:val="0"/>
            <w:vAlign w:val="center"/>
          </w:tcPr>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A.</w:t>
            </w:r>
            <w:r>
              <w:rPr>
                <w:rFonts w:hint="default" w:ascii="Times New Roman" w:hAnsi="Times New Roman" w:eastAsia="宋体" w:cs="Times New Roman"/>
                <w:color w:val="000000"/>
                <w:spacing w:val="-4"/>
                <w:kern w:val="0"/>
                <w:sz w:val="21"/>
                <w:szCs w:val="21"/>
              </w:rPr>
              <w:t>有详细的演练计划。</w:t>
            </w:r>
          </w:p>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B.</w:t>
            </w:r>
            <w:r>
              <w:rPr>
                <w:rFonts w:hint="default" w:ascii="Times New Roman" w:hAnsi="Times New Roman" w:eastAsia="宋体" w:cs="Times New Roman"/>
                <w:color w:val="000000"/>
                <w:spacing w:val="-4"/>
                <w:kern w:val="0"/>
                <w:sz w:val="21"/>
                <w:szCs w:val="21"/>
              </w:rPr>
              <w:t>有演练的图片、文字或视频记录。</w:t>
            </w:r>
          </w:p>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C.</w:t>
            </w:r>
            <w:r>
              <w:rPr>
                <w:rFonts w:hint="default" w:ascii="Times New Roman" w:hAnsi="Times New Roman" w:eastAsia="宋体" w:cs="Times New Roman"/>
                <w:color w:val="000000"/>
                <w:spacing w:val="-4"/>
                <w:kern w:val="0"/>
                <w:sz w:val="21"/>
                <w:szCs w:val="21"/>
              </w:rPr>
              <w:t>有演练后的总结材料。</w:t>
            </w:r>
          </w:p>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D.</w:t>
            </w:r>
            <w:r>
              <w:rPr>
                <w:rFonts w:hint="default" w:ascii="Times New Roman" w:hAnsi="Times New Roman" w:eastAsia="宋体" w:cs="Times New Roman"/>
                <w:color w:val="000000"/>
                <w:spacing w:val="-4"/>
                <w:kern w:val="0"/>
                <w:sz w:val="21"/>
                <w:szCs w:val="21"/>
              </w:rPr>
              <w:t>参加演练人员熟悉意外事故的环境污染防范措施。</w:t>
            </w:r>
          </w:p>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p>
          <w:p>
            <w:pPr>
              <w:widowControl/>
              <w:adjustRightInd w:val="0"/>
              <w:snapToGrid w:val="0"/>
              <w:spacing w:line="264"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以上每项符合得</w:t>
            </w:r>
            <w:r>
              <w:rPr>
                <w:rFonts w:ascii="Times New Roman" w:hAnsi="Times New Roman" w:eastAsia="宋体" w:cs="Times New Roman"/>
                <w:color w:val="000000"/>
                <w:spacing w:val="-4"/>
                <w:kern w:val="0"/>
                <w:sz w:val="21"/>
                <w:szCs w:val="21"/>
              </w:rPr>
              <w:t>0.5</w:t>
            </w:r>
            <w:r>
              <w:rPr>
                <w:rFonts w:hint="default" w:ascii="Times New Roman" w:hAnsi="Times New Roman" w:eastAsia="宋体" w:cs="Times New Roman"/>
                <w:color w:val="000000"/>
                <w:spacing w:val="-4"/>
                <w:kern w:val="0"/>
                <w:sz w:val="21"/>
                <w:szCs w:val="21"/>
              </w:rPr>
              <w:t>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共</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分。</w:t>
            </w:r>
          </w:p>
        </w:tc>
        <w:tc>
          <w:tcPr>
            <w:tcW w:w="2122" w:type="dxa"/>
            <w:noWrap w:val="0"/>
            <w:vAlign w:val="center"/>
          </w:tcPr>
          <w:p>
            <w:pPr>
              <w:widowControl/>
              <w:adjustRightInd w:val="0"/>
              <w:snapToGrid w:val="0"/>
              <w:spacing w:line="259"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查阅相关资料（查看环境应急预案演练记录）、现场询问</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60" w:hRule="atLeast"/>
          <w:jc w:val="center"/>
        </w:trPr>
        <w:tc>
          <w:tcPr>
            <w:tcW w:w="1058" w:type="dxa"/>
            <w:vMerge w:val="restart"/>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八、贮存设施环境管理（《固废法》第十七条、第十八条、第七十九条、第八十一条）</w:t>
            </w:r>
          </w:p>
        </w:tc>
        <w:tc>
          <w:tcPr>
            <w:tcW w:w="1962" w:type="dxa"/>
            <w:noWrap w:val="0"/>
            <w:vAlign w:val="center"/>
          </w:tcPr>
          <w:p>
            <w:pPr>
              <w:widowControl/>
              <w:adjustRightInd w:val="0"/>
              <w:snapToGrid w:val="0"/>
              <w:spacing w:line="218"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15.</w:t>
            </w:r>
            <w:r>
              <w:rPr>
                <w:rFonts w:hint="default" w:ascii="Times New Roman" w:hAnsi="Times New Roman" w:eastAsia="宋体" w:cs="Times New Roman"/>
                <w:color w:val="000000"/>
                <w:spacing w:val="-4"/>
                <w:kern w:val="0"/>
                <w:sz w:val="21"/>
                <w:szCs w:val="21"/>
              </w:rPr>
              <w:t>依法进行环境影响评价</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完成</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三同时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验收。</w:t>
            </w:r>
          </w:p>
        </w:tc>
        <w:tc>
          <w:tcPr>
            <w:tcW w:w="720" w:type="dxa"/>
            <w:noWrap w:val="0"/>
            <w:vAlign w:val="center"/>
          </w:tcPr>
          <w:p>
            <w:pPr>
              <w:widowControl/>
              <w:adjustRightInd w:val="0"/>
              <w:snapToGrid w:val="0"/>
              <w:spacing w:line="218"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p>
        </w:tc>
        <w:tc>
          <w:tcPr>
            <w:tcW w:w="710" w:type="dxa"/>
            <w:noWrap w:val="0"/>
            <w:vAlign w:val="center"/>
          </w:tcPr>
          <w:p>
            <w:pPr>
              <w:widowControl/>
              <w:adjustRightInd w:val="0"/>
              <w:snapToGrid w:val="0"/>
              <w:spacing w:line="218" w:lineRule="auto"/>
              <w:ind w:firstLine="0" w:firstLineChars="0"/>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1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有环评材料</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并完成</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三同时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验收。</w:t>
            </w:r>
          </w:p>
        </w:tc>
        <w:tc>
          <w:tcPr>
            <w:tcW w:w="5184" w:type="dxa"/>
            <w:gridSpan w:val="2"/>
            <w:noWrap w:val="0"/>
            <w:vAlign w:val="center"/>
          </w:tcPr>
          <w:p>
            <w:pPr>
              <w:widowControl/>
              <w:adjustRightInd w:val="0"/>
              <w:snapToGrid w:val="0"/>
              <w:spacing w:line="218"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环境影响评价文件对全部危险废物贮存设施进行了评价</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且完成了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三同时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验收或在验收期限内。得</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环境影响评价文件对全部危险废物贮存设施进行了评价</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但未完成</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三同时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验收。得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p>
          <w:p>
            <w:pPr>
              <w:widowControl/>
              <w:adjustRightInd w:val="0"/>
              <w:snapToGrid w:val="0"/>
              <w:spacing w:line="218"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环境影响评价文件仅对部分危险废物贮存设施进行了评价</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且完成了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三同时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验收或在验收期限内。得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4.</w:t>
            </w:r>
            <w:r>
              <w:rPr>
                <w:rFonts w:hint="default" w:ascii="Times New Roman" w:hAnsi="Times New Roman" w:eastAsia="宋体" w:cs="Times New Roman"/>
                <w:color w:val="000000"/>
                <w:spacing w:val="-4"/>
                <w:kern w:val="0"/>
                <w:sz w:val="21"/>
                <w:szCs w:val="21"/>
              </w:rPr>
              <w:t>环境影响评价文件未对危险废物贮存设施进行评价或危险废物实际贮存方式与环境影响评价文件不一致。得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2122" w:type="dxa"/>
            <w:noWrap w:val="0"/>
            <w:vAlign w:val="center"/>
          </w:tcPr>
          <w:p>
            <w:pPr>
              <w:widowControl/>
              <w:adjustRightInd w:val="0"/>
              <w:snapToGrid w:val="0"/>
              <w:spacing w:line="21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查阅相关资料（查看环评材料及批复、验收报告等）</w:t>
            </w:r>
          </w:p>
        </w:tc>
        <w:tc>
          <w:tcPr>
            <w:tcW w:w="705" w:type="dxa"/>
            <w:noWrap w:val="0"/>
            <w:vAlign w:val="top"/>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334" w:hRule="atLeast"/>
          <w:jc w:val="center"/>
        </w:trPr>
        <w:tc>
          <w:tcPr>
            <w:tcW w:w="1058" w:type="dxa"/>
            <w:vMerge w:val="continue"/>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p>
        </w:tc>
        <w:tc>
          <w:tcPr>
            <w:tcW w:w="1962" w:type="dxa"/>
            <w:noWrap w:val="0"/>
            <w:vAlign w:val="center"/>
          </w:tcPr>
          <w:p>
            <w:pPr>
              <w:widowControl/>
              <w:adjustRightInd w:val="0"/>
              <w:snapToGrid w:val="0"/>
              <w:spacing w:line="218"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16.</w:t>
            </w:r>
            <w:r>
              <w:rPr>
                <w:rFonts w:hint="default" w:ascii="Times New Roman" w:hAnsi="Times New Roman" w:eastAsia="宋体" w:cs="Times New Roman"/>
                <w:color w:val="000000"/>
                <w:spacing w:val="-4"/>
                <w:kern w:val="0"/>
                <w:sz w:val="21"/>
                <w:szCs w:val="21"/>
              </w:rPr>
              <w:t>按照国家有关规定和环境保护标准要求贮存危险废物。</w:t>
            </w:r>
          </w:p>
        </w:tc>
        <w:tc>
          <w:tcPr>
            <w:tcW w:w="720" w:type="dxa"/>
            <w:noWrap w:val="0"/>
            <w:vAlign w:val="center"/>
          </w:tcPr>
          <w:p>
            <w:pPr>
              <w:widowControl/>
              <w:adjustRightInd w:val="0"/>
              <w:snapToGrid w:val="0"/>
              <w:spacing w:line="218"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4</w:t>
            </w:r>
          </w:p>
        </w:tc>
        <w:tc>
          <w:tcPr>
            <w:tcW w:w="710" w:type="dxa"/>
            <w:noWrap w:val="0"/>
            <w:vAlign w:val="top"/>
          </w:tcPr>
          <w:p>
            <w:pPr>
              <w:widowControl/>
              <w:adjustRightInd w:val="0"/>
              <w:snapToGrid w:val="0"/>
              <w:spacing w:line="218" w:lineRule="auto"/>
              <w:ind w:firstLine="0" w:firstLineChars="0"/>
              <w:jc w:val="center"/>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1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符合《危险废物贮存污染控制标准》的有关要求。</w:t>
            </w:r>
          </w:p>
        </w:tc>
        <w:tc>
          <w:tcPr>
            <w:tcW w:w="5184" w:type="dxa"/>
            <w:gridSpan w:val="2"/>
            <w:noWrap w:val="0"/>
            <w:vAlign w:val="center"/>
          </w:tcPr>
          <w:p>
            <w:pPr>
              <w:widowControl/>
              <w:adjustRightInd w:val="0"/>
              <w:snapToGrid w:val="0"/>
              <w:spacing w:line="218" w:lineRule="auto"/>
              <w:ind w:firstLine="0" w:firstLineChars="0"/>
              <w:rPr>
                <w:rFonts w:ascii="Times New Roman" w:hAnsi="Times New Roman" w:eastAsia="宋体" w:cs="Times New Roman"/>
                <w:color w:val="000000"/>
                <w:kern w:val="0"/>
                <w:sz w:val="21"/>
                <w:szCs w:val="21"/>
              </w:rPr>
            </w:pPr>
            <w:r>
              <w:rPr>
                <w:rFonts w:ascii="Times New Roman" w:hAnsi="Times New Roman" w:eastAsia="宋体" w:cs="Times New Roman"/>
                <w:color w:val="000000"/>
                <w:kern w:val="0"/>
                <w:sz w:val="21"/>
                <w:szCs w:val="21"/>
              </w:rPr>
              <w:t>A.</w:t>
            </w:r>
            <w:r>
              <w:rPr>
                <w:rFonts w:hint="default" w:ascii="Times New Roman" w:hAnsi="Times New Roman" w:eastAsia="宋体" w:cs="Times New Roman"/>
                <w:color w:val="000000"/>
                <w:kern w:val="0"/>
                <w:sz w:val="21"/>
                <w:szCs w:val="21"/>
              </w:rPr>
              <w:t>符合《危险废物贮存污染控制标准》一般要求</w:t>
            </w:r>
            <w:r>
              <w:rPr>
                <w:rFonts w:hint="eastAsia" w:ascii="Times New Roman" w:hAnsi="Times New Roman" w:eastAsia="宋体" w:cs="Times New Roman"/>
                <w:color w:val="000000"/>
                <w:kern w:val="0"/>
                <w:sz w:val="21"/>
                <w:szCs w:val="21"/>
                <w:lang w:eastAsia="zh-CN"/>
              </w:rPr>
              <w:t>，</w:t>
            </w:r>
            <w:r>
              <w:rPr>
                <w:rFonts w:hint="default" w:ascii="Times New Roman" w:hAnsi="Times New Roman" w:eastAsia="宋体" w:cs="Times New Roman"/>
                <w:color w:val="000000"/>
                <w:kern w:val="0"/>
                <w:sz w:val="21"/>
                <w:szCs w:val="21"/>
              </w:rPr>
              <w:t>按照危害特性分类贮存危险废物、未混合贮存性质不相容且未经安全性处置的危险废物、具备防渗漏功能或采取相应措施等。</w:t>
            </w:r>
          </w:p>
          <w:p>
            <w:pPr>
              <w:widowControl/>
              <w:adjustRightInd w:val="0"/>
              <w:snapToGrid w:val="0"/>
              <w:spacing w:line="218" w:lineRule="auto"/>
              <w:ind w:firstLine="0" w:firstLineChars="0"/>
              <w:rPr>
                <w:rFonts w:ascii="Times New Roman" w:hAnsi="Times New Roman" w:eastAsia="宋体" w:cs="Times New Roman"/>
                <w:color w:val="000000"/>
                <w:sz w:val="21"/>
                <w:szCs w:val="21"/>
              </w:rPr>
            </w:pPr>
            <w:r>
              <w:rPr>
                <w:rFonts w:ascii="Times New Roman" w:hAnsi="Times New Roman" w:eastAsia="宋体" w:cs="Times New Roman"/>
                <w:color w:val="000000"/>
                <w:kern w:val="0"/>
                <w:sz w:val="21"/>
                <w:szCs w:val="21"/>
              </w:rPr>
              <w:t>B.</w:t>
            </w:r>
            <w:r>
              <w:rPr>
                <w:rFonts w:hint="default" w:ascii="Times New Roman" w:hAnsi="Times New Roman" w:eastAsia="宋体" w:cs="Times New Roman"/>
                <w:color w:val="000000"/>
                <w:sz w:val="21"/>
                <w:szCs w:val="21"/>
              </w:rPr>
              <w:t>符合</w:t>
            </w:r>
            <w:r>
              <w:rPr>
                <w:rFonts w:hint="default" w:ascii="Times New Roman" w:hAnsi="Times New Roman" w:eastAsia="宋体" w:cs="Times New Roman"/>
                <w:color w:val="000000"/>
                <w:kern w:val="0"/>
                <w:sz w:val="21"/>
                <w:szCs w:val="21"/>
              </w:rPr>
              <w:t>《危险废物贮存污染控制标准》贮存容器有关要求</w:t>
            </w:r>
            <w:r>
              <w:rPr>
                <w:rFonts w:hint="eastAsia" w:ascii="Times New Roman" w:hAnsi="Times New Roman" w:eastAsia="宋体" w:cs="Times New Roman"/>
                <w:color w:val="000000"/>
                <w:kern w:val="0"/>
                <w:sz w:val="21"/>
                <w:szCs w:val="21"/>
                <w:lang w:eastAsia="zh-CN"/>
              </w:rPr>
              <w:t>，</w:t>
            </w:r>
            <w:r>
              <w:rPr>
                <w:rFonts w:hint="default" w:ascii="Times New Roman" w:hAnsi="Times New Roman" w:eastAsia="宋体" w:cs="Times New Roman"/>
                <w:color w:val="000000"/>
                <w:kern w:val="0"/>
                <w:sz w:val="21"/>
                <w:szCs w:val="21"/>
              </w:rPr>
              <w:t>装载危险废物的容器完好无损等</w:t>
            </w:r>
            <w:r>
              <w:rPr>
                <w:rFonts w:hint="default" w:ascii="Times New Roman" w:hAnsi="Times New Roman" w:eastAsia="宋体" w:cs="Times New Roman"/>
                <w:color w:val="000000"/>
                <w:sz w:val="21"/>
                <w:szCs w:val="21"/>
              </w:rPr>
              <w:t>。</w:t>
            </w:r>
          </w:p>
          <w:p>
            <w:pPr>
              <w:widowControl/>
              <w:adjustRightInd w:val="0"/>
              <w:snapToGrid w:val="0"/>
              <w:spacing w:line="218" w:lineRule="auto"/>
              <w:ind w:firstLine="0" w:firstLineChars="0"/>
              <w:rPr>
                <w:rFonts w:ascii="Times New Roman" w:hAnsi="Times New Roman" w:eastAsia="宋体" w:cs="Times New Roman"/>
                <w:color w:val="000000"/>
                <w:spacing w:val="-5"/>
                <w:sz w:val="21"/>
                <w:szCs w:val="21"/>
              </w:rPr>
            </w:pPr>
            <w:r>
              <w:rPr>
                <w:rFonts w:ascii="Times New Roman" w:hAnsi="Times New Roman" w:eastAsia="宋体" w:cs="Times New Roman"/>
                <w:color w:val="000000"/>
                <w:spacing w:val="-5"/>
                <w:sz w:val="21"/>
                <w:szCs w:val="21"/>
              </w:rPr>
              <w:t>C.</w:t>
            </w:r>
            <w:r>
              <w:rPr>
                <w:rFonts w:hint="default" w:ascii="Times New Roman" w:hAnsi="Times New Roman" w:eastAsia="宋体" w:cs="Times New Roman"/>
                <w:color w:val="000000"/>
                <w:spacing w:val="-5"/>
                <w:kern w:val="0"/>
                <w:sz w:val="21"/>
                <w:szCs w:val="21"/>
              </w:rPr>
              <w:t>符合《危险废物贮存污染控制标准》污染物排放有关要求</w:t>
            </w:r>
            <w:r>
              <w:rPr>
                <w:rFonts w:hint="eastAsia" w:ascii="Times New Roman" w:hAnsi="Times New Roman" w:eastAsia="宋体" w:cs="Times New Roman"/>
                <w:color w:val="000000"/>
                <w:spacing w:val="-5"/>
                <w:kern w:val="0"/>
                <w:sz w:val="21"/>
                <w:szCs w:val="21"/>
                <w:lang w:eastAsia="zh-CN"/>
              </w:rPr>
              <w:t>，</w:t>
            </w:r>
            <w:r>
              <w:rPr>
                <w:rFonts w:hint="default" w:ascii="Times New Roman" w:hAnsi="Times New Roman" w:eastAsia="宋体" w:cs="Times New Roman"/>
                <w:color w:val="000000"/>
                <w:spacing w:val="-5"/>
                <w:sz w:val="21"/>
                <w:szCs w:val="21"/>
              </w:rPr>
              <w:t>危险废物贮存过程产生的各种污染物满足国家污染物排放（控制）标准等要求。</w:t>
            </w:r>
          </w:p>
          <w:p>
            <w:pPr>
              <w:widowControl/>
              <w:adjustRightInd w:val="0"/>
              <w:snapToGrid w:val="0"/>
              <w:spacing w:line="218" w:lineRule="auto"/>
              <w:ind w:firstLine="0" w:firstLineChars="0"/>
              <w:rPr>
                <w:rFonts w:ascii="Times New Roman" w:hAnsi="Times New Roman" w:eastAsia="宋体" w:cs="Times New Roman"/>
                <w:color w:val="000000"/>
                <w:kern w:val="0"/>
                <w:sz w:val="21"/>
                <w:szCs w:val="21"/>
              </w:rPr>
            </w:pPr>
            <w:r>
              <w:rPr>
                <w:rFonts w:ascii="Times New Roman" w:hAnsi="Times New Roman" w:eastAsia="宋体" w:cs="Times New Roman"/>
                <w:color w:val="000000"/>
                <w:sz w:val="21"/>
                <w:szCs w:val="21"/>
              </w:rPr>
              <w:t>D.</w:t>
            </w:r>
            <w:r>
              <w:rPr>
                <w:rFonts w:hint="default" w:ascii="Times New Roman" w:hAnsi="Times New Roman" w:eastAsia="宋体" w:cs="Times New Roman"/>
                <w:color w:val="000000"/>
                <w:kern w:val="0"/>
                <w:sz w:val="21"/>
                <w:szCs w:val="21"/>
              </w:rPr>
              <w:t>符合《危险废物贮存污染控制标准》监测有关要求</w:t>
            </w:r>
            <w:r>
              <w:rPr>
                <w:rFonts w:hint="eastAsia" w:ascii="Times New Roman" w:hAnsi="Times New Roman" w:eastAsia="宋体" w:cs="Times New Roman"/>
                <w:color w:val="000000"/>
                <w:kern w:val="0"/>
                <w:sz w:val="21"/>
                <w:szCs w:val="21"/>
                <w:lang w:eastAsia="zh-CN"/>
              </w:rPr>
              <w:t>，</w:t>
            </w:r>
            <w:r>
              <w:rPr>
                <w:rFonts w:hint="default" w:ascii="Times New Roman" w:hAnsi="Times New Roman" w:eastAsia="宋体" w:cs="Times New Roman"/>
                <w:color w:val="000000"/>
                <w:kern w:val="0"/>
                <w:sz w:val="21"/>
                <w:szCs w:val="21"/>
              </w:rPr>
              <w:t>按照有关规定开展自行监测等。</w:t>
            </w:r>
          </w:p>
          <w:p>
            <w:pPr>
              <w:widowControl/>
              <w:adjustRightInd w:val="0"/>
              <w:snapToGrid w:val="0"/>
              <w:spacing w:line="218" w:lineRule="auto"/>
              <w:ind w:firstLine="0" w:firstLineChars="0"/>
              <w:rPr>
                <w:rFonts w:ascii="Times New Roman" w:hAnsi="Times New Roman" w:eastAsia="宋体" w:cs="Times New Roman"/>
                <w:color w:val="000000"/>
                <w:kern w:val="0"/>
                <w:sz w:val="21"/>
                <w:szCs w:val="21"/>
              </w:rPr>
            </w:pPr>
          </w:p>
          <w:p>
            <w:pPr>
              <w:widowControl/>
              <w:adjustRightInd w:val="0"/>
              <w:snapToGrid w:val="0"/>
              <w:spacing w:line="218" w:lineRule="auto"/>
              <w:ind w:firstLine="0" w:firstLineChars="0"/>
              <w:jc w:val="left"/>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kern w:val="0"/>
                <w:sz w:val="21"/>
                <w:szCs w:val="21"/>
              </w:rPr>
              <w:t>以上每项符合得</w:t>
            </w:r>
            <w:r>
              <w:rPr>
                <w:rFonts w:ascii="Times New Roman" w:hAnsi="Times New Roman" w:eastAsia="宋体" w:cs="Times New Roman"/>
                <w:color w:val="000000"/>
                <w:kern w:val="0"/>
                <w:sz w:val="21"/>
                <w:szCs w:val="21"/>
              </w:rPr>
              <w:t>1</w:t>
            </w:r>
            <w:r>
              <w:rPr>
                <w:rFonts w:hint="default" w:ascii="Times New Roman" w:hAnsi="Times New Roman" w:eastAsia="宋体" w:cs="Times New Roman"/>
                <w:color w:val="000000"/>
                <w:kern w:val="0"/>
                <w:sz w:val="21"/>
                <w:szCs w:val="21"/>
              </w:rPr>
              <w:t>分</w:t>
            </w:r>
            <w:r>
              <w:rPr>
                <w:rFonts w:hint="eastAsia" w:ascii="Times New Roman" w:hAnsi="Times New Roman" w:eastAsia="宋体" w:cs="Times New Roman"/>
                <w:color w:val="000000"/>
                <w:kern w:val="0"/>
                <w:sz w:val="21"/>
                <w:szCs w:val="21"/>
                <w:lang w:eastAsia="zh-CN"/>
              </w:rPr>
              <w:t>，</w:t>
            </w:r>
            <w:r>
              <w:rPr>
                <w:rFonts w:hint="default" w:ascii="Times New Roman" w:hAnsi="Times New Roman" w:eastAsia="宋体" w:cs="Times New Roman"/>
                <w:color w:val="000000"/>
                <w:kern w:val="0"/>
                <w:sz w:val="21"/>
                <w:szCs w:val="21"/>
              </w:rPr>
              <w:t>共</w:t>
            </w:r>
            <w:r>
              <w:rPr>
                <w:rFonts w:ascii="Times New Roman" w:hAnsi="Times New Roman" w:eastAsia="宋体" w:cs="Times New Roman"/>
                <w:color w:val="000000"/>
                <w:kern w:val="0"/>
                <w:sz w:val="21"/>
                <w:szCs w:val="21"/>
              </w:rPr>
              <w:t>4</w:t>
            </w:r>
            <w:r>
              <w:rPr>
                <w:rFonts w:hint="default" w:ascii="Times New Roman" w:hAnsi="Times New Roman" w:eastAsia="宋体" w:cs="Times New Roman"/>
                <w:color w:val="000000"/>
                <w:kern w:val="0"/>
                <w:sz w:val="21"/>
                <w:szCs w:val="21"/>
              </w:rPr>
              <w:t>分。</w:t>
            </w:r>
          </w:p>
        </w:tc>
        <w:tc>
          <w:tcPr>
            <w:tcW w:w="2122" w:type="dxa"/>
            <w:noWrap w:val="0"/>
            <w:vAlign w:val="center"/>
          </w:tcPr>
          <w:p>
            <w:pPr>
              <w:widowControl/>
              <w:adjustRightInd w:val="0"/>
              <w:snapToGrid w:val="0"/>
              <w:spacing w:line="21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现场核查厂区内（不仅限于贮存设施）危险废物存放情况</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重点核查是否存在随意堆存、与一般工业固体废物掺混等情形。</w:t>
            </w:r>
          </w:p>
        </w:tc>
        <w:tc>
          <w:tcPr>
            <w:tcW w:w="705" w:type="dxa"/>
            <w:noWrap w:val="0"/>
            <w:vAlign w:val="top"/>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51" w:hRule="atLeast"/>
          <w:jc w:val="center"/>
        </w:trPr>
        <w:tc>
          <w:tcPr>
            <w:tcW w:w="1058" w:type="dxa"/>
            <w:vMerge w:val="continue"/>
            <w:noWrap w:val="0"/>
            <w:vAlign w:val="center"/>
          </w:tcPr>
          <w:p>
            <w:pPr>
              <w:widowControl/>
              <w:adjustRightInd w:val="0"/>
              <w:snapToGrid w:val="0"/>
              <w:spacing w:line="218" w:lineRule="auto"/>
              <w:ind w:firstLine="0" w:firstLineChars="0"/>
              <w:rPr>
                <w:rFonts w:ascii="Times New Roman" w:hAnsi="Times New Roman" w:eastAsia="宋体" w:cs="Times New Roman"/>
                <w:color w:val="000000"/>
                <w:spacing w:val="-4"/>
                <w:kern w:val="0"/>
                <w:sz w:val="21"/>
                <w:szCs w:val="21"/>
              </w:rPr>
            </w:pPr>
          </w:p>
        </w:tc>
        <w:tc>
          <w:tcPr>
            <w:tcW w:w="1962" w:type="dxa"/>
            <w:noWrap w:val="0"/>
            <w:vAlign w:val="center"/>
          </w:tcPr>
          <w:p>
            <w:pPr>
              <w:widowControl/>
              <w:adjustRightInd w:val="0"/>
              <w:snapToGrid w:val="0"/>
              <w:spacing w:line="218"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17.</w:t>
            </w:r>
            <w:r>
              <w:rPr>
                <w:rFonts w:hint="default" w:ascii="Times New Roman" w:hAnsi="Times New Roman" w:eastAsia="宋体" w:cs="Times New Roman"/>
                <w:color w:val="000000"/>
                <w:spacing w:val="-4"/>
                <w:kern w:val="0"/>
                <w:sz w:val="21"/>
                <w:szCs w:val="21"/>
              </w:rPr>
              <w:t>贮存期限不超过一年；确需延长贮存期限的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报经颁发许可证的生态环境主管部门批准。</w:t>
            </w:r>
          </w:p>
        </w:tc>
        <w:tc>
          <w:tcPr>
            <w:tcW w:w="720" w:type="dxa"/>
            <w:noWrap w:val="0"/>
            <w:vAlign w:val="center"/>
          </w:tcPr>
          <w:p>
            <w:pPr>
              <w:widowControl/>
              <w:adjustRightInd w:val="0"/>
              <w:snapToGrid w:val="0"/>
              <w:spacing w:line="218"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p>
        </w:tc>
        <w:tc>
          <w:tcPr>
            <w:tcW w:w="710" w:type="dxa"/>
            <w:noWrap w:val="0"/>
            <w:vAlign w:val="center"/>
          </w:tcPr>
          <w:p>
            <w:pPr>
              <w:widowControl/>
              <w:adjustRightInd w:val="0"/>
              <w:snapToGrid w:val="0"/>
              <w:spacing w:line="218" w:lineRule="auto"/>
              <w:ind w:firstLine="0" w:firstLineChars="0"/>
              <w:jc w:val="center"/>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1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危险废物贮存不超过一年；超过一年的报经颁发许可证的生态环境主管部门批准。</w:t>
            </w:r>
          </w:p>
        </w:tc>
        <w:tc>
          <w:tcPr>
            <w:tcW w:w="5184" w:type="dxa"/>
            <w:gridSpan w:val="2"/>
            <w:noWrap w:val="0"/>
            <w:vAlign w:val="center"/>
          </w:tcPr>
          <w:p>
            <w:pPr>
              <w:widowControl/>
              <w:adjustRightInd w:val="0"/>
              <w:snapToGrid w:val="0"/>
              <w:spacing w:line="218" w:lineRule="auto"/>
              <w:ind w:firstLine="0" w:firstLineChars="0"/>
              <w:jc w:val="left"/>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危险废物贮存不超过一年</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超过一年的报经颁发许可证的生态环境主管部门批准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提供相应的证明材料。得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10"/>
                <w:kern w:val="0"/>
                <w:sz w:val="21"/>
                <w:szCs w:val="21"/>
              </w:rPr>
              <w:t>2.</w:t>
            </w:r>
            <w:r>
              <w:rPr>
                <w:rFonts w:hint="default" w:ascii="Times New Roman" w:hAnsi="Times New Roman" w:eastAsia="宋体" w:cs="Times New Roman"/>
                <w:color w:val="000000"/>
                <w:spacing w:val="-10"/>
                <w:kern w:val="0"/>
                <w:sz w:val="21"/>
                <w:szCs w:val="21"/>
              </w:rPr>
              <w:t>危险废物贮存超过一年且未获有效批准。得</w:t>
            </w:r>
            <w:r>
              <w:rPr>
                <w:rFonts w:ascii="Times New Roman" w:hAnsi="Times New Roman" w:eastAsia="宋体" w:cs="Times New Roman"/>
                <w:color w:val="000000"/>
                <w:spacing w:val="-10"/>
                <w:kern w:val="0"/>
                <w:sz w:val="21"/>
                <w:szCs w:val="21"/>
              </w:rPr>
              <w:t>0</w:t>
            </w:r>
            <w:r>
              <w:rPr>
                <w:rFonts w:hint="default" w:ascii="Times New Roman" w:hAnsi="Times New Roman" w:eastAsia="宋体" w:cs="Times New Roman"/>
                <w:color w:val="000000"/>
                <w:spacing w:val="-10"/>
                <w:kern w:val="0"/>
                <w:sz w:val="21"/>
                <w:szCs w:val="21"/>
              </w:rPr>
              <w:t>分。</w:t>
            </w:r>
          </w:p>
        </w:tc>
        <w:tc>
          <w:tcPr>
            <w:tcW w:w="212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查阅相关资料（查看经营管理台账）、现场核查</w:t>
            </w:r>
          </w:p>
        </w:tc>
        <w:tc>
          <w:tcPr>
            <w:tcW w:w="705" w:type="dxa"/>
            <w:noWrap w:val="0"/>
            <w:vAlign w:val="top"/>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2" w:hRule="atLeast"/>
          <w:jc w:val="center"/>
        </w:trPr>
        <w:tc>
          <w:tcPr>
            <w:tcW w:w="1058" w:type="dxa"/>
            <w:vMerge w:val="restart"/>
            <w:noWrap w:val="0"/>
            <w:vAlign w:val="center"/>
          </w:tcPr>
          <w:p>
            <w:pPr>
              <w:adjustRightInd w:val="0"/>
              <w:snapToGrid w:val="0"/>
              <w:spacing w:line="221"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九、利用处置设施环境管理（《固废法》第十七条、第十八条、第十九条、第七十九条、第八十八条）</w:t>
            </w:r>
          </w:p>
        </w:tc>
        <w:tc>
          <w:tcPr>
            <w:tcW w:w="196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18.</w:t>
            </w:r>
            <w:r>
              <w:rPr>
                <w:rFonts w:hint="default" w:ascii="Times New Roman" w:hAnsi="Times New Roman" w:eastAsia="宋体" w:cs="Times New Roman"/>
                <w:color w:val="000000"/>
                <w:spacing w:val="-4"/>
                <w:kern w:val="0"/>
                <w:sz w:val="21"/>
                <w:szCs w:val="21"/>
              </w:rPr>
              <w:t>依法进行环境影响评价</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完成</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三同时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验收。</w:t>
            </w:r>
          </w:p>
        </w:tc>
        <w:tc>
          <w:tcPr>
            <w:tcW w:w="720"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p>
        </w:tc>
        <w:tc>
          <w:tcPr>
            <w:tcW w:w="71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有环评材料</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并完成</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三同时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验收。</w:t>
            </w:r>
          </w:p>
        </w:tc>
        <w:tc>
          <w:tcPr>
            <w:tcW w:w="5184" w:type="dxa"/>
            <w:gridSpan w:val="2"/>
            <w:noWrap w:val="0"/>
            <w:vAlign w:val="center"/>
          </w:tcPr>
          <w:p>
            <w:pPr>
              <w:widowControl/>
              <w:adjustRightInd w:val="0"/>
              <w:snapToGrid w:val="0"/>
              <w:spacing w:line="221"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环境影响评价文件对全部危险废物利用处置设施进行了评价</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且完成了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三同时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验收或在验收期限内。得</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6"/>
                <w:kern w:val="0"/>
                <w:sz w:val="21"/>
                <w:szCs w:val="21"/>
              </w:rPr>
              <w:t>2.</w:t>
            </w:r>
            <w:r>
              <w:rPr>
                <w:rFonts w:hint="default" w:ascii="Times New Roman" w:hAnsi="Times New Roman" w:eastAsia="宋体" w:cs="Times New Roman"/>
                <w:color w:val="000000"/>
                <w:spacing w:val="-6"/>
                <w:kern w:val="0"/>
                <w:sz w:val="21"/>
                <w:szCs w:val="21"/>
              </w:rPr>
              <w:t>环境影响评价文件对全部危险废物利用处置设施进行了评价</w:t>
            </w:r>
            <w:r>
              <w:rPr>
                <w:rFonts w:hint="eastAsia" w:ascii="Times New Roman" w:hAnsi="Times New Roman" w:eastAsia="宋体" w:cs="Times New Roman"/>
                <w:color w:val="000000"/>
                <w:spacing w:val="-6"/>
                <w:kern w:val="0"/>
                <w:sz w:val="21"/>
                <w:szCs w:val="21"/>
                <w:lang w:eastAsia="zh-CN"/>
              </w:rPr>
              <w:t>，</w:t>
            </w:r>
            <w:r>
              <w:rPr>
                <w:rFonts w:hint="default" w:ascii="Times New Roman" w:hAnsi="Times New Roman" w:eastAsia="宋体" w:cs="Times New Roman"/>
                <w:color w:val="000000"/>
                <w:spacing w:val="-6"/>
                <w:kern w:val="0"/>
                <w:sz w:val="21"/>
                <w:szCs w:val="21"/>
              </w:rPr>
              <w:t>但未完成</w:t>
            </w:r>
            <w:r>
              <w:rPr>
                <w:rFonts w:hint="eastAsia" w:ascii="Times New Roman" w:hAnsi="Times New Roman" w:eastAsia="宋体" w:cs="Times New Roman"/>
                <w:color w:val="000000"/>
                <w:spacing w:val="-6"/>
                <w:kern w:val="0"/>
                <w:sz w:val="21"/>
                <w:szCs w:val="21"/>
                <w:lang w:eastAsia="zh-CN"/>
              </w:rPr>
              <w:t>“</w:t>
            </w:r>
            <w:r>
              <w:rPr>
                <w:rFonts w:hint="default" w:ascii="Times New Roman" w:hAnsi="Times New Roman" w:eastAsia="宋体" w:cs="Times New Roman"/>
                <w:color w:val="000000"/>
                <w:spacing w:val="-6"/>
                <w:kern w:val="0"/>
                <w:sz w:val="21"/>
                <w:szCs w:val="21"/>
              </w:rPr>
              <w:t>三同时</w:t>
            </w:r>
            <w:r>
              <w:rPr>
                <w:rFonts w:hint="eastAsia" w:ascii="Times New Roman" w:hAnsi="Times New Roman" w:eastAsia="宋体" w:cs="Times New Roman"/>
                <w:color w:val="000000"/>
                <w:spacing w:val="-6"/>
                <w:kern w:val="0"/>
                <w:sz w:val="21"/>
                <w:szCs w:val="21"/>
                <w:lang w:eastAsia="zh-CN"/>
              </w:rPr>
              <w:t>”</w:t>
            </w:r>
            <w:r>
              <w:rPr>
                <w:rFonts w:hint="default" w:ascii="Times New Roman" w:hAnsi="Times New Roman" w:eastAsia="宋体" w:cs="Times New Roman"/>
                <w:color w:val="000000"/>
                <w:spacing w:val="-6"/>
                <w:kern w:val="0"/>
                <w:sz w:val="21"/>
                <w:szCs w:val="21"/>
              </w:rPr>
              <w:t>验收。得</w:t>
            </w:r>
            <w:r>
              <w:rPr>
                <w:rFonts w:ascii="Times New Roman" w:hAnsi="Times New Roman" w:eastAsia="宋体" w:cs="Times New Roman"/>
                <w:color w:val="000000"/>
                <w:spacing w:val="-6"/>
                <w:kern w:val="0"/>
                <w:sz w:val="21"/>
                <w:szCs w:val="21"/>
              </w:rPr>
              <w:t>1</w:t>
            </w:r>
            <w:r>
              <w:rPr>
                <w:rFonts w:hint="default" w:ascii="Times New Roman" w:hAnsi="Times New Roman" w:eastAsia="宋体" w:cs="Times New Roman"/>
                <w:color w:val="000000"/>
                <w:spacing w:val="-6"/>
                <w:kern w:val="0"/>
                <w:sz w:val="21"/>
                <w:szCs w:val="21"/>
              </w:rPr>
              <w:t>分。</w:t>
            </w:r>
          </w:p>
          <w:p>
            <w:pPr>
              <w:widowControl/>
              <w:adjustRightInd w:val="0"/>
              <w:snapToGrid w:val="0"/>
              <w:spacing w:line="221"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环境影响评价文件仅对部分危险废物利用处置设施进行了评价</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且完成了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三同时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验收或在验收期限内。得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4.</w:t>
            </w:r>
            <w:r>
              <w:rPr>
                <w:rFonts w:hint="default" w:ascii="Times New Roman" w:hAnsi="Times New Roman" w:eastAsia="宋体" w:cs="Times New Roman"/>
                <w:color w:val="000000"/>
                <w:spacing w:val="-4"/>
                <w:kern w:val="0"/>
                <w:sz w:val="21"/>
                <w:szCs w:val="21"/>
              </w:rPr>
              <w:t>环境影响评价文件未对危险废物利用处置设施进行评价或危险废物实际利用处置方式与环境影响评价文件不一致。得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212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查阅相关资料（查看环评材料及批复、验收报告等）</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1058" w:type="dxa"/>
            <w:vMerge w:val="continue"/>
            <w:noWrap w:val="0"/>
            <w:vAlign w:val="center"/>
          </w:tcPr>
          <w:p>
            <w:pPr>
              <w:adjustRightInd w:val="0"/>
              <w:snapToGrid w:val="0"/>
              <w:spacing w:line="221" w:lineRule="auto"/>
              <w:ind w:firstLine="0" w:firstLineChars="0"/>
              <w:jc w:val="left"/>
              <w:rPr>
                <w:rFonts w:ascii="Times New Roman" w:hAnsi="Times New Roman" w:eastAsia="宋体" w:cs="Times New Roman"/>
                <w:color w:val="000000"/>
                <w:spacing w:val="-4"/>
                <w:kern w:val="0"/>
                <w:sz w:val="21"/>
                <w:szCs w:val="21"/>
              </w:rPr>
            </w:pPr>
          </w:p>
        </w:tc>
        <w:tc>
          <w:tcPr>
            <w:tcW w:w="1962"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19.</w:t>
            </w:r>
            <w:r>
              <w:rPr>
                <w:rFonts w:hint="default" w:ascii="Times New Roman" w:hAnsi="Times New Roman" w:eastAsia="宋体" w:cs="Times New Roman"/>
                <w:color w:val="000000"/>
                <w:spacing w:val="-4"/>
                <w:kern w:val="0"/>
                <w:sz w:val="21"/>
                <w:szCs w:val="21"/>
              </w:rPr>
              <w:t>符合运行环境管理要求。</w:t>
            </w:r>
          </w:p>
        </w:tc>
        <w:tc>
          <w:tcPr>
            <w:tcW w:w="720"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6</w:t>
            </w:r>
          </w:p>
        </w:tc>
        <w:tc>
          <w:tcPr>
            <w:tcW w:w="71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40" w:lineRule="auto"/>
              <w:ind w:firstLine="0" w:firstLineChars="0"/>
              <w:rPr>
                <w:rFonts w:ascii="Times New Roman" w:hAnsi="Times New Roman" w:eastAsia="宋体" w:cs="Times New Roman"/>
                <w:strike/>
                <w:color w:val="000000"/>
                <w:spacing w:val="-4"/>
                <w:kern w:val="0"/>
                <w:sz w:val="21"/>
                <w:szCs w:val="21"/>
              </w:rPr>
            </w:pPr>
            <w:r>
              <w:rPr>
                <w:rFonts w:hint="default" w:ascii="Times New Roman" w:hAnsi="Times New Roman" w:eastAsia="宋体" w:cs="Times New Roman"/>
                <w:color w:val="000000"/>
                <w:spacing w:val="-4"/>
                <w:kern w:val="0"/>
                <w:sz w:val="21"/>
                <w:szCs w:val="21"/>
              </w:rPr>
              <w:t>运行要求符合相关标准要求。</w:t>
            </w:r>
          </w:p>
        </w:tc>
        <w:tc>
          <w:tcPr>
            <w:tcW w:w="5184" w:type="dxa"/>
            <w:gridSpan w:val="2"/>
            <w:noWrap w:val="0"/>
            <w:vAlign w:val="center"/>
          </w:tcPr>
          <w:p>
            <w:pPr>
              <w:widowControl/>
              <w:adjustRightInd w:val="0"/>
              <w:snapToGrid w:val="0"/>
              <w:spacing w:line="216" w:lineRule="auto"/>
              <w:ind w:firstLine="0" w:firstLineChars="0"/>
              <w:rPr>
                <w:rFonts w:ascii="Times New Roman" w:hAnsi="Times New Roman" w:eastAsia="宋体" w:cs="Times New Roman"/>
                <w:strike/>
                <w:color w:val="000000"/>
                <w:spacing w:val="-4"/>
                <w:kern w:val="0"/>
                <w:sz w:val="21"/>
                <w:szCs w:val="21"/>
              </w:rPr>
            </w:pPr>
            <w:r>
              <w:rPr>
                <w:rFonts w:hint="default" w:ascii="Times New Roman" w:hAnsi="Times New Roman" w:eastAsia="宋体" w:cs="Times New Roman"/>
                <w:color w:val="000000"/>
                <w:spacing w:val="-4"/>
                <w:kern w:val="0"/>
                <w:sz w:val="21"/>
                <w:szCs w:val="21"/>
              </w:rPr>
              <w:t>利用处置危险废物过程符合国家和地方相关标准规范（如《危险废物焚烧污染控制标准》《危险废物填埋污染控制标准》《水泥窑协同处置固体废物污染控制标准》等）。得</w:t>
            </w:r>
            <w:r>
              <w:rPr>
                <w:rFonts w:ascii="Times New Roman" w:hAnsi="Times New Roman" w:eastAsia="宋体" w:cs="Times New Roman"/>
                <w:color w:val="000000"/>
                <w:spacing w:val="-4"/>
                <w:kern w:val="0"/>
                <w:sz w:val="21"/>
                <w:szCs w:val="21"/>
              </w:rPr>
              <w:t>6</w:t>
            </w:r>
            <w:r>
              <w:rPr>
                <w:rFonts w:hint="default" w:ascii="Times New Roman" w:hAnsi="Times New Roman" w:eastAsia="宋体" w:cs="Times New Roman"/>
                <w:color w:val="000000"/>
                <w:spacing w:val="-4"/>
                <w:kern w:val="0"/>
                <w:sz w:val="21"/>
                <w:szCs w:val="21"/>
              </w:rPr>
              <w:t>分。根据实际情况</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酌情打分。</w:t>
            </w:r>
          </w:p>
        </w:tc>
        <w:tc>
          <w:tcPr>
            <w:tcW w:w="212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查阅相关资料（相关标准或技术规范、污染物排放监测报告）</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22" w:hRule="atLeast"/>
          <w:jc w:val="center"/>
        </w:trPr>
        <w:tc>
          <w:tcPr>
            <w:tcW w:w="1058" w:type="dxa"/>
            <w:vMerge w:val="continue"/>
            <w:noWrap w:val="0"/>
            <w:vAlign w:val="center"/>
          </w:tcPr>
          <w:p>
            <w:pPr>
              <w:widowControl/>
              <w:adjustRightInd w:val="0"/>
              <w:snapToGrid w:val="0"/>
              <w:spacing w:line="221" w:lineRule="auto"/>
              <w:ind w:firstLine="0" w:firstLineChars="0"/>
              <w:jc w:val="left"/>
              <w:rPr>
                <w:rFonts w:ascii="Times New Roman" w:hAnsi="Times New Roman" w:eastAsia="宋体" w:cs="Times New Roman"/>
                <w:color w:val="000000"/>
                <w:spacing w:val="-4"/>
                <w:kern w:val="0"/>
                <w:sz w:val="21"/>
                <w:szCs w:val="21"/>
              </w:rPr>
            </w:pPr>
          </w:p>
        </w:tc>
        <w:tc>
          <w:tcPr>
            <w:tcW w:w="196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20.</w:t>
            </w:r>
            <w:r>
              <w:rPr>
                <w:rFonts w:hint="default" w:ascii="Times New Roman" w:hAnsi="Times New Roman" w:eastAsia="宋体" w:cs="Times New Roman"/>
                <w:color w:val="000000"/>
                <w:spacing w:val="-4"/>
                <w:kern w:val="0"/>
                <w:sz w:val="21"/>
                <w:szCs w:val="21"/>
              </w:rPr>
              <w:t>按照有关要求定期对利用处置设施污染物排放进行环境监测</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并符合相关标准要求。</w:t>
            </w:r>
          </w:p>
        </w:tc>
        <w:tc>
          <w:tcPr>
            <w:tcW w:w="720"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p>
        </w:tc>
        <w:tc>
          <w:tcPr>
            <w:tcW w:w="71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监测点位、指标及频次符合要求</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有定期环境监测报告</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并且污染物排放符合相关标准要求。</w:t>
            </w:r>
          </w:p>
        </w:tc>
        <w:tc>
          <w:tcPr>
            <w:tcW w:w="5184" w:type="dxa"/>
            <w:gridSpan w:val="2"/>
            <w:noWrap w:val="0"/>
            <w:vAlign w:val="center"/>
          </w:tcPr>
          <w:p>
            <w:pPr>
              <w:widowControl/>
              <w:adjustRightInd w:val="0"/>
              <w:snapToGrid w:val="0"/>
              <w:spacing w:line="221"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按照有关法律和排污单位自行监测技术指南等规定</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建立企业监测制度</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制定监测方案</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且近一年内按照监测方案要求的监测点位、监测指标和监测频次对利用处置设施污染物排放情况进行了监测</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有环境监测报告</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并且污染物排放符合执行标准。得</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分。</w:t>
            </w:r>
          </w:p>
          <w:p>
            <w:pPr>
              <w:widowControl/>
              <w:adjustRightInd w:val="0"/>
              <w:snapToGrid w:val="0"/>
              <w:spacing w:line="221"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近一年内有环境监测报告</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并且污染物排放符合执行标准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但监测点位不符合要求或监测指标、频次不足。得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近一年内未对污染物排放情况进行监测</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或污染物超标排放。得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p>
            <w:pPr>
              <w:widowControl/>
              <w:adjustRightInd w:val="0"/>
              <w:snapToGrid w:val="0"/>
              <w:spacing w:line="221"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注：企业可根据自身条件和能力</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利用自有人员、场所和设备自行监测；也可委托其他有资质的检（监）测机构代其开展自行监测。</w:t>
            </w:r>
          </w:p>
        </w:tc>
        <w:tc>
          <w:tcPr>
            <w:tcW w:w="212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查阅相关资料（对照相关标准查看环境监测报告）、现场核查</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868" w:hRule="atLeast"/>
          <w:jc w:val="center"/>
        </w:trPr>
        <w:tc>
          <w:tcPr>
            <w:tcW w:w="1058" w:type="dxa"/>
            <w:vMerge w:val="restart"/>
            <w:noWrap w:val="0"/>
            <w:vAlign w:val="center"/>
          </w:tcPr>
          <w:p>
            <w:pPr>
              <w:widowControl/>
              <w:adjustRightInd w:val="0"/>
              <w:snapToGrid w:val="0"/>
              <w:spacing w:line="221"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九、利用处置设施环境管理（《固废法》第十七条、第十八条、第十九条、第七十九条、第八十八条）</w:t>
            </w:r>
          </w:p>
        </w:tc>
        <w:tc>
          <w:tcPr>
            <w:tcW w:w="1962" w:type="dxa"/>
            <w:noWrap w:val="0"/>
            <w:vAlign w:val="center"/>
          </w:tcPr>
          <w:p>
            <w:pPr>
              <w:widowControl/>
              <w:adjustRightInd w:val="0"/>
              <w:snapToGrid w:val="0"/>
              <w:spacing w:line="221"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21.</w:t>
            </w:r>
            <w:r>
              <w:rPr>
                <w:rFonts w:hint="default" w:ascii="Times New Roman" w:hAnsi="Times New Roman" w:eastAsia="宋体" w:cs="Times New Roman"/>
                <w:color w:val="000000"/>
                <w:spacing w:val="-4"/>
                <w:kern w:val="0"/>
                <w:sz w:val="21"/>
                <w:szCs w:val="21"/>
              </w:rPr>
              <w:t>重点危险废物集中处置设施、场所退役前</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运营单位应当按照国家有关规定对设施、场所采取污染防治措施。</w:t>
            </w:r>
          </w:p>
        </w:tc>
        <w:tc>
          <w:tcPr>
            <w:tcW w:w="720" w:type="dxa"/>
            <w:noWrap w:val="0"/>
            <w:vAlign w:val="center"/>
          </w:tcPr>
          <w:p>
            <w:pPr>
              <w:widowControl/>
              <w:adjustRightInd w:val="0"/>
              <w:snapToGrid w:val="0"/>
              <w:spacing w:line="221"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p>
        </w:tc>
        <w:tc>
          <w:tcPr>
            <w:tcW w:w="710" w:type="dxa"/>
            <w:noWrap w:val="0"/>
            <w:vAlign w:val="center"/>
          </w:tcPr>
          <w:p>
            <w:pPr>
              <w:widowControl/>
              <w:adjustRightInd w:val="0"/>
              <w:snapToGrid w:val="0"/>
              <w:spacing w:line="221" w:lineRule="auto"/>
              <w:ind w:firstLine="0" w:firstLineChars="0"/>
              <w:jc w:val="center"/>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21"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退役费用预提；对封场的填埋场采取封闭措施</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设置永久性标记。</w:t>
            </w:r>
          </w:p>
        </w:tc>
        <w:tc>
          <w:tcPr>
            <w:tcW w:w="5184" w:type="dxa"/>
            <w:gridSpan w:val="2"/>
            <w:noWrap w:val="0"/>
            <w:vAlign w:val="center"/>
          </w:tcPr>
          <w:p>
            <w:pPr>
              <w:widowControl/>
              <w:adjustRightInd w:val="0"/>
              <w:snapToGrid w:val="0"/>
              <w:spacing w:line="221" w:lineRule="auto"/>
              <w:ind w:firstLine="0" w:firstLineChars="0"/>
              <w:jc w:val="left"/>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A.</w:t>
            </w:r>
            <w:r>
              <w:rPr>
                <w:rFonts w:hint="default" w:ascii="Times New Roman" w:hAnsi="Times New Roman" w:eastAsia="宋体" w:cs="Times New Roman"/>
                <w:color w:val="000000"/>
                <w:spacing w:val="-4"/>
                <w:kern w:val="0"/>
                <w:sz w:val="21"/>
                <w:szCs w:val="21"/>
              </w:rPr>
              <w:t>填埋危险废物的设施退役费用列入投资概算或者生产成本</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且按照国家和地方要求按时缴纳。</w:t>
            </w:r>
          </w:p>
          <w:p>
            <w:pPr>
              <w:widowControl/>
              <w:adjustRightInd w:val="0"/>
              <w:snapToGrid w:val="0"/>
              <w:spacing w:line="221" w:lineRule="auto"/>
              <w:ind w:firstLine="0" w:firstLineChars="0"/>
              <w:jc w:val="left"/>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B.</w:t>
            </w:r>
            <w:r>
              <w:rPr>
                <w:rFonts w:hint="default" w:ascii="Times New Roman" w:hAnsi="Times New Roman" w:eastAsia="宋体" w:cs="Times New Roman"/>
                <w:color w:val="000000"/>
                <w:spacing w:val="-4"/>
                <w:kern w:val="0"/>
                <w:sz w:val="21"/>
                <w:szCs w:val="21"/>
              </w:rPr>
              <w:t>危险废物填埋场服役期届满后</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按照有关规定对填埋过危险废物的土地采取封闭措施</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并在划定的封闭区域设置永久性标记。</w:t>
            </w:r>
          </w:p>
          <w:p>
            <w:pPr>
              <w:widowControl/>
              <w:adjustRightInd w:val="0"/>
              <w:snapToGrid w:val="0"/>
              <w:spacing w:line="221" w:lineRule="auto"/>
              <w:ind w:firstLine="0" w:firstLineChars="0"/>
              <w:jc w:val="left"/>
              <w:rPr>
                <w:rFonts w:ascii="Times New Roman" w:hAnsi="Times New Roman" w:eastAsia="宋体" w:cs="Times New Roman"/>
                <w:color w:val="000000"/>
                <w:spacing w:val="-4"/>
                <w:kern w:val="0"/>
                <w:sz w:val="21"/>
                <w:szCs w:val="21"/>
              </w:rPr>
            </w:pPr>
          </w:p>
          <w:p>
            <w:pPr>
              <w:widowControl/>
              <w:adjustRightInd w:val="0"/>
              <w:snapToGrid w:val="0"/>
              <w:spacing w:line="221" w:lineRule="auto"/>
              <w:ind w:firstLine="0" w:firstLineChars="0"/>
              <w:jc w:val="left"/>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以上每项符合得</w:t>
            </w:r>
            <w:r>
              <w:rPr>
                <w:rFonts w:ascii="Times New Roman" w:hAnsi="Times New Roman" w:eastAsia="宋体" w:cs="Times New Roman"/>
                <w:color w:val="000000"/>
                <w:spacing w:val="-4"/>
                <w:kern w:val="0"/>
                <w:sz w:val="21"/>
                <w:szCs w:val="21"/>
              </w:rPr>
              <w:t>0.5</w:t>
            </w:r>
            <w:r>
              <w:rPr>
                <w:rFonts w:hint="default" w:ascii="Times New Roman" w:hAnsi="Times New Roman" w:eastAsia="宋体" w:cs="Times New Roman"/>
                <w:color w:val="000000"/>
                <w:spacing w:val="-4"/>
                <w:kern w:val="0"/>
                <w:sz w:val="21"/>
                <w:szCs w:val="21"/>
              </w:rPr>
              <w:t>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共</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p>
        </w:tc>
        <w:tc>
          <w:tcPr>
            <w:tcW w:w="212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查阅相关资料、现场核查</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01" w:hRule="atLeast"/>
          <w:jc w:val="center"/>
        </w:trPr>
        <w:tc>
          <w:tcPr>
            <w:tcW w:w="1058" w:type="dxa"/>
            <w:vMerge w:val="continue"/>
            <w:noWrap w:val="0"/>
            <w:vAlign w:val="center"/>
          </w:tcPr>
          <w:p>
            <w:pPr>
              <w:widowControl/>
              <w:adjustRightInd w:val="0"/>
              <w:snapToGrid w:val="0"/>
              <w:spacing w:line="221" w:lineRule="auto"/>
              <w:ind w:firstLine="0" w:firstLineChars="0"/>
              <w:rPr>
                <w:rFonts w:ascii="Times New Roman" w:hAnsi="Times New Roman" w:eastAsia="宋体" w:cs="Times New Roman"/>
                <w:color w:val="000000"/>
                <w:spacing w:val="-4"/>
                <w:kern w:val="0"/>
                <w:sz w:val="21"/>
                <w:szCs w:val="21"/>
              </w:rPr>
            </w:pPr>
          </w:p>
        </w:tc>
        <w:tc>
          <w:tcPr>
            <w:tcW w:w="1962" w:type="dxa"/>
            <w:noWrap w:val="0"/>
            <w:vAlign w:val="center"/>
          </w:tcPr>
          <w:p>
            <w:pPr>
              <w:widowControl/>
              <w:adjustRightInd w:val="0"/>
              <w:snapToGrid w:val="0"/>
              <w:spacing w:line="221"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22.</w:t>
            </w:r>
            <w:r>
              <w:rPr>
                <w:rFonts w:hint="default" w:ascii="Times New Roman" w:hAnsi="Times New Roman" w:eastAsia="宋体" w:cs="Times New Roman"/>
                <w:color w:val="000000"/>
                <w:spacing w:val="-4"/>
                <w:kern w:val="0"/>
                <w:sz w:val="21"/>
                <w:szCs w:val="21"/>
              </w:rPr>
              <w:t>危险废物资源化利用过程符合环境保护要求。</w:t>
            </w:r>
          </w:p>
        </w:tc>
        <w:tc>
          <w:tcPr>
            <w:tcW w:w="720" w:type="dxa"/>
            <w:noWrap w:val="0"/>
            <w:vAlign w:val="center"/>
          </w:tcPr>
          <w:p>
            <w:pPr>
              <w:widowControl/>
              <w:adjustRightInd w:val="0"/>
              <w:snapToGrid w:val="0"/>
              <w:spacing w:line="221"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6</w:t>
            </w:r>
          </w:p>
        </w:tc>
        <w:tc>
          <w:tcPr>
            <w:tcW w:w="710" w:type="dxa"/>
            <w:noWrap w:val="0"/>
            <w:vAlign w:val="center"/>
          </w:tcPr>
          <w:p>
            <w:pPr>
              <w:widowControl/>
              <w:adjustRightInd w:val="0"/>
              <w:snapToGrid w:val="0"/>
              <w:spacing w:line="221" w:lineRule="auto"/>
              <w:ind w:firstLine="0" w:firstLineChars="0"/>
              <w:rPr>
                <w:rFonts w:ascii="Times New Roman" w:hAnsi="Times New Roman" w:eastAsia="宋体" w:cs="Times New Roman"/>
                <w:strike/>
                <w:color w:val="000000"/>
                <w:spacing w:val="-4"/>
                <w:kern w:val="0"/>
                <w:sz w:val="21"/>
                <w:szCs w:val="21"/>
              </w:rPr>
            </w:pPr>
          </w:p>
        </w:tc>
        <w:tc>
          <w:tcPr>
            <w:tcW w:w="1850" w:type="dxa"/>
            <w:noWrap w:val="0"/>
            <w:vAlign w:val="center"/>
          </w:tcPr>
          <w:p>
            <w:pPr>
              <w:widowControl/>
              <w:adjustRightInd w:val="0"/>
              <w:snapToGrid w:val="0"/>
              <w:spacing w:line="221"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符合《固体废物鉴别标准通则》相关要求。</w:t>
            </w:r>
          </w:p>
        </w:tc>
        <w:tc>
          <w:tcPr>
            <w:tcW w:w="5184" w:type="dxa"/>
            <w:gridSpan w:val="2"/>
            <w:noWrap w:val="0"/>
            <w:vAlign w:val="center"/>
          </w:tcPr>
          <w:p>
            <w:pPr>
              <w:widowControl/>
              <w:adjustRightInd w:val="0"/>
              <w:snapToGrid w:val="0"/>
              <w:spacing w:line="221"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满足以下条件之一的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得</w:t>
            </w:r>
            <w:r>
              <w:rPr>
                <w:rFonts w:ascii="Times New Roman" w:hAnsi="Times New Roman" w:eastAsia="宋体" w:cs="Times New Roman"/>
                <w:color w:val="000000"/>
                <w:spacing w:val="-4"/>
                <w:kern w:val="0"/>
                <w:sz w:val="21"/>
                <w:szCs w:val="21"/>
              </w:rPr>
              <w:t>6</w:t>
            </w:r>
            <w:r>
              <w:rPr>
                <w:rFonts w:hint="default" w:ascii="Times New Roman" w:hAnsi="Times New Roman" w:eastAsia="宋体" w:cs="Times New Roman"/>
                <w:color w:val="000000"/>
                <w:spacing w:val="-4"/>
                <w:kern w:val="0"/>
                <w:sz w:val="21"/>
                <w:szCs w:val="21"/>
              </w:rPr>
              <w:t>分：</w:t>
            </w:r>
          </w:p>
          <w:p>
            <w:pPr>
              <w:widowControl/>
              <w:adjustRightInd w:val="0"/>
              <w:snapToGrid w:val="0"/>
              <w:spacing w:line="221"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A.</w:t>
            </w:r>
            <w:r>
              <w:rPr>
                <w:rFonts w:hint="default" w:ascii="Times New Roman" w:hAnsi="Times New Roman" w:eastAsia="宋体" w:cs="Times New Roman"/>
                <w:color w:val="000000"/>
                <w:spacing w:val="-4"/>
                <w:kern w:val="0"/>
                <w:sz w:val="21"/>
                <w:szCs w:val="21"/>
              </w:rPr>
              <w:t>危险废物资源化产物生产过程中排放到环境中的有害物质限值和该产物中有害物质的含量限值</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符合国家相关污染物排放（控制）标准或技术规范要求</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并提供证明材料。</w:t>
            </w:r>
          </w:p>
          <w:p>
            <w:pPr>
              <w:widowControl/>
              <w:adjustRightInd w:val="0"/>
              <w:snapToGrid w:val="0"/>
              <w:spacing w:line="221"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B.</w:t>
            </w:r>
            <w:r>
              <w:rPr>
                <w:rFonts w:hint="default" w:ascii="Times New Roman" w:hAnsi="Times New Roman" w:eastAsia="宋体" w:cs="Times New Roman"/>
                <w:color w:val="000000"/>
                <w:spacing w:val="-4"/>
                <w:kern w:val="0"/>
                <w:sz w:val="21"/>
                <w:szCs w:val="21"/>
              </w:rPr>
              <w:t>当没有国家污染控制标准或技术规范时</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危险废物资源化产物中所含有害成分含量不高于利用被替代原料生产的产品中的有害成分含量</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并且在该产物生产过程中</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排放到环境中的有害物质浓度不高于利用所替代原料生产产品过程中排放到环境中的有害物质浓度</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并提供证明材料。</w:t>
            </w:r>
          </w:p>
        </w:tc>
        <w:tc>
          <w:tcPr>
            <w:tcW w:w="2122"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查阅相关资料（相关标准或技术规范、污染物排放监测报告、有害物质含量检测报告）</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75" w:hRule="atLeast"/>
          <w:jc w:val="center"/>
        </w:trPr>
        <w:tc>
          <w:tcPr>
            <w:tcW w:w="1058"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十、运行环境管理要求（《固废法》第十九条）</w:t>
            </w:r>
          </w:p>
        </w:tc>
        <w:tc>
          <w:tcPr>
            <w:tcW w:w="1962"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23.</w:t>
            </w:r>
            <w:r>
              <w:rPr>
                <w:rFonts w:hint="default" w:ascii="Times New Roman" w:hAnsi="Times New Roman" w:eastAsia="宋体" w:cs="Times New Roman"/>
                <w:color w:val="000000"/>
                <w:spacing w:val="-4"/>
                <w:kern w:val="0"/>
                <w:sz w:val="21"/>
                <w:szCs w:val="21"/>
              </w:rPr>
              <w:t>危险废物（医疗废物除外）入厂时进行特性分析。在利用处置前对危险废物相关参数进行分析。</w:t>
            </w:r>
          </w:p>
        </w:tc>
        <w:tc>
          <w:tcPr>
            <w:tcW w:w="720"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4</w:t>
            </w:r>
          </w:p>
        </w:tc>
        <w:tc>
          <w:tcPr>
            <w:tcW w:w="710"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在入场时对所接收的性质不明确的危险废物进行危险特性分析。在利用处置前对危险废物相关参数进行分析。</w:t>
            </w:r>
          </w:p>
        </w:tc>
        <w:tc>
          <w:tcPr>
            <w:tcW w:w="5184" w:type="dxa"/>
            <w:gridSpan w:val="2"/>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A.</w:t>
            </w:r>
            <w:r>
              <w:rPr>
                <w:rFonts w:hint="default" w:ascii="Times New Roman" w:hAnsi="Times New Roman" w:eastAsia="宋体" w:cs="Times New Roman"/>
                <w:color w:val="000000"/>
                <w:spacing w:val="-4"/>
                <w:kern w:val="0"/>
                <w:sz w:val="21"/>
                <w:szCs w:val="21"/>
              </w:rPr>
              <w:t>在入场时对所接收的性质不明确的危险废物进行危险特性分析</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提供分析报告。</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B.</w:t>
            </w:r>
            <w:r>
              <w:rPr>
                <w:rFonts w:hint="default" w:ascii="Times New Roman" w:hAnsi="Times New Roman" w:eastAsia="宋体" w:cs="Times New Roman"/>
                <w:color w:val="000000"/>
                <w:spacing w:val="-4"/>
                <w:kern w:val="0"/>
                <w:sz w:val="21"/>
                <w:szCs w:val="21"/>
              </w:rPr>
              <w:t>在利用处置前对危险废物的相关参数进行分析并记录结果（如在焚烧危险废物前</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对危险废物的热值、含氯量、含硫量、重金属含量等相关参数进行分析并记录结果）。</w:t>
            </w:r>
          </w:p>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以上每项符合得</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共</w:t>
            </w:r>
            <w:r>
              <w:rPr>
                <w:rFonts w:ascii="Times New Roman" w:hAnsi="Times New Roman" w:eastAsia="宋体" w:cs="Times New Roman"/>
                <w:color w:val="000000"/>
                <w:spacing w:val="-4"/>
                <w:kern w:val="0"/>
                <w:sz w:val="21"/>
                <w:szCs w:val="21"/>
              </w:rPr>
              <w:t>4</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hint="default" w:ascii="Times New Roman" w:hAnsi="Times New Roman" w:eastAsia="宋体" w:cs="Times New Roman"/>
                <w:color w:val="000000"/>
                <w:spacing w:val="-4"/>
                <w:kern w:val="0"/>
                <w:sz w:val="21"/>
                <w:szCs w:val="21"/>
              </w:rPr>
              <w:t>注：对于接受种类单一、来源单一、未有性质不明确危险废物的经营单位</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该项可不做评估。</w:t>
            </w:r>
          </w:p>
        </w:tc>
        <w:tc>
          <w:tcPr>
            <w:tcW w:w="212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查阅相关资料（查看分析报告等）</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58" w:type="dxa"/>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十、运行环境管理要求（《固废法》第十九条）</w:t>
            </w:r>
          </w:p>
        </w:tc>
        <w:tc>
          <w:tcPr>
            <w:tcW w:w="1962" w:type="dxa"/>
            <w:noWrap w:val="0"/>
            <w:vAlign w:val="center"/>
          </w:tcPr>
          <w:p>
            <w:pPr>
              <w:widowControl/>
              <w:adjustRightInd w:val="0"/>
              <w:snapToGrid w:val="0"/>
              <w:spacing w:line="228" w:lineRule="auto"/>
              <w:ind w:firstLine="0" w:firstLineChars="0"/>
              <w:jc w:val="left"/>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24.</w:t>
            </w:r>
            <w:r>
              <w:rPr>
                <w:rFonts w:hint="default" w:ascii="Times New Roman" w:hAnsi="Times New Roman" w:eastAsia="宋体" w:cs="Times New Roman"/>
                <w:color w:val="000000"/>
                <w:spacing w:val="-4"/>
                <w:kern w:val="0"/>
                <w:sz w:val="21"/>
                <w:szCs w:val="21"/>
              </w:rPr>
              <w:t>定期对利用处置设施、监测设备以及运行设备等进行检查</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发现破损</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应及时采取措施清理更换</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应对环境监测和分析仪器进行校正和维护。</w:t>
            </w:r>
          </w:p>
        </w:tc>
        <w:tc>
          <w:tcPr>
            <w:tcW w:w="720" w:type="dxa"/>
            <w:noWrap w:val="0"/>
            <w:vAlign w:val="center"/>
          </w:tcPr>
          <w:p>
            <w:pPr>
              <w:widowControl/>
              <w:adjustRightInd w:val="0"/>
              <w:snapToGrid w:val="0"/>
              <w:spacing w:line="228"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p>
        </w:tc>
        <w:tc>
          <w:tcPr>
            <w:tcW w:w="710" w:type="dxa"/>
            <w:noWrap w:val="0"/>
            <w:vAlign w:val="center"/>
          </w:tcPr>
          <w:p>
            <w:pPr>
              <w:widowControl/>
              <w:adjustRightInd w:val="0"/>
              <w:snapToGrid w:val="0"/>
              <w:spacing w:line="228" w:lineRule="auto"/>
              <w:ind w:firstLine="0" w:firstLineChars="0"/>
              <w:jc w:val="left"/>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28" w:lineRule="auto"/>
              <w:ind w:firstLine="0" w:firstLineChars="0"/>
              <w:jc w:val="left"/>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定期对相关设施进行检查和维护</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且运行正常。</w:t>
            </w:r>
          </w:p>
        </w:tc>
        <w:tc>
          <w:tcPr>
            <w:tcW w:w="5184" w:type="dxa"/>
            <w:gridSpan w:val="2"/>
            <w:noWrap w:val="0"/>
            <w:vAlign w:val="center"/>
          </w:tcPr>
          <w:p>
            <w:pPr>
              <w:widowControl/>
              <w:adjustRightInd w:val="0"/>
              <w:snapToGrid w:val="0"/>
              <w:spacing w:line="228" w:lineRule="auto"/>
              <w:ind w:firstLine="0" w:firstLineChars="0"/>
              <w:jc w:val="left"/>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A.</w:t>
            </w:r>
            <w:r>
              <w:rPr>
                <w:rFonts w:hint="default" w:ascii="Times New Roman" w:hAnsi="Times New Roman" w:eastAsia="宋体" w:cs="Times New Roman"/>
                <w:color w:val="000000"/>
                <w:spacing w:val="-4"/>
                <w:kern w:val="0"/>
                <w:sz w:val="21"/>
                <w:szCs w:val="21"/>
              </w:rPr>
              <w:t>定期对利用处置设施、监测设备和运行设备进行检查和维护</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且运行正常。</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B.</w:t>
            </w:r>
            <w:r>
              <w:rPr>
                <w:rFonts w:hint="default" w:ascii="Times New Roman" w:hAnsi="Times New Roman" w:eastAsia="宋体" w:cs="Times New Roman"/>
                <w:color w:val="000000"/>
                <w:spacing w:val="-4"/>
                <w:kern w:val="0"/>
                <w:sz w:val="21"/>
                <w:szCs w:val="21"/>
              </w:rPr>
              <w:t>定期对环境监测和分析仪器进行校正和维护</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且检测精准。</w:t>
            </w:r>
          </w:p>
          <w:p>
            <w:pPr>
              <w:widowControl/>
              <w:adjustRightInd w:val="0"/>
              <w:snapToGrid w:val="0"/>
              <w:spacing w:line="228" w:lineRule="auto"/>
              <w:ind w:firstLine="0" w:firstLineChars="0"/>
              <w:jc w:val="left"/>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br w:type="textWrapping"/>
            </w:r>
            <w:r>
              <w:rPr>
                <w:rFonts w:hint="default" w:ascii="Times New Roman" w:hAnsi="Times New Roman" w:eastAsia="宋体" w:cs="Times New Roman"/>
                <w:color w:val="000000"/>
                <w:spacing w:val="-4"/>
                <w:kern w:val="0"/>
                <w:sz w:val="21"/>
                <w:szCs w:val="21"/>
              </w:rPr>
              <w:t>以上每项符合得</w:t>
            </w:r>
            <w:r>
              <w:rPr>
                <w:rFonts w:ascii="Times New Roman" w:hAnsi="Times New Roman" w:eastAsia="宋体" w:cs="Times New Roman"/>
                <w:color w:val="000000"/>
                <w:spacing w:val="-4"/>
                <w:kern w:val="0"/>
                <w:sz w:val="21"/>
                <w:szCs w:val="21"/>
              </w:rPr>
              <w:t>0.5</w:t>
            </w:r>
            <w:r>
              <w:rPr>
                <w:rFonts w:hint="default" w:ascii="Times New Roman" w:hAnsi="Times New Roman" w:eastAsia="宋体" w:cs="Times New Roman"/>
                <w:color w:val="000000"/>
                <w:spacing w:val="-4"/>
                <w:kern w:val="0"/>
                <w:sz w:val="21"/>
                <w:szCs w:val="21"/>
              </w:rPr>
              <w:t>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共</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p>
        </w:tc>
        <w:tc>
          <w:tcPr>
            <w:tcW w:w="2122" w:type="dxa"/>
            <w:noWrap w:val="0"/>
            <w:vAlign w:val="center"/>
          </w:tcPr>
          <w:p>
            <w:pPr>
              <w:widowControl/>
              <w:adjustRightInd w:val="0"/>
              <w:snapToGrid w:val="0"/>
              <w:spacing w:line="228" w:lineRule="auto"/>
              <w:ind w:firstLine="0" w:firstLineChars="0"/>
              <w:jc w:val="left"/>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查阅相关资料、现场核查（查看检查和维护记录）</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58" w:type="dxa"/>
            <w:vMerge w:val="restart"/>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十一、记录和报告经营情况制度（《固废法》第八十条）</w:t>
            </w:r>
          </w:p>
        </w:tc>
        <w:tc>
          <w:tcPr>
            <w:tcW w:w="1962" w:type="dxa"/>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25.</w:t>
            </w:r>
            <w:r>
              <w:rPr>
                <w:rFonts w:hint="default" w:ascii="Times New Roman" w:hAnsi="Times New Roman" w:eastAsia="宋体" w:cs="Times New Roman"/>
                <w:color w:val="000000"/>
                <w:spacing w:val="-4"/>
                <w:kern w:val="0"/>
                <w:sz w:val="21"/>
                <w:szCs w:val="21"/>
              </w:rPr>
              <w:t>按照相关标准规范要求</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建立危险废物管理台账</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如实记载收集、贮存、利用、处置危险废物的类别、来源去向和有无事故等事项。</w:t>
            </w:r>
          </w:p>
        </w:tc>
        <w:tc>
          <w:tcPr>
            <w:tcW w:w="720" w:type="dxa"/>
            <w:noWrap w:val="0"/>
            <w:vAlign w:val="center"/>
          </w:tcPr>
          <w:p>
            <w:pPr>
              <w:widowControl/>
              <w:adjustRightInd w:val="0"/>
              <w:snapToGrid w:val="0"/>
              <w:spacing w:line="228"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5</w:t>
            </w:r>
          </w:p>
        </w:tc>
        <w:tc>
          <w:tcPr>
            <w:tcW w:w="710" w:type="dxa"/>
            <w:noWrap w:val="0"/>
            <w:vAlign w:val="center"/>
          </w:tcPr>
          <w:p>
            <w:pPr>
              <w:widowControl/>
              <w:adjustRightInd w:val="0"/>
              <w:snapToGrid w:val="0"/>
              <w:spacing w:line="228" w:lineRule="auto"/>
              <w:ind w:firstLine="0" w:firstLineChars="0"/>
              <w:jc w:val="center"/>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建立了经营管理台账</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能如实记载危险废物经营情况。</w:t>
            </w:r>
          </w:p>
        </w:tc>
        <w:tc>
          <w:tcPr>
            <w:tcW w:w="5184" w:type="dxa"/>
            <w:gridSpan w:val="2"/>
            <w:noWrap w:val="0"/>
            <w:vAlign w:val="center"/>
          </w:tcPr>
          <w:p>
            <w:pPr>
              <w:widowControl/>
              <w:adjustRightInd w:val="0"/>
              <w:snapToGrid w:val="0"/>
              <w:spacing w:line="228" w:lineRule="auto"/>
              <w:ind w:firstLine="0" w:firstLineChars="0"/>
              <w:jc w:val="left"/>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建立了经营管理台账</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涵盖了危险废物详细分析记录、接收记录、利用处置记录、新产生危险废物记录（不新产生危险废物的单位除外）、内部检查记录、设施运行及环境监测记录、人员培训记录、事故记录和报告、应急预案演练记录等</w:t>
            </w:r>
            <w:r>
              <w:rPr>
                <w:rFonts w:ascii="Times New Roman" w:hAnsi="Times New Roman" w:eastAsia="宋体" w:cs="Times New Roman"/>
                <w:color w:val="000000"/>
                <w:spacing w:val="-4"/>
                <w:kern w:val="0"/>
                <w:sz w:val="21"/>
                <w:szCs w:val="21"/>
              </w:rPr>
              <w:t>9</w:t>
            </w:r>
            <w:r>
              <w:rPr>
                <w:rFonts w:hint="default" w:ascii="Times New Roman" w:hAnsi="Times New Roman" w:eastAsia="宋体" w:cs="Times New Roman"/>
                <w:color w:val="000000"/>
                <w:spacing w:val="-4"/>
                <w:kern w:val="0"/>
                <w:sz w:val="21"/>
                <w:szCs w:val="21"/>
              </w:rPr>
              <w:t>项内容</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且如实记载危险废物经营情况</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数据准确。得</w:t>
            </w:r>
            <w:r>
              <w:rPr>
                <w:rFonts w:ascii="Times New Roman" w:hAnsi="Times New Roman" w:eastAsia="宋体" w:cs="Times New Roman"/>
                <w:color w:val="000000"/>
                <w:spacing w:val="-4"/>
                <w:kern w:val="0"/>
                <w:sz w:val="21"/>
                <w:szCs w:val="21"/>
              </w:rPr>
              <w:t>5</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记录簿涵盖的内容每缺失</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项或数据每错误</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扣</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分。最多扣</w:t>
            </w:r>
            <w:r>
              <w:rPr>
                <w:rFonts w:ascii="Times New Roman" w:hAnsi="Times New Roman" w:eastAsia="宋体" w:cs="Times New Roman"/>
                <w:color w:val="000000"/>
                <w:spacing w:val="-4"/>
                <w:kern w:val="0"/>
                <w:sz w:val="21"/>
                <w:szCs w:val="21"/>
              </w:rPr>
              <w:t>5</w:t>
            </w:r>
            <w:r>
              <w:rPr>
                <w:rFonts w:hint="default" w:ascii="Times New Roman" w:hAnsi="Times New Roman" w:eastAsia="宋体" w:cs="Times New Roman"/>
                <w:color w:val="000000"/>
                <w:spacing w:val="-4"/>
                <w:kern w:val="0"/>
                <w:sz w:val="21"/>
                <w:szCs w:val="21"/>
              </w:rPr>
              <w:t>分。</w:t>
            </w:r>
          </w:p>
          <w:p>
            <w:pPr>
              <w:widowControl/>
              <w:adjustRightInd w:val="0"/>
              <w:snapToGrid w:val="0"/>
              <w:spacing w:line="228" w:lineRule="auto"/>
              <w:ind w:firstLine="0" w:firstLineChars="0"/>
              <w:jc w:val="left"/>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未建立经营管理台账。得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2122" w:type="dxa"/>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查阅相关资料（查看危险废物经营管理台账；依据转移联单抽查若干批危险废物的经营记录情况）</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78" w:hRule="atLeast"/>
          <w:jc w:val="center"/>
        </w:trPr>
        <w:tc>
          <w:tcPr>
            <w:tcW w:w="1058" w:type="dxa"/>
            <w:vMerge w:val="continue"/>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p>
        </w:tc>
        <w:tc>
          <w:tcPr>
            <w:tcW w:w="1962" w:type="dxa"/>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26.</w:t>
            </w:r>
            <w:r>
              <w:rPr>
                <w:rFonts w:hint="default" w:ascii="Times New Roman" w:hAnsi="Times New Roman" w:eastAsia="宋体" w:cs="Times New Roman"/>
                <w:color w:val="000000"/>
                <w:spacing w:val="-4"/>
                <w:kern w:val="0"/>
                <w:sz w:val="21"/>
                <w:szCs w:val="21"/>
              </w:rPr>
              <w:t>通过国家危险废物信息管理系统如实申报危险废物收集、贮存、利用、处置活动情况。</w:t>
            </w:r>
          </w:p>
        </w:tc>
        <w:tc>
          <w:tcPr>
            <w:tcW w:w="720" w:type="dxa"/>
            <w:noWrap w:val="0"/>
            <w:vAlign w:val="center"/>
          </w:tcPr>
          <w:p>
            <w:pPr>
              <w:widowControl/>
              <w:adjustRightInd w:val="0"/>
              <w:snapToGrid w:val="0"/>
              <w:spacing w:line="228"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p>
        </w:tc>
        <w:tc>
          <w:tcPr>
            <w:tcW w:w="710" w:type="dxa"/>
            <w:noWrap w:val="0"/>
            <w:vAlign w:val="center"/>
          </w:tcPr>
          <w:p>
            <w:pPr>
              <w:widowControl/>
              <w:adjustRightInd w:val="0"/>
              <w:snapToGrid w:val="0"/>
              <w:spacing w:line="228" w:lineRule="auto"/>
              <w:ind w:firstLine="0" w:firstLineChars="0"/>
              <w:jc w:val="center"/>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按时通过国家危险废物信息管理系统如实申报危险废物经营情况。</w:t>
            </w:r>
          </w:p>
        </w:tc>
        <w:tc>
          <w:tcPr>
            <w:tcW w:w="5184" w:type="dxa"/>
            <w:gridSpan w:val="2"/>
            <w:noWrap w:val="0"/>
            <w:vAlign w:val="center"/>
          </w:tcPr>
          <w:p>
            <w:pPr>
              <w:widowControl/>
              <w:adjustRightInd w:val="0"/>
              <w:snapToGrid w:val="0"/>
              <w:spacing w:line="228" w:lineRule="auto"/>
              <w:ind w:firstLine="0" w:firstLineChars="0"/>
              <w:jc w:val="left"/>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按要求通过国家危险废物信息管理系统如实申报危险废物收集、贮存、利用、处置活动情况</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数据真实可靠</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可提供相应的证明材料。得</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未按时通过国家危险废物信息管理系统如实申报危险废物收集、贮存、利用、处置活动情况</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或存在虚报、漏报、瞒报等情况。得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2122" w:type="dxa"/>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查阅相关资料（查看近</w:t>
            </w: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年危险废物经营情况报告）</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41" w:hRule="atLeast"/>
          <w:jc w:val="center"/>
        </w:trPr>
        <w:tc>
          <w:tcPr>
            <w:tcW w:w="1058" w:type="dxa"/>
            <w:vMerge w:val="continue"/>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p>
        </w:tc>
        <w:tc>
          <w:tcPr>
            <w:tcW w:w="1962" w:type="dxa"/>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27.</w:t>
            </w:r>
            <w:r>
              <w:rPr>
                <w:rFonts w:hint="default" w:ascii="Times New Roman" w:hAnsi="Times New Roman" w:eastAsia="宋体" w:cs="Times New Roman"/>
                <w:color w:val="000000"/>
                <w:spacing w:val="-4"/>
                <w:kern w:val="0"/>
                <w:sz w:val="21"/>
                <w:szCs w:val="21"/>
              </w:rPr>
              <w:t>将危险废物管理台账保存</w:t>
            </w:r>
            <w:r>
              <w:rPr>
                <w:rFonts w:ascii="Times New Roman" w:hAnsi="Times New Roman" w:eastAsia="宋体" w:cs="Times New Roman"/>
                <w:color w:val="000000"/>
                <w:spacing w:val="-4"/>
                <w:kern w:val="0"/>
                <w:sz w:val="21"/>
                <w:szCs w:val="21"/>
              </w:rPr>
              <w:t>10</w:t>
            </w:r>
            <w:r>
              <w:rPr>
                <w:rFonts w:hint="default" w:ascii="Times New Roman" w:hAnsi="Times New Roman" w:eastAsia="宋体" w:cs="Times New Roman"/>
                <w:color w:val="000000"/>
                <w:spacing w:val="-4"/>
                <w:kern w:val="0"/>
                <w:sz w:val="21"/>
                <w:szCs w:val="21"/>
              </w:rPr>
              <w:t>年以上</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以填埋方式处置危险废物的管理台账应当永久保存。</w:t>
            </w:r>
          </w:p>
        </w:tc>
        <w:tc>
          <w:tcPr>
            <w:tcW w:w="720" w:type="dxa"/>
            <w:noWrap w:val="0"/>
            <w:vAlign w:val="center"/>
          </w:tcPr>
          <w:p>
            <w:pPr>
              <w:widowControl/>
              <w:adjustRightInd w:val="0"/>
              <w:snapToGrid w:val="0"/>
              <w:spacing w:line="228"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p>
        </w:tc>
        <w:tc>
          <w:tcPr>
            <w:tcW w:w="710" w:type="dxa"/>
            <w:noWrap w:val="0"/>
            <w:vAlign w:val="center"/>
          </w:tcPr>
          <w:p>
            <w:pPr>
              <w:widowControl/>
              <w:adjustRightInd w:val="0"/>
              <w:snapToGrid w:val="0"/>
              <w:spacing w:line="228" w:lineRule="auto"/>
              <w:ind w:firstLine="0" w:firstLineChars="0"/>
              <w:jc w:val="center"/>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符合保存时限要求。</w:t>
            </w:r>
          </w:p>
        </w:tc>
        <w:tc>
          <w:tcPr>
            <w:tcW w:w="5184" w:type="dxa"/>
            <w:gridSpan w:val="2"/>
            <w:noWrap w:val="0"/>
            <w:vAlign w:val="center"/>
          </w:tcPr>
          <w:p>
            <w:pPr>
              <w:widowControl/>
              <w:adjustRightInd w:val="0"/>
              <w:snapToGrid w:val="0"/>
              <w:spacing w:line="228" w:lineRule="auto"/>
              <w:ind w:firstLine="0" w:firstLineChars="0"/>
              <w:jc w:val="left"/>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危险废物管理台账保存</w:t>
            </w:r>
            <w:r>
              <w:rPr>
                <w:rFonts w:ascii="Times New Roman" w:hAnsi="Times New Roman" w:eastAsia="宋体" w:cs="Times New Roman"/>
                <w:color w:val="000000"/>
                <w:spacing w:val="-4"/>
                <w:kern w:val="0"/>
                <w:sz w:val="21"/>
                <w:szCs w:val="21"/>
              </w:rPr>
              <w:t>10</w:t>
            </w:r>
            <w:r>
              <w:rPr>
                <w:rFonts w:hint="default" w:ascii="Times New Roman" w:hAnsi="Times New Roman" w:eastAsia="宋体" w:cs="Times New Roman"/>
                <w:color w:val="000000"/>
                <w:spacing w:val="-4"/>
                <w:kern w:val="0"/>
                <w:sz w:val="21"/>
                <w:szCs w:val="21"/>
              </w:rPr>
              <w:t>年以上（以填埋方式处置危险废物的永久保存）。得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r>
              <w:rPr>
                <w:rFonts w:ascii="Times New Roman" w:hAnsi="Times New Roman" w:eastAsia="宋体" w:cs="Times New Roman"/>
                <w:color w:val="000000"/>
                <w:spacing w:val="-4"/>
                <w:kern w:val="0"/>
                <w:sz w:val="21"/>
                <w:szCs w:val="21"/>
              </w:rPr>
              <w:br w:type="textWrapping"/>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危险废物管理台账未保存</w:t>
            </w:r>
            <w:r>
              <w:rPr>
                <w:rFonts w:ascii="Times New Roman" w:hAnsi="Times New Roman" w:eastAsia="宋体" w:cs="Times New Roman"/>
                <w:color w:val="000000"/>
                <w:spacing w:val="-4"/>
                <w:kern w:val="0"/>
                <w:sz w:val="21"/>
                <w:szCs w:val="21"/>
              </w:rPr>
              <w:t>10</w:t>
            </w:r>
            <w:r>
              <w:rPr>
                <w:rFonts w:hint="default" w:ascii="Times New Roman" w:hAnsi="Times New Roman" w:eastAsia="宋体" w:cs="Times New Roman"/>
                <w:color w:val="000000"/>
                <w:spacing w:val="-4"/>
                <w:kern w:val="0"/>
                <w:sz w:val="21"/>
                <w:szCs w:val="21"/>
              </w:rPr>
              <w:t>年以上（以填埋方式处置危险废物的未永久保存）。得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2122" w:type="dxa"/>
            <w:noWrap w:val="0"/>
            <w:vAlign w:val="center"/>
          </w:tcPr>
          <w:p>
            <w:pPr>
              <w:widowControl/>
              <w:adjustRightInd w:val="0"/>
              <w:snapToGrid w:val="0"/>
              <w:spacing w:line="228"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查阅相关资料（查看每年度的危险废物管理台账）</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70" w:hRule="atLeast"/>
          <w:jc w:val="center"/>
        </w:trPr>
        <w:tc>
          <w:tcPr>
            <w:tcW w:w="1058"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十二、信息发布（《固废法》第二十九条）</w:t>
            </w:r>
          </w:p>
        </w:tc>
        <w:tc>
          <w:tcPr>
            <w:tcW w:w="196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28.</w:t>
            </w:r>
            <w:r>
              <w:rPr>
                <w:rFonts w:hint="default" w:ascii="Times New Roman" w:hAnsi="Times New Roman" w:eastAsia="宋体" w:cs="Times New Roman"/>
                <w:color w:val="000000"/>
                <w:spacing w:val="-4"/>
                <w:kern w:val="0"/>
                <w:sz w:val="21"/>
                <w:szCs w:val="21"/>
              </w:rPr>
              <w:t>收集、利用、处置固体废物的单位</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应当依法及时公开固体废物污染环境防治信息</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主动接受社会监督。</w:t>
            </w:r>
          </w:p>
        </w:tc>
        <w:tc>
          <w:tcPr>
            <w:tcW w:w="720"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p>
        </w:tc>
        <w:tc>
          <w:tcPr>
            <w:tcW w:w="71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依法及时公开危险废物污染环境防治信息。</w:t>
            </w:r>
          </w:p>
        </w:tc>
        <w:tc>
          <w:tcPr>
            <w:tcW w:w="5184" w:type="dxa"/>
            <w:gridSpan w:val="2"/>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通过企业网站等途径依法公开当年危险废物污染环境防治信息或向公众开放设施场所。得</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未依法公开当年危险废物污染环境防治信息。得</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p>
        </w:tc>
        <w:tc>
          <w:tcPr>
            <w:tcW w:w="212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466" w:hRule="atLeast"/>
          <w:jc w:val="center"/>
        </w:trPr>
        <w:tc>
          <w:tcPr>
            <w:tcW w:w="1058"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十三、业务培训（《危险废物经营单位记录和报告经营情况指南》</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环境保护部公告</w:t>
            </w:r>
            <w:r>
              <w:rPr>
                <w:rFonts w:ascii="Times New Roman" w:hAnsi="Times New Roman" w:eastAsia="宋体" w:cs="Times New Roman"/>
                <w:color w:val="000000"/>
                <w:spacing w:val="-4"/>
                <w:kern w:val="0"/>
                <w:sz w:val="21"/>
                <w:szCs w:val="21"/>
              </w:rPr>
              <w:t xml:space="preserve"> 2009</w:t>
            </w:r>
            <w:r>
              <w:rPr>
                <w:rFonts w:hint="default" w:ascii="Times New Roman" w:hAnsi="Times New Roman" w:eastAsia="宋体" w:cs="Times New Roman"/>
                <w:color w:val="000000"/>
                <w:spacing w:val="-4"/>
                <w:kern w:val="0"/>
                <w:sz w:val="21"/>
                <w:szCs w:val="21"/>
              </w:rPr>
              <w:t>年第</w:t>
            </w:r>
            <w:r>
              <w:rPr>
                <w:rFonts w:ascii="Times New Roman" w:hAnsi="Times New Roman" w:eastAsia="宋体" w:cs="Times New Roman"/>
                <w:color w:val="000000"/>
                <w:spacing w:val="-4"/>
                <w:kern w:val="0"/>
                <w:sz w:val="21"/>
                <w:szCs w:val="21"/>
              </w:rPr>
              <w:t>55</w:t>
            </w:r>
            <w:r>
              <w:rPr>
                <w:rFonts w:hint="default" w:ascii="Times New Roman" w:hAnsi="Times New Roman" w:eastAsia="宋体" w:cs="Times New Roman"/>
                <w:color w:val="000000"/>
                <w:spacing w:val="-4"/>
                <w:kern w:val="0"/>
                <w:sz w:val="21"/>
                <w:szCs w:val="21"/>
              </w:rPr>
              <w:t>号）</w:t>
            </w:r>
          </w:p>
        </w:tc>
        <w:tc>
          <w:tcPr>
            <w:tcW w:w="196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29.</w:t>
            </w:r>
            <w:r>
              <w:rPr>
                <w:rFonts w:hint="default" w:ascii="Times New Roman" w:hAnsi="Times New Roman" w:eastAsia="宋体" w:cs="Times New Roman"/>
                <w:color w:val="000000"/>
                <w:kern w:val="0"/>
                <w:sz w:val="21"/>
                <w:szCs w:val="21"/>
              </w:rPr>
              <w:t>对本单位工作人员进行培训。</w:t>
            </w:r>
          </w:p>
        </w:tc>
        <w:tc>
          <w:tcPr>
            <w:tcW w:w="720"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p>
        </w:tc>
        <w:tc>
          <w:tcPr>
            <w:tcW w:w="71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1850"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相关管理人员和从事危险废物收集、运输、贮存、利用和处置等工作的人员掌握国家相关法律法规、规章和有关规范性文件的规定；熟悉本单位制定的危险废物管理规章制度、工作流程和应急预案等各项要求；掌握危险废物分类收集、运输、暂存、利用和处置的正确方法和操作程序。</w:t>
            </w:r>
          </w:p>
        </w:tc>
        <w:tc>
          <w:tcPr>
            <w:tcW w:w="5184" w:type="dxa"/>
            <w:gridSpan w:val="2"/>
            <w:noWrap w:val="0"/>
            <w:vAlign w:val="center"/>
          </w:tcPr>
          <w:p>
            <w:pPr>
              <w:widowControl/>
              <w:spacing w:line="240" w:lineRule="auto"/>
              <w:ind w:firstLine="0" w:firstLineChars="0"/>
              <w:rPr>
                <w:rFonts w:ascii="Times New Roman" w:hAnsi="Times New Roman" w:eastAsia="宋体" w:cs="Times New Roman"/>
                <w:color w:val="000000"/>
                <w:kern w:val="0"/>
                <w:sz w:val="21"/>
                <w:szCs w:val="21"/>
              </w:rPr>
            </w:pPr>
            <w:r>
              <w:rPr>
                <w:rFonts w:ascii="Times New Roman" w:hAnsi="Times New Roman" w:eastAsia="宋体" w:cs="Times New Roman"/>
                <w:color w:val="000000"/>
                <w:kern w:val="0"/>
                <w:sz w:val="21"/>
                <w:szCs w:val="21"/>
              </w:rPr>
              <w:t>A.</w:t>
            </w:r>
            <w:r>
              <w:rPr>
                <w:rFonts w:hint="default" w:ascii="Times New Roman" w:hAnsi="Times New Roman" w:eastAsia="宋体" w:cs="Times New Roman"/>
                <w:color w:val="000000"/>
                <w:kern w:val="0"/>
                <w:sz w:val="21"/>
                <w:szCs w:val="21"/>
              </w:rPr>
              <w:t>对管理人员和从事危险废物收集、运输、贮存、利用和处置等工作的人员进行了培训。</w:t>
            </w:r>
          </w:p>
          <w:p>
            <w:pPr>
              <w:widowControl/>
              <w:spacing w:line="240" w:lineRule="auto"/>
              <w:ind w:firstLine="0" w:firstLineChars="0"/>
              <w:rPr>
                <w:rFonts w:ascii="Times New Roman" w:hAnsi="Times New Roman" w:eastAsia="宋体" w:cs="Times New Roman"/>
                <w:color w:val="000000"/>
                <w:kern w:val="0"/>
                <w:sz w:val="21"/>
                <w:szCs w:val="21"/>
              </w:rPr>
            </w:pPr>
            <w:r>
              <w:rPr>
                <w:rFonts w:ascii="Times New Roman" w:hAnsi="Times New Roman" w:eastAsia="宋体" w:cs="Times New Roman"/>
                <w:color w:val="000000"/>
                <w:kern w:val="0"/>
                <w:sz w:val="21"/>
                <w:szCs w:val="21"/>
              </w:rPr>
              <w:t>B.</w:t>
            </w:r>
            <w:r>
              <w:rPr>
                <w:rFonts w:hint="default" w:ascii="Times New Roman" w:hAnsi="Times New Roman" w:eastAsia="宋体" w:cs="Times New Roman"/>
                <w:color w:val="000000"/>
                <w:kern w:val="0"/>
                <w:sz w:val="21"/>
                <w:szCs w:val="21"/>
              </w:rPr>
              <w:t>参加培训人员对危险废物管理制度、相应岗位危险废物管理要求等较熟悉。</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kern w:val="0"/>
                <w:sz w:val="21"/>
                <w:szCs w:val="21"/>
              </w:rPr>
              <w:br w:type="textWrapping"/>
            </w:r>
            <w:r>
              <w:rPr>
                <w:rFonts w:hint="default" w:ascii="Times New Roman" w:hAnsi="Times New Roman" w:eastAsia="宋体" w:cs="Times New Roman"/>
                <w:color w:val="000000"/>
                <w:kern w:val="0"/>
                <w:sz w:val="21"/>
                <w:szCs w:val="21"/>
              </w:rPr>
              <w:t>以上每项符合得</w:t>
            </w:r>
            <w:r>
              <w:rPr>
                <w:rFonts w:ascii="Times New Roman" w:hAnsi="Times New Roman" w:eastAsia="宋体" w:cs="Times New Roman"/>
                <w:color w:val="000000"/>
                <w:kern w:val="0"/>
                <w:sz w:val="21"/>
                <w:szCs w:val="21"/>
              </w:rPr>
              <w:t>0.5</w:t>
            </w:r>
            <w:r>
              <w:rPr>
                <w:rFonts w:hint="default" w:ascii="Times New Roman" w:hAnsi="Times New Roman" w:eastAsia="宋体" w:cs="Times New Roman"/>
                <w:color w:val="000000"/>
                <w:kern w:val="0"/>
                <w:sz w:val="21"/>
                <w:szCs w:val="21"/>
              </w:rPr>
              <w:t>分</w:t>
            </w:r>
            <w:r>
              <w:rPr>
                <w:rFonts w:hint="eastAsia" w:ascii="Times New Roman" w:hAnsi="Times New Roman" w:eastAsia="宋体" w:cs="Times New Roman"/>
                <w:color w:val="000000"/>
                <w:kern w:val="0"/>
                <w:sz w:val="21"/>
                <w:szCs w:val="21"/>
                <w:lang w:eastAsia="zh-CN"/>
              </w:rPr>
              <w:t>，</w:t>
            </w:r>
            <w:r>
              <w:rPr>
                <w:rFonts w:hint="default" w:ascii="Times New Roman" w:hAnsi="Times New Roman" w:eastAsia="宋体" w:cs="Times New Roman"/>
                <w:color w:val="000000"/>
                <w:kern w:val="0"/>
                <w:sz w:val="21"/>
                <w:szCs w:val="21"/>
              </w:rPr>
              <w:t>共</w:t>
            </w:r>
            <w:r>
              <w:rPr>
                <w:rFonts w:ascii="Times New Roman" w:hAnsi="Times New Roman" w:eastAsia="宋体" w:cs="Times New Roman"/>
                <w:color w:val="000000"/>
                <w:kern w:val="0"/>
                <w:sz w:val="21"/>
                <w:szCs w:val="21"/>
              </w:rPr>
              <w:t>1</w:t>
            </w:r>
            <w:r>
              <w:rPr>
                <w:rFonts w:hint="default" w:ascii="Times New Roman" w:hAnsi="Times New Roman" w:eastAsia="宋体" w:cs="Times New Roman"/>
                <w:color w:val="000000"/>
                <w:kern w:val="0"/>
                <w:sz w:val="21"/>
                <w:szCs w:val="21"/>
              </w:rPr>
              <w:t>分。</w:t>
            </w:r>
          </w:p>
        </w:tc>
        <w:tc>
          <w:tcPr>
            <w:tcW w:w="212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kern w:val="0"/>
                <w:sz w:val="21"/>
                <w:szCs w:val="21"/>
              </w:rPr>
              <w:t>资料检查（查看培训相关材料）、现场询问</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020" w:type="dxa"/>
            <w:gridSpan w:val="2"/>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合计</w:t>
            </w:r>
          </w:p>
        </w:tc>
        <w:tc>
          <w:tcPr>
            <w:tcW w:w="720"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70</w:t>
            </w:r>
          </w:p>
        </w:tc>
        <w:tc>
          <w:tcPr>
            <w:tcW w:w="710" w:type="dxa"/>
            <w:noWrap w:val="0"/>
            <w:vAlign w:val="center"/>
          </w:tcPr>
          <w:p>
            <w:pPr>
              <w:widowControl/>
              <w:adjustRightInd w:val="0"/>
              <w:snapToGrid w:val="0"/>
              <w:spacing w:line="240" w:lineRule="auto"/>
              <w:ind w:firstLine="0" w:firstLineChars="0"/>
              <w:jc w:val="center"/>
              <w:rPr>
                <w:rFonts w:ascii="Times New Roman" w:hAnsi="Times New Roman" w:eastAsia="宋体" w:cs="Times New Roman"/>
                <w:color w:val="000000"/>
                <w:spacing w:val="-4"/>
                <w:kern w:val="0"/>
                <w:sz w:val="21"/>
                <w:szCs w:val="21"/>
              </w:rPr>
            </w:pPr>
          </w:p>
        </w:tc>
        <w:tc>
          <w:tcPr>
            <w:tcW w:w="9861" w:type="dxa"/>
            <w:gridSpan w:val="5"/>
            <w:noWrap w:val="0"/>
            <w:vAlign w:val="center"/>
          </w:tcPr>
          <w:p>
            <w:pPr>
              <w:widowControl/>
              <w:adjustRightInd w:val="0"/>
              <w:snapToGrid w:val="0"/>
              <w:spacing w:line="240" w:lineRule="auto"/>
              <w:ind w:firstLine="0" w:firstLineChars="0"/>
              <w:jc w:val="left"/>
              <w:rPr>
                <w:rFonts w:ascii="Times New Roman" w:hAnsi="Times New Roman" w:eastAsia="仿宋_GB2312" w:cs="Times New Roman"/>
                <w:color w:val="000000"/>
                <w:spacing w:val="-4"/>
                <w:kern w:val="0"/>
                <w:sz w:val="21"/>
                <w:szCs w:val="21"/>
              </w:rPr>
            </w:pPr>
            <w:r>
              <w:rPr>
                <w:rFonts w:hint="default" w:ascii="Times New Roman" w:hAnsi="Times New Roman" w:eastAsia="仿宋_GB2312" w:cs="Times New Roman"/>
                <w:color w:val="000000"/>
                <w:spacing w:val="-4"/>
                <w:kern w:val="0"/>
                <w:sz w:val="21"/>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1058"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加分项</w:t>
            </w:r>
          </w:p>
        </w:tc>
        <w:tc>
          <w:tcPr>
            <w:tcW w:w="10426" w:type="dxa"/>
            <w:gridSpan w:val="6"/>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A.</w:t>
            </w:r>
            <w:r>
              <w:rPr>
                <w:rFonts w:hint="default" w:ascii="Times New Roman" w:hAnsi="Times New Roman" w:eastAsia="宋体" w:cs="Times New Roman"/>
                <w:color w:val="000000"/>
                <w:spacing w:val="-4"/>
                <w:kern w:val="0"/>
                <w:sz w:val="21"/>
                <w:szCs w:val="21"/>
              </w:rPr>
              <w:t>在危险废物相关重点环节和关键节点应用视频监控的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加</w:t>
            </w:r>
            <w:r>
              <w:rPr>
                <w:rFonts w:ascii="Times New Roman" w:hAnsi="Times New Roman" w:eastAsia="宋体" w:cs="Times New Roman"/>
                <w:color w:val="000000"/>
                <w:spacing w:val="-4"/>
                <w:kern w:val="0"/>
                <w:sz w:val="21"/>
                <w:szCs w:val="21"/>
              </w:rPr>
              <w:t>0.5</w:t>
            </w:r>
            <w:r>
              <w:rPr>
                <w:rFonts w:hint="default" w:ascii="Times New Roman" w:hAnsi="Times New Roman" w:eastAsia="宋体" w:cs="Times New Roman"/>
                <w:color w:val="000000"/>
                <w:spacing w:val="-4"/>
                <w:kern w:val="0"/>
                <w:sz w:val="21"/>
                <w:szCs w:val="21"/>
              </w:rPr>
              <w:t>分；在危险废物相关重点环节和关键节点应用电子标签的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加</w:t>
            </w:r>
            <w:r>
              <w:rPr>
                <w:rFonts w:ascii="Times New Roman" w:hAnsi="Times New Roman" w:eastAsia="宋体" w:cs="Times New Roman"/>
                <w:color w:val="000000"/>
                <w:spacing w:val="-4"/>
                <w:kern w:val="0"/>
                <w:sz w:val="21"/>
                <w:szCs w:val="21"/>
              </w:rPr>
              <w:t>0.5</w:t>
            </w:r>
            <w:r>
              <w:rPr>
                <w:rFonts w:hint="default" w:ascii="Times New Roman" w:hAnsi="Times New Roman" w:eastAsia="宋体" w:cs="Times New Roman"/>
                <w:color w:val="000000"/>
                <w:spacing w:val="-4"/>
                <w:kern w:val="0"/>
                <w:sz w:val="21"/>
                <w:szCs w:val="21"/>
              </w:rPr>
              <w:t>分。</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B.</w:t>
            </w:r>
            <w:r>
              <w:rPr>
                <w:rFonts w:hint="default" w:ascii="Times New Roman" w:hAnsi="Times New Roman" w:eastAsia="宋体" w:cs="Times New Roman"/>
                <w:color w:val="000000"/>
                <w:spacing w:val="-4"/>
                <w:kern w:val="0"/>
                <w:sz w:val="21"/>
                <w:szCs w:val="21"/>
              </w:rPr>
              <w:t>投保环境污染责任保险的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加</w:t>
            </w: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分。</w:t>
            </w:r>
          </w:p>
        </w:tc>
        <w:tc>
          <w:tcPr>
            <w:tcW w:w="212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查阅相关资料、现场核查</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896" w:hRule="atLeast"/>
          <w:jc w:val="center"/>
        </w:trPr>
        <w:tc>
          <w:tcPr>
            <w:tcW w:w="1058"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否决项</w:t>
            </w:r>
          </w:p>
        </w:tc>
        <w:tc>
          <w:tcPr>
            <w:tcW w:w="10426" w:type="dxa"/>
            <w:gridSpan w:val="6"/>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A.</w:t>
            </w:r>
            <w:r>
              <w:rPr>
                <w:rFonts w:hint="default" w:ascii="Times New Roman" w:hAnsi="Times New Roman" w:eastAsia="宋体" w:cs="Times New Roman"/>
                <w:color w:val="000000"/>
                <w:spacing w:val="-4"/>
                <w:kern w:val="0"/>
                <w:sz w:val="21"/>
                <w:szCs w:val="21"/>
              </w:rPr>
              <w:t>无许可证或者不按照许可证规定超数量、超范围从事危险废物收集、贮存、利用、处置经营活动的。</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B.</w:t>
            </w:r>
            <w:r>
              <w:rPr>
                <w:rFonts w:hint="default" w:ascii="Times New Roman" w:hAnsi="Times New Roman" w:eastAsia="宋体" w:cs="Times New Roman"/>
                <w:color w:val="000000"/>
                <w:spacing w:val="-4"/>
                <w:kern w:val="0"/>
                <w:sz w:val="21"/>
                <w:szCs w:val="21"/>
              </w:rPr>
              <w:t>将危险废物（收集</w:t>
            </w:r>
            <w:r>
              <w:rPr>
                <w:rFonts w:ascii="Times New Roman" w:hAnsi="Times New Roman" w:eastAsia="宋体" w:cs="Times New Roman"/>
                <w:color w:val="000000"/>
                <w:spacing w:val="-4"/>
                <w:kern w:val="0"/>
                <w:sz w:val="21"/>
                <w:szCs w:val="21"/>
              </w:rPr>
              <w:t>/</w:t>
            </w:r>
            <w:r>
              <w:rPr>
                <w:rFonts w:hint="default" w:ascii="Times New Roman" w:hAnsi="Times New Roman" w:eastAsia="宋体" w:cs="Times New Roman"/>
                <w:color w:val="000000"/>
                <w:spacing w:val="-4"/>
                <w:kern w:val="0"/>
                <w:sz w:val="21"/>
                <w:szCs w:val="21"/>
              </w:rPr>
              <w:t>利用</w:t>
            </w:r>
            <w:r>
              <w:rPr>
                <w:rFonts w:ascii="Times New Roman" w:hAnsi="Times New Roman" w:eastAsia="宋体" w:cs="Times New Roman"/>
                <w:color w:val="000000"/>
                <w:spacing w:val="-4"/>
                <w:kern w:val="0"/>
                <w:sz w:val="21"/>
                <w:szCs w:val="21"/>
              </w:rPr>
              <w:t>/</w:t>
            </w:r>
            <w:r>
              <w:rPr>
                <w:rFonts w:hint="default" w:ascii="Times New Roman" w:hAnsi="Times New Roman" w:eastAsia="宋体" w:cs="Times New Roman"/>
                <w:color w:val="000000"/>
                <w:spacing w:val="-4"/>
                <w:kern w:val="0"/>
                <w:sz w:val="21"/>
                <w:szCs w:val="21"/>
              </w:rPr>
              <w:t>处置环节豁免的除外）提供或者委托给无许可证的单位或者其他生产经营者从事收集、贮存、利用、处置活动的。</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C.</w:t>
            </w:r>
            <w:r>
              <w:rPr>
                <w:rFonts w:hint="default" w:ascii="Times New Roman" w:hAnsi="Times New Roman" w:eastAsia="宋体" w:cs="Times New Roman"/>
                <w:color w:val="000000"/>
                <w:spacing w:val="-4"/>
                <w:kern w:val="0"/>
                <w:sz w:val="21"/>
                <w:szCs w:val="21"/>
              </w:rPr>
              <w:t>由于危险废物管理不当导致突发环境事件发生的。</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D.</w:t>
            </w:r>
            <w:r>
              <w:rPr>
                <w:rFonts w:hint="default" w:ascii="Times New Roman" w:hAnsi="Times New Roman" w:eastAsia="宋体" w:cs="Times New Roman"/>
                <w:color w:val="000000"/>
                <w:spacing w:val="-4"/>
                <w:kern w:val="0"/>
                <w:sz w:val="21"/>
                <w:szCs w:val="21"/>
              </w:rPr>
              <w:t>擅自转移、倾倒、堆放危险废物的。</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E.</w:t>
            </w:r>
            <w:r>
              <w:rPr>
                <w:rFonts w:hint="default" w:ascii="Times New Roman" w:hAnsi="Times New Roman" w:eastAsia="宋体" w:cs="Times New Roman"/>
                <w:color w:val="000000"/>
                <w:spacing w:val="-4"/>
                <w:kern w:val="0"/>
                <w:sz w:val="21"/>
                <w:szCs w:val="21"/>
              </w:rPr>
              <w:t>执行台账和申报制度存在不报或虚报、瞒报危险废物的。</w:t>
            </w:r>
          </w:p>
        </w:tc>
        <w:tc>
          <w:tcPr>
            <w:tcW w:w="2122" w:type="dxa"/>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现场核查</w:t>
            </w:r>
          </w:p>
        </w:tc>
        <w:tc>
          <w:tcPr>
            <w:tcW w:w="705" w:type="dxa"/>
            <w:noWrap w:val="0"/>
            <w:vAlign w:val="center"/>
          </w:tcPr>
          <w:p>
            <w:pPr>
              <w:widowControl/>
              <w:adjustRightInd w:val="0"/>
              <w:snapToGrid w:val="0"/>
              <w:spacing w:line="240" w:lineRule="auto"/>
              <w:ind w:firstLine="0" w:firstLineChars="0"/>
              <w:jc w:val="left"/>
              <w:rPr>
                <w:rFonts w:ascii="Times New Roman" w:hAnsi="Times New Roman" w:eastAsia="宋体" w:cs="Times New Roman"/>
                <w:color w:val="000000"/>
                <w:spacing w:val="-4"/>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020" w:type="dxa"/>
            <w:gridSpan w:val="2"/>
            <w:noWrap w:val="0"/>
            <w:vAlign w:val="center"/>
          </w:tcPr>
          <w:p>
            <w:pPr>
              <w:widowControl/>
              <w:adjustRightInd w:val="0"/>
              <w:snapToGrid w:val="0"/>
              <w:spacing w:line="240" w:lineRule="auto"/>
              <w:ind w:firstLine="0" w:firstLineChars="0"/>
              <w:jc w:val="center"/>
              <w:rPr>
                <w:rFonts w:ascii="Times New Roman" w:hAnsi="Times New Roman" w:eastAsia="宋体" w:cs="Times New Roman"/>
                <w:b/>
                <w:bCs/>
                <w:color w:val="000000"/>
                <w:spacing w:val="-4"/>
                <w:kern w:val="0"/>
                <w:sz w:val="21"/>
                <w:szCs w:val="21"/>
              </w:rPr>
            </w:pPr>
            <w:r>
              <w:rPr>
                <w:rFonts w:hint="default" w:ascii="Times New Roman" w:hAnsi="Times New Roman" w:eastAsia="宋体" w:cs="Times New Roman"/>
                <w:b/>
                <w:bCs/>
                <w:color w:val="000000"/>
                <w:spacing w:val="-4"/>
                <w:kern w:val="0"/>
                <w:sz w:val="21"/>
                <w:szCs w:val="21"/>
              </w:rPr>
              <w:t>评估得分</w:t>
            </w:r>
          </w:p>
        </w:tc>
        <w:tc>
          <w:tcPr>
            <w:tcW w:w="3674" w:type="dxa"/>
            <w:gridSpan w:val="4"/>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p>
        </w:tc>
        <w:tc>
          <w:tcPr>
            <w:tcW w:w="7617" w:type="dxa"/>
            <w:gridSpan w:val="3"/>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b/>
                <w:bCs/>
                <w:color w:val="000000"/>
                <w:spacing w:val="-4"/>
                <w:kern w:val="0"/>
                <w:sz w:val="21"/>
                <w:szCs w:val="21"/>
              </w:rPr>
              <w:t>评估结果：达标□基本达标□不达标□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220" w:hRule="atLeast"/>
          <w:jc w:val="center"/>
        </w:trPr>
        <w:tc>
          <w:tcPr>
            <w:tcW w:w="14311" w:type="dxa"/>
            <w:gridSpan w:val="9"/>
            <w:noWrap w:val="0"/>
            <w:vAlign w:val="center"/>
          </w:tcPr>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说明：</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1.</w:t>
            </w:r>
            <w:r>
              <w:rPr>
                <w:rFonts w:hint="default" w:ascii="Times New Roman" w:hAnsi="Times New Roman" w:eastAsia="宋体" w:cs="Times New Roman"/>
                <w:color w:val="000000"/>
                <w:spacing w:val="-4"/>
                <w:kern w:val="0"/>
                <w:sz w:val="21"/>
                <w:szCs w:val="21"/>
              </w:rPr>
              <w:t>工作组应当至少包括</w:t>
            </w: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名具有环境执法证件的人员</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可邀请专家参与检查。</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2.</w:t>
            </w:r>
            <w:r>
              <w:rPr>
                <w:rFonts w:hint="default" w:ascii="Times New Roman" w:hAnsi="Times New Roman" w:eastAsia="宋体" w:cs="Times New Roman"/>
                <w:color w:val="000000"/>
                <w:spacing w:val="-4"/>
                <w:kern w:val="0"/>
                <w:sz w:val="21"/>
                <w:szCs w:val="21"/>
              </w:rPr>
              <w:t>评估人员要做好记录并签字。</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3.</w:t>
            </w:r>
            <w:r>
              <w:rPr>
                <w:rFonts w:hint="default" w:ascii="Times New Roman" w:hAnsi="Times New Roman" w:eastAsia="宋体" w:cs="Times New Roman"/>
                <w:color w:val="000000"/>
                <w:spacing w:val="-4"/>
                <w:kern w:val="0"/>
                <w:sz w:val="21"/>
                <w:szCs w:val="21"/>
              </w:rPr>
              <w:t>对危险废物流向、贮存、利用、处置等信息</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要核查原始凭证。</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4.</w:t>
            </w:r>
            <w:r>
              <w:rPr>
                <w:rFonts w:hint="default" w:ascii="Times New Roman" w:hAnsi="Times New Roman" w:eastAsia="宋体" w:cs="Times New Roman"/>
                <w:color w:val="000000"/>
                <w:spacing w:val="-4"/>
                <w:kern w:val="0"/>
                <w:sz w:val="21"/>
                <w:szCs w:val="21"/>
              </w:rPr>
              <w:t>根据评分要点给出得分。</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5.</w:t>
            </w:r>
            <w:r>
              <w:rPr>
                <w:rFonts w:hint="default" w:ascii="Times New Roman" w:hAnsi="Times New Roman" w:eastAsia="宋体" w:cs="Times New Roman"/>
                <w:color w:val="000000"/>
                <w:spacing w:val="-4"/>
                <w:kern w:val="0"/>
                <w:sz w:val="21"/>
                <w:szCs w:val="21"/>
              </w:rPr>
              <w:t>备注栏可对评估情况进行简要记录。</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6.</w:t>
            </w:r>
            <w:r>
              <w:rPr>
                <w:rFonts w:hint="default" w:ascii="Times New Roman" w:hAnsi="Times New Roman" w:eastAsia="宋体" w:cs="Times New Roman"/>
                <w:color w:val="000000"/>
                <w:spacing w:val="-4"/>
                <w:kern w:val="0"/>
                <w:sz w:val="21"/>
                <w:szCs w:val="21"/>
              </w:rPr>
              <w:t>评估内容不适用的</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计为</w:t>
            </w:r>
            <w:r>
              <w:rPr>
                <w:rFonts w:ascii="Times New Roman" w:hAnsi="Times New Roman" w:eastAsia="宋体" w:cs="Times New Roman"/>
                <w:color w:val="000000"/>
                <w:spacing w:val="-4"/>
                <w:kern w:val="0"/>
                <w:sz w:val="21"/>
                <w:szCs w:val="21"/>
              </w:rPr>
              <w:t>0</w:t>
            </w:r>
            <w:r>
              <w:rPr>
                <w:rFonts w:hint="default" w:ascii="Times New Roman" w:hAnsi="Times New Roman" w:eastAsia="宋体" w:cs="Times New Roman"/>
                <w:color w:val="000000"/>
                <w:spacing w:val="-4"/>
                <w:kern w:val="0"/>
                <w:sz w:val="21"/>
                <w:szCs w:val="21"/>
              </w:rPr>
              <w:t>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并将该项分值从满分中扣除后</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按比例换算达标、基本达标、不达标界值。</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7.</w:t>
            </w:r>
            <w:r>
              <w:rPr>
                <w:rFonts w:hint="default" w:ascii="Times New Roman" w:hAnsi="Times New Roman" w:eastAsia="宋体" w:cs="Times New Roman"/>
                <w:color w:val="000000"/>
                <w:spacing w:val="-4"/>
                <w:kern w:val="0"/>
                <w:sz w:val="21"/>
                <w:szCs w:val="21"/>
              </w:rPr>
              <w:t>加分项目以当年是否开展为准。</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8.</w:t>
            </w:r>
            <w:r>
              <w:rPr>
                <w:rFonts w:hint="default" w:ascii="Times New Roman" w:hAnsi="Times New Roman" w:eastAsia="宋体" w:cs="Times New Roman"/>
                <w:color w:val="000000"/>
                <w:spacing w:val="-4"/>
                <w:kern w:val="0"/>
                <w:sz w:val="21"/>
                <w:szCs w:val="21"/>
              </w:rPr>
              <w:t>否决项</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即该项不得分</w:t>
            </w:r>
            <w:r>
              <w:rPr>
                <w:rFonts w:hint="eastAsia" w:ascii="Times New Roman" w:hAnsi="Times New Roman" w:eastAsia="宋体" w:cs="Times New Roman"/>
                <w:color w:val="000000"/>
                <w:spacing w:val="-4"/>
                <w:kern w:val="0"/>
                <w:sz w:val="21"/>
                <w:szCs w:val="21"/>
                <w:lang w:eastAsia="zh-CN"/>
              </w:rPr>
              <w:t>，</w:t>
            </w:r>
            <w:r>
              <w:rPr>
                <w:rFonts w:hint="default" w:ascii="Times New Roman" w:hAnsi="Times New Roman" w:eastAsia="宋体" w:cs="Times New Roman"/>
                <w:color w:val="000000"/>
                <w:spacing w:val="-4"/>
                <w:kern w:val="0"/>
                <w:sz w:val="21"/>
                <w:szCs w:val="21"/>
              </w:rPr>
              <w:t>则评估结果为不达标。</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ascii="Times New Roman" w:hAnsi="Times New Roman" w:eastAsia="宋体" w:cs="Times New Roman"/>
                <w:color w:val="000000"/>
                <w:spacing w:val="-4"/>
                <w:kern w:val="0"/>
                <w:sz w:val="21"/>
                <w:szCs w:val="21"/>
              </w:rPr>
              <w:t>9.</w:t>
            </w:r>
            <w:r>
              <w:rPr>
                <w:rFonts w:hint="default" w:ascii="Times New Roman" w:hAnsi="Times New Roman" w:eastAsia="宋体" w:cs="Times New Roman"/>
                <w:color w:val="000000"/>
                <w:spacing w:val="-4"/>
                <w:kern w:val="0"/>
                <w:sz w:val="21"/>
                <w:szCs w:val="21"/>
              </w:rPr>
              <w:t>评估结果：</w:t>
            </w:r>
          </w:p>
          <w:p>
            <w:pPr>
              <w:widowControl/>
              <w:adjustRightInd w:val="0"/>
              <w:snapToGrid w:val="0"/>
              <w:spacing w:line="240" w:lineRule="auto"/>
              <w:ind w:firstLine="0" w:firstLineChars="0"/>
              <w:rPr>
                <w:rFonts w:ascii="Times New Roman" w:hAnsi="Times New Roman" w:eastAsia="宋体" w:cs="Times New Roman"/>
                <w:color w:val="000000"/>
                <w:spacing w:val="-4"/>
                <w:kern w:val="0"/>
                <w:sz w:val="21"/>
                <w:szCs w:val="21"/>
              </w:rPr>
            </w:pPr>
            <w:r>
              <w:rPr>
                <w:rFonts w:hint="default" w:ascii="Times New Roman" w:hAnsi="Times New Roman" w:eastAsia="宋体" w:cs="Times New Roman"/>
                <w:color w:val="000000"/>
                <w:spacing w:val="-4"/>
                <w:kern w:val="0"/>
                <w:sz w:val="21"/>
                <w:szCs w:val="21"/>
              </w:rPr>
              <w:t>满分为</w:t>
            </w:r>
            <w:r>
              <w:rPr>
                <w:rFonts w:ascii="Times New Roman" w:hAnsi="Times New Roman" w:eastAsia="宋体" w:cs="Times New Roman"/>
                <w:color w:val="000000"/>
                <w:spacing w:val="-4"/>
                <w:kern w:val="0"/>
                <w:sz w:val="21"/>
                <w:szCs w:val="21"/>
              </w:rPr>
              <w:t>70</w:t>
            </w:r>
            <w:r>
              <w:rPr>
                <w:rFonts w:hint="default" w:ascii="Times New Roman" w:hAnsi="Times New Roman" w:eastAsia="宋体" w:cs="Times New Roman"/>
                <w:color w:val="000000"/>
                <w:spacing w:val="-4"/>
                <w:kern w:val="0"/>
                <w:sz w:val="21"/>
                <w:szCs w:val="21"/>
              </w:rPr>
              <w:t>分</w:t>
            </w:r>
            <w:r>
              <w:rPr>
                <w:rFonts w:hint="eastAsia" w:ascii="Times New Roman" w:hAnsi="Times New Roman" w:eastAsia="宋体" w:cs="Times New Roman"/>
                <w:color w:val="000000"/>
                <w:spacing w:val="-4"/>
                <w:kern w:val="0"/>
                <w:sz w:val="21"/>
                <w:szCs w:val="21"/>
                <w:lang w:eastAsia="zh-CN"/>
              </w:rPr>
              <w:t>，</w:t>
            </w:r>
            <w:r>
              <w:rPr>
                <w:rFonts w:ascii="Times New Roman" w:hAnsi="Times New Roman" w:eastAsia="宋体" w:cs="Times New Roman"/>
                <w:color w:val="000000"/>
                <w:spacing w:val="-4"/>
                <w:kern w:val="0"/>
                <w:sz w:val="21"/>
                <w:szCs w:val="21"/>
              </w:rPr>
              <w:t>56</w:t>
            </w:r>
            <w:r>
              <w:rPr>
                <w:rFonts w:hint="default" w:ascii="Times New Roman" w:hAnsi="Times New Roman" w:eastAsia="宋体" w:cs="Times New Roman"/>
                <w:color w:val="000000"/>
                <w:spacing w:val="-4"/>
                <w:kern w:val="0"/>
                <w:sz w:val="21"/>
                <w:szCs w:val="21"/>
              </w:rPr>
              <w:t>（含）</w:t>
            </w:r>
            <w:r>
              <w:rPr>
                <w:rFonts w:ascii="Times New Roman" w:hAnsi="Times New Roman" w:eastAsia="宋体" w:cs="Times New Roman"/>
                <w:color w:val="000000"/>
                <w:spacing w:val="-4"/>
                <w:kern w:val="0"/>
                <w:sz w:val="21"/>
                <w:szCs w:val="21"/>
              </w:rPr>
              <w:t>-70</w:t>
            </w:r>
            <w:r>
              <w:rPr>
                <w:rFonts w:hint="default" w:ascii="Times New Roman" w:hAnsi="Times New Roman" w:eastAsia="宋体" w:cs="Times New Roman"/>
                <w:color w:val="000000"/>
                <w:spacing w:val="-4"/>
                <w:kern w:val="0"/>
                <w:sz w:val="21"/>
                <w:szCs w:val="21"/>
              </w:rPr>
              <w:t>分为达标</w:t>
            </w:r>
            <w:r>
              <w:rPr>
                <w:rFonts w:hint="eastAsia" w:ascii="Times New Roman" w:hAnsi="Times New Roman" w:eastAsia="宋体" w:cs="Times New Roman"/>
                <w:color w:val="000000"/>
                <w:spacing w:val="-4"/>
                <w:kern w:val="0"/>
                <w:sz w:val="21"/>
                <w:szCs w:val="21"/>
                <w:lang w:eastAsia="zh-CN"/>
              </w:rPr>
              <w:t>，</w:t>
            </w:r>
            <w:r>
              <w:rPr>
                <w:rFonts w:ascii="Times New Roman" w:hAnsi="Times New Roman" w:eastAsia="宋体" w:cs="Times New Roman"/>
                <w:color w:val="000000"/>
                <w:spacing w:val="-4"/>
                <w:kern w:val="0"/>
                <w:sz w:val="21"/>
                <w:szCs w:val="21"/>
              </w:rPr>
              <w:t>42</w:t>
            </w:r>
            <w:r>
              <w:rPr>
                <w:rFonts w:hint="default" w:ascii="Times New Roman" w:hAnsi="Times New Roman" w:eastAsia="宋体" w:cs="Times New Roman"/>
                <w:color w:val="000000"/>
                <w:spacing w:val="-4"/>
                <w:kern w:val="0"/>
                <w:sz w:val="21"/>
                <w:szCs w:val="21"/>
              </w:rPr>
              <w:t>（含）</w:t>
            </w:r>
            <w:r>
              <w:rPr>
                <w:rFonts w:ascii="Times New Roman" w:hAnsi="Times New Roman" w:eastAsia="宋体" w:cs="Times New Roman"/>
                <w:color w:val="000000"/>
                <w:spacing w:val="-4"/>
                <w:kern w:val="0"/>
                <w:sz w:val="21"/>
                <w:szCs w:val="21"/>
              </w:rPr>
              <w:t>-56</w:t>
            </w:r>
            <w:r>
              <w:rPr>
                <w:rFonts w:hint="default" w:ascii="Times New Roman" w:hAnsi="Times New Roman" w:eastAsia="宋体" w:cs="Times New Roman"/>
                <w:color w:val="000000"/>
                <w:spacing w:val="-4"/>
                <w:kern w:val="0"/>
                <w:sz w:val="21"/>
                <w:szCs w:val="21"/>
              </w:rPr>
              <w:t>分为基本达标</w:t>
            </w:r>
            <w:r>
              <w:rPr>
                <w:rFonts w:hint="eastAsia" w:ascii="Times New Roman" w:hAnsi="Times New Roman" w:eastAsia="宋体" w:cs="Times New Roman"/>
                <w:color w:val="000000"/>
                <w:spacing w:val="-4"/>
                <w:kern w:val="0"/>
                <w:sz w:val="21"/>
                <w:szCs w:val="21"/>
                <w:lang w:eastAsia="zh-CN"/>
              </w:rPr>
              <w:t>，</w:t>
            </w:r>
            <w:r>
              <w:rPr>
                <w:rFonts w:ascii="Times New Roman" w:hAnsi="Times New Roman" w:eastAsia="宋体" w:cs="Times New Roman"/>
                <w:color w:val="000000"/>
                <w:spacing w:val="-4"/>
                <w:kern w:val="0"/>
                <w:sz w:val="21"/>
                <w:szCs w:val="21"/>
              </w:rPr>
              <w:t>42</w:t>
            </w:r>
            <w:r>
              <w:rPr>
                <w:rFonts w:hint="default" w:ascii="Times New Roman" w:hAnsi="Times New Roman" w:eastAsia="宋体" w:cs="Times New Roman"/>
                <w:color w:val="000000"/>
                <w:spacing w:val="-4"/>
                <w:kern w:val="0"/>
                <w:sz w:val="21"/>
                <w:szCs w:val="21"/>
              </w:rPr>
              <w:t>分以下为不达标。</w:t>
            </w:r>
          </w:p>
        </w:tc>
      </w:tr>
    </w:tbl>
    <w:p>
      <w:pPr>
        <w:keepNext w:val="0"/>
        <w:keepLines w:val="0"/>
        <w:pageBreakBefore w:val="0"/>
        <w:widowControl w:val="0"/>
        <w:kinsoku/>
        <w:wordWrap/>
        <w:overflowPunct/>
        <w:topLinePunct w:val="0"/>
        <w:autoSpaceDE/>
        <w:autoSpaceDN/>
        <w:bidi w:val="0"/>
        <w:adjustRightInd w:val="0"/>
        <w:snapToGrid w:val="0"/>
        <w:spacing w:after="328" w:afterLines="100" w:line="240" w:lineRule="auto"/>
        <w:ind w:firstLine="0" w:firstLineChars="0"/>
        <w:jc w:val="left"/>
        <w:textAlignment w:val="auto"/>
        <w:rPr>
          <w:rFonts w:ascii="Times New Roman" w:hAnsi="Times New Roman" w:eastAsia="宋体" w:cs="Times New Roman"/>
          <w:color w:val="000000"/>
          <w:kern w:val="0"/>
          <w:sz w:val="21"/>
          <w:szCs w:val="20"/>
        </w:rPr>
        <w:sectPr>
          <w:pgSz w:w="16838" w:h="11906" w:orient="landscape"/>
          <w:pgMar w:top="1587" w:right="1417" w:bottom="1474" w:left="1417" w:header="851" w:footer="1134" w:gutter="0"/>
          <w:pgNumType w:fmt="decimal"/>
          <w:cols w:space="720" w:num="1"/>
          <w:rtlGutter w:val="0"/>
          <w:docGrid w:type="lines" w:linePitch="327" w:charSpace="0"/>
        </w:sectPr>
      </w:pPr>
    </w:p>
    <w:p>
      <w:pPr>
        <w:autoSpaceDE w:val="0"/>
        <w:autoSpaceDN w:val="0"/>
        <w:adjustRightInd w:val="0"/>
        <w:snapToGrid w:val="0"/>
        <w:ind w:left="0" w:leftChars="0" w:firstLine="0" w:firstLineChars="0"/>
        <w:jc w:val="both"/>
        <w:rPr>
          <w:rFonts w:hint="eastAsia" w:ascii="黑体" w:hAnsi="黑体" w:eastAsia="黑体" w:cs="黑体"/>
          <w:color w:val="000000"/>
          <w:spacing w:val="0"/>
          <w:kern w:val="0"/>
          <w:sz w:val="32"/>
          <w:szCs w:val="32"/>
          <w:lang w:val="en-US" w:eastAsia="zh-CN"/>
        </w:rPr>
      </w:pPr>
      <w:r>
        <w:rPr>
          <w:rFonts w:hint="eastAsia" w:ascii="黑体" w:hAnsi="黑体" w:eastAsia="黑体" w:cs="黑体"/>
          <w:color w:val="000000"/>
          <w:spacing w:val="0"/>
          <w:kern w:val="0"/>
          <w:sz w:val="32"/>
          <w:szCs w:val="32"/>
          <w:lang w:val="en-US" w:eastAsia="zh-CN"/>
        </w:rPr>
        <w:t>附件2</w:t>
      </w:r>
    </w:p>
    <w:p>
      <w:pPr>
        <w:autoSpaceDE w:val="0"/>
        <w:autoSpaceDN w:val="0"/>
        <w:adjustRightInd w:val="0"/>
        <w:snapToGrid w:val="0"/>
        <w:ind w:left="0" w:leftChars="0" w:firstLine="0" w:firstLineChars="0"/>
        <w:jc w:val="center"/>
        <w:rPr>
          <w:rFonts w:hint="eastAsia" w:ascii="方正小标宋简体" w:hAnsi="方正小标宋简体" w:eastAsia="方正小标宋简体" w:cs="方正小标宋简体"/>
          <w:color w:val="000000"/>
          <w:spacing w:val="0"/>
          <w:kern w:val="0"/>
          <w:sz w:val="44"/>
          <w:szCs w:val="44"/>
          <w:lang w:val="en-US" w:eastAsia="zh-CN"/>
        </w:rPr>
      </w:pPr>
      <w:r>
        <w:rPr>
          <w:rFonts w:hint="eastAsia" w:ascii="方正小标宋简体" w:hAnsi="方正小标宋简体" w:eastAsia="方正小标宋简体" w:cs="方正小标宋简体"/>
          <w:color w:val="000000"/>
          <w:spacing w:val="0"/>
          <w:kern w:val="0"/>
          <w:sz w:val="44"/>
          <w:szCs w:val="44"/>
          <w:lang w:val="en-US" w:eastAsia="zh-CN"/>
        </w:rPr>
        <w:t>东至县危险废物重点监管产生单位清单</w:t>
      </w:r>
    </w:p>
    <w:p>
      <w:pPr>
        <w:pStyle w:val="2"/>
        <w:rPr>
          <w:rFonts w:hint="eastAsia"/>
          <w:lang w:val="en-US" w:eastAsia="zh-CN"/>
        </w:rPr>
      </w:pPr>
    </w:p>
    <w:tbl>
      <w:tblPr>
        <w:tblStyle w:val="7"/>
        <w:tblW w:w="14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5"/>
        <w:gridCol w:w="848"/>
        <w:gridCol w:w="1215"/>
        <w:gridCol w:w="3240"/>
        <w:gridCol w:w="1560"/>
        <w:gridCol w:w="1320"/>
        <w:gridCol w:w="1410"/>
        <w:gridCol w:w="1305"/>
        <w:gridCol w:w="30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黑体" w:hAnsi="黑体" w:eastAsia="黑体" w:cs="黑体"/>
                <w:i w:val="0"/>
                <w:color w:val="auto"/>
                <w:kern w:val="0"/>
                <w:sz w:val="21"/>
                <w:szCs w:val="21"/>
                <w:u w:val="none"/>
                <w:lang w:val="en-US" w:eastAsia="zh-CN" w:bidi="ar"/>
              </w:rPr>
            </w:pPr>
            <w:r>
              <w:rPr>
                <w:rFonts w:hint="eastAsia" w:ascii="黑体" w:hAnsi="黑体" w:eastAsia="黑体" w:cs="黑体"/>
                <w:i w:val="0"/>
                <w:color w:val="auto"/>
                <w:kern w:val="0"/>
                <w:sz w:val="21"/>
                <w:szCs w:val="21"/>
                <w:u w:val="none"/>
                <w:lang w:val="en-US" w:eastAsia="zh-CN" w:bidi="ar"/>
              </w:rPr>
              <w:t>序号</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黑体" w:hAnsi="黑体" w:eastAsia="黑体" w:cs="黑体"/>
                <w:i w:val="0"/>
                <w:color w:val="auto"/>
                <w:kern w:val="0"/>
                <w:sz w:val="21"/>
                <w:szCs w:val="21"/>
                <w:u w:val="none"/>
                <w:lang w:val="en-US" w:eastAsia="zh-CN" w:bidi="ar"/>
              </w:rPr>
            </w:pPr>
            <w:r>
              <w:rPr>
                <w:rFonts w:hint="eastAsia" w:ascii="黑体" w:hAnsi="黑体" w:eastAsia="黑体" w:cs="黑体"/>
                <w:i w:val="0"/>
                <w:color w:val="auto"/>
                <w:kern w:val="0"/>
                <w:sz w:val="21"/>
                <w:szCs w:val="21"/>
                <w:u w:val="none"/>
                <w:lang w:val="en-US" w:eastAsia="zh-CN" w:bidi="ar"/>
              </w:rPr>
              <w:t>地市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黑体" w:hAnsi="黑体" w:eastAsia="黑体" w:cs="黑体"/>
                <w:i w:val="0"/>
                <w:color w:val="auto"/>
                <w:kern w:val="0"/>
                <w:sz w:val="21"/>
                <w:szCs w:val="21"/>
                <w:u w:val="none"/>
                <w:lang w:val="en-US" w:eastAsia="zh-CN" w:bidi="ar"/>
              </w:rPr>
            </w:pPr>
            <w:r>
              <w:rPr>
                <w:rFonts w:hint="eastAsia" w:ascii="黑体" w:hAnsi="黑体" w:eastAsia="黑体" w:cs="黑体"/>
                <w:i w:val="0"/>
                <w:color w:val="auto"/>
                <w:kern w:val="0"/>
                <w:sz w:val="21"/>
                <w:szCs w:val="21"/>
                <w:u w:val="none"/>
                <w:lang w:val="en-US" w:eastAsia="zh-CN" w:bidi="ar"/>
              </w:rPr>
              <w:t>县  区</w:t>
            </w:r>
          </w:p>
        </w:tc>
        <w:tc>
          <w:tcPr>
            <w:tcW w:w="3240"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黑体" w:hAnsi="黑体" w:eastAsia="黑体" w:cs="黑体"/>
                <w:i w:val="0"/>
                <w:color w:val="auto"/>
                <w:kern w:val="0"/>
                <w:sz w:val="21"/>
                <w:szCs w:val="21"/>
                <w:u w:val="none"/>
                <w:lang w:val="en-US" w:eastAsia="zh-CN" w:bidi="ar"/>
              </w:rPr>
            </w:pPr>
            <w:r>
              <w:rPr>
                <w:rFonts w:hint="eastAsia" w:ascii="黑体" w:hAnsi="黑体" w:eastAsia="黑体" w:cs="黑体"/>
                <w:i w:val="0"/>
                <w:color w:val="auto"/>
                <w:kern w:val="0"/>
                <w:sz w:val="21"/>
                <w:szCs w:val="21"/>
                <w:u w:val="none"/>
                <w:lang w:val="en-US" w:eastAsia="zh-CN" w:bidi="ar"/>
              </w:rPr>
              <w:t>单位名称</w:t>
            </w:r>
          </w:p>
        </w:tc>
        <w:tc>
          <w:tcPr>
            <w:tcW w:w="1560"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黑体" w:hAnsi="黑体" w:eastAsia="黑体" w:cs="黑体"/>
                <w:i w:val="0"/>
                <w:color w:val="auto"/>
                <w:kern w:val="0"/>
                <w:sz w:val="21"/>
                <w:szCs w:val="21"/>
                <w:u w:val="none"/>
                <w:lang w:val="en-US" w:eastAsia="zh-CN" w:bidi="ar"/>
              </w:rPr>
            </w:pPr>
            <w:r>
              <w:rPr>
                <w:rFonts w:hint="eastAsia" w:ascii="黑体" w:hAnsi="黑体" w:eastAsia="黑体" w:cs="黑体"/>
                <w:i w:val="0"/>
                <w:color w:val="auto"/>
                <w:kern w:val="0"/>
                <w:sz w:val="21"/>
                <w:szCs w:val="21"/>
                <w:u w:val="none"/>
                <w:lang w:val="en-US" w:eastAsia="zh-CN" w:bidi="ar"/>
              </w:rPr>
              <w:t>上年度留存量</w:t>
            </w:r>
          </w:p>
        </w:tc>
        <w:tc>
          <w:tcPr>
            <w:tcW w:w="1320"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黑体" w:hAnsi="黑体" w:eastAsia="黑体" w:cs="黑体"/>
                <w:i w:val="0"/>
                <w:color w:val="auto"/>
                <w:kern w:val="0"/>
                <w:sz w:val="21"/>
                <w:szCs w:val="21"/>
                <w:u w:val="none"/>
                <w:lang w:val="en-US" w:eastAsia="zh-CN" w:bidi="ar"/>
              </w:rPr>
            </w:pPr>
            <w:r>
              <w:rPr>
                <w:rFonts w:hint="eastAsia" w:ascii="黑体" w:hAnsi="黑体" w:eastAsia="黑体" w:cs="黑体"/>
                <w:i w:val="0"/>
                <w:color w:val="auto"/>
                <w:kern w:val="0"/>
                <w:sz w:val="21"/>
                <w:szCs w:val="21"/>
                <w:u w:val="none"/>
                <w:lang w:val="en-US" w:eastAsia="zh-CN" w:bidi="ar"/>
              </w:rPr>
              <w:t>产生量</w:t>
            </w:r>
          </w:p>
        </w:tc>
        <w:tc>
          <w:tcPr>
            <w:tcW w:w="1410"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黑体" w:hAnsi="黑体" w:eastAsia="黑体" w:cs="黑体"/>
                <w:i w:val="0"/>
                <w:color w:val="auto"/>
                <w:kern w:val="0"/>
                <w:sz w:val="21"/>
                <w:szCs w:val="21"/>
                <w:u w:val="none"/>
                <w:lang w:val="en-US" w:eastAsia="zh-CN" w:bidi="ar"/>
              </w:rPr>
            </w:pPr>
            <w:r>
              <w:rPr>
                <w:rFonts w:hint="eastAsia" w:ascii="黑体" w:hAnsi="黑体" w:eastAsia="黑体" w:cs="黑体"/>
                <w:i w:val="0"/>
                <w:color w:val="auto"/>
                <w:kern w:val="0"/>
                <w:sz w:val="21"/>
                <w:szCs w:val="21"/>
                <w:u w:val="none"/>
                <w:lang w:val="en-US" w:eastAsia="zh-CN" w:bidi="ar"/>
              </w:rPr>
              <w:t>委外转移量</w:t>
            </w:r>
          </w:p>
        </w:tc>
        <w:tc>
          <w:tcPr>
            <w:tcW w:w="13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黑体" w:hAnsi="黑体" w:eastAsia="黑体" w:cs="黑体"/>
                <w:i w:val="0"/>
                <w:color w:val="auto"/>
                <w:kern w:val="0"/>
                <w:sz w:val="21"/>
                <w:szCs w:val="21"/>
                <w:u w:val="none"/>
                <w:lang w:val="en-US" w:eastAsia="zh-CN" w:bidi="ar"/>
              </w:rPr>
            </w:pPr>
            <w:r>
              <w:rPr>
                <w:rFonts w:hint="eastAsia" w:ascii="黑体" w:hAnsi="黑体" w:eastAsia="黑体" w:cs="黑体"/>
                <w:i w:val="0"/>
                <w:color w:val="auto"/>
                <w:kern w:val="0"/>
                <w:sz w:val="21"/>
                <w:szCs w:val="21"/>
                <w:u w:val="none"/>
                <w:lang w:val="en-US" w:eastAsia="zh-CN" w:bidi="ar"/>
              </w:rPr>
              <w:t>年度贮存量</w:t>
            </w:r>
          </w:p>
        </w:tc>
        <w:tc>
          <w:tcPr>
            <w:tcW w:w="3073"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黑体" w:hAnsi="黑体" w:eastAsia="黑体" w:cs="黑体"/>
                <w:i w:val="0"/>
                <w:color w:val="auto"/>
                <w:kern w:val="0"/>
                <w:sz w:val="21"/>
                <w:szCs w:val="21"/>
                <w:u w:val="none"/>
                <w:lang w:val="en-US" w:eastAsia="zh-CN" w:bidi="ar"/>
              </w:rPr>
            </w:pPr>
            <w:r>
              <w:rPr>
                <w:rFonts w:hint="eastAsia" w:ascii="黑体" w:hAnsi="黑体" w:eastAsia="黑体" w:cs="黑体"/>
                <w:i w:val="0"/>
                <w:color w:val="auto"/>
                <w:kern w:val="0"/>
                <w:sz w:val="21"/>
                <w:szCs w:val="21"/>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1</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池州</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安徽东至广信农化有限公司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119.6300</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5749.8490</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5847.7720</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21.7070</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2019年省级危险废物规范化管理抽查企业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2</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安徽中山化工有限公司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51.7740</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3131.4916</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3121.8900</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61.3756</w:t>
            </w:r>
          </w:p>
        </w:tc>
        <w:tc>
          <w:tcPr>
            <w:tcW w:w="3073" w:type="dxa"/>
            <w:shd w:val="clear" w:color="auto" w:fill="FFFFFF"/>
            <w:noWrap w:val="0"/>
            <w:tcMar>
              <w:top w:w="15" w:type="dxa"/>
              <w:left w:w="15" w:type="dxa"/>
              <w:right w:w="15" w:type="dxa"/>
            </w:tcMar>
            <w:vAlign w:val="center"/>
          </w:tcPr>
          <w:p>
            <w:pPr>
              <w:spacing w:line="240" w:lineRule="auto"/>
              <w:jc w:val="both"/>
              <w:rPr>
                <w:rFonts w:hint="eastAsia" w:ascii="宋体" w:hAnsi="宋体" w:eastAsia="宋体" w:cs="宋体"/>
                <w:i w:val="0"/>
                <w:color w:val="auto"/>
                <w:kern w:val="0"/>
                <w:sz w:val="21"/>
                <w:szCs w:val="21"/>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3</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安徽新北卡化学有限公司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26.5680</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1872.7620</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1878.7990</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20.5310</w:t>
            </w:r>
          </w:p>
        </w:tc>
        <w:tc>
          <w:tcPr>
            <w:tcW w:w="3073" w:type="dxa"/>
            <w:shd w:val="clear" w:color="auto" w:fill="FFFFFF"/>
            <w:noWrap w:val="0"/>
            <w:tcMar>
              <w:top w:w="15" w:type="dxa"/>
              <w:left w:w="15" w:type="dxa"/>
              <w:right w:w="15" w:type="dxa"/>
            </w:tcMar>
            <w:vAlign w:val="center"/>
          </w:tcPr>
          <w:p>
            <w:pPr>
              <w:spacing w:line="240" w:lineRule="auto"/>
              <w:jc w:val="both"/>
              <w:rPr>
                <w:rFonts w:hint="eastAsia" w:ascii="宋体" w:hAnsi="宋体" w:eastAsia="宋体" w:cs="宋体"/>
                <w:i w:val="0"/>
                <w:color w:val="auto"/>
                <w:kern w:val="0"/>
                <w:sz w:val="21"/>
                <w:szCs w:val="21"/>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4</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安徽兴欣新材料有限公司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13.3000</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1478.9740</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1483.7200</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8.5540</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2020年、2021年省级危险废物规范化管理抽查企业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5</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安徽智新生化有限公司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11.2800</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1399.7750</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1387.7700</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23.2850</w:t>
            </w:r>
          </w:p>
        </w:tc>
        <w:tc>
          <w:tcPr>
            <w:tcW w:w="3073" w:type="dxa"/>
            <w:shd w:val="clear" w:color="auto" w:fill="FFFFFF"/>
            <w:noWrap w:val="0"/>
            <w:tcMar>
              <w:top w:w="15" w:type="dxa"/>
              <w:left w:w="15" w:type="dxa"/>
              <w:right w:w="15" w:type="dxa"/>
            </w:tcMar>
            <w:vAlign w:val="center"/>
          </w:tcPr>
          <w:p>
            <w:pPr>
              <w:spacing w:line="240" w:lineRule="auto"/>
              <w:jc w:val="both"/>
              <w:rPr>
                <w:rFonts w:hint="default" w:ascii="宋体" w:hAnsi="宋体" w:eastAsia="宋体" w:cs="宋体"/>
                <w:i w:val="0"/>
                <w:color w:val="auto"/>
                <w:kern w:val="0"/>
                <w:sz w:val="21"/>
                <w:szCs w:val="21"/>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6</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eastAsia" w:ascii="宋体" w:hAnsi="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安徽苏启化工有限公司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6.9100</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771.5380</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778.4480</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0.0000</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2022年省级危险废物规范化管理抽查企业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7</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eastAsia" w:ascii="宋体" w:hAnsi="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安徽尖峰北卡药业有限公司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16.2930</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753.5710</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745.9000</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23.9640</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2021、2022年省级危险废物规范化管理抽查企业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8</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安徽金鼎医药股份有限公司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17.7730</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727.3305</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709.9575</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35.1460</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2019年、2020、2022年省级危险废物规范化管理抽查企业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9</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安徽苏乐医药材料有限公司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23.5200</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668.4600</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670.8600</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21.1200</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2021年省级危险废物规范化管理抽查企业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10</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池州飞昊达化工有限公司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14.1880</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655.7040</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639.3550</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30.5370</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2020年省级危险废物规范化管理抽查企业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11</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安徽富田农化有限公司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12.2259</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586.0245</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580.2579</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17.9925</w:t>
            </w:r>
          </w:p>
        </w:tc>
        <w:tc>
          <w:tcPr>
            <w:tcW w:w="3073" w:type="dxa"/>
            <w:shd w:val="clear" w:color="auto" w:fill="FFFFFF"/>
            <w:noWrap w:val="0"/>
            <w:tcMar>
              <w:top w:w="15" w:type="dxa"/>
              <w:left w:w="15" w:type="dxa"/>
              <w:right w:w="15" w:type="dxa"/>
            </w:tcMar>
            <w:vAlign w:val="center"/>
          </w:tcPr>
          <w:p>
            <w:pPr>
              <w:spacing w:line="240" w:lineRule="auto"/>
              <w:jc w:val="both"/>
              <w:rPr>
                <w:rFonts w:hint="eastAsia" w:ascii="宋体" w:hAnsi="宋体" w:eastAsia="宋体" w:cs="宋体"/>
                <w:i w:val="0"/>
                <w:color w:val="auto"/>
                <w:kern w:val="0"/>
                <w:sz w:val="21"/>
                <w:szCs w:val="21"/>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12</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firstLine="440" w:firstLineChars="200"/>
              <w:jc w:val="both"/>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安徽金鹏香精香料有限公司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11.2000</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578.7500</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589.9500</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0.0000</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13</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安徽华尔泰化工股份有限公司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0.0000</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577.6900</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576.7100</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0.9800</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14</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firstLine="440" w:firstLineChars="200"/>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安徽兴隆化工有限公司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1.8773</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545.7377</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540.0700</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7.5450</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15</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firstLine="440" w:firstLineChars="200"/>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东至东华水务有限责任公司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3.7850</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497.8900</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501.4100</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0.2650</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16</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安徽佳田森农药化工有限公司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5.6225</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465.0605</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463.0630</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7.6200</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2019年、2021年省级危险废物规范化管理抽查企业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17</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firstLine="440" w:firstLineChars="200"/>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东至德泰精细化工有限公司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22.8200</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451.8000</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464.0600</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10.5600</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18</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firstLine="440" w:firstLineChars="200"/>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安徽鑫泰新材料有限公司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22.4200</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381.8400</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382.2680</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21.9920</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19</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firstLine="440" w:firstLineChars="200"/>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安徽三禾化学科技有限公司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5.8472</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344.7413</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339.6745</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10.9140</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4"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20</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firstLine="440" w:firstLineChars="200"/>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池州方达科技有限公司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10.2400</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342.8082</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352.9770</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10.2400</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21</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firstLine="440" w:firstLineChars="200"/>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安徽圣达生物药业有限公司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7.8720</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338.3730</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345.1900</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1.0550</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2022年省级危险废物规范化管理抽查企业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22</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firstLine="440" w:firstLineChars="200"/>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池州新赛德颜料有限公司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1.5490</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254.8025</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256.3315</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0.0200</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2022年省级危险废物规范化管理抽查企业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23</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firstLine="440" w:firstLineChars="200"/>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安徽德隆泰化工有限公司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0.0000</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244.9300</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244.9300</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0.0000</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24</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firstLine="440" w:firstLineChars="200"/>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池州中瑞化工有限公司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firstLine="440" w:firstLineChars="200"/>
              <w:jc w:val="both"/>
              <w:textAlignment w:val="center"/>
              <w:rPr>
                <w:rFonts w:hint="default" w:ascii="宋体" w:hAnsi="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7.3000</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238.1200</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245.4200</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0.0000</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25</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firstLine="440" w:firstLineChars="200"/>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安徽美致诚药业有限公司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firstLine="440" w:firstLineChars="200"/>
              <w:jc w:val="both"/>
              <w:textAlignment w:val="center"/>
              <w:rPr>
                <w:rFonts w:hint="default" w:ascii="宋体" w:hAnsi="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3.7600</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220.7880</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224.5480</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0.0000</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26</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firstLine="440" w:firstLineChars="200"/>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安徽兴东化工有限公司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firstLine="440" w:firstLineChars="200"/>
              <w:jc w:val="both"/>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0.0000</w:t>
            </w:r>
          </w:p>
        </w:tc>
        <w:tc>
          <w:tcPr>
            <w:tcW w:w="132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181.6000</w:t>
            </w:r>
          </w:p>
        </w:tc>
        <w:tc>
          <w:tcPr>
            <w:tcW w:w="1410"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181.6000</w:t>
            </w:r>
          </w:p>
        </w:tc>
        <w:tc>
          <w:tcPr>
            <w:tcW w:w="1305"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0.0000</w:t>
            </w:r>
          </w:p>
        </w:tc>
        <w:tc>
          <w:tcPr>
            <w:tcW w:w="3073" w:type="dxa"/>
            <w:shd w:val="clear" w:color="auto" w:fill="FFFFFF"/>
            <w:noWrap w:val="0"/>
            <w:tcMar>
              <w:top w:w="15" w:type="dxa"/>
              <w:left w:w="15" w:type="dxa"/>
              <w:right w:w="15" w:type="dxa"/>
            </w:tcMar>
            <w:vAlign w:val="center"/>
          </w:tcPr>
          <w:p>
            <w:pPr>
              <w:spacing w:line="240" w:lineRule="auto"/>
              <w:jc w:val="center"/>
              <w:rPr>
                <w:rFonts w:hint="eastAsia" w:ascii="宋体" w:hAnsi="宋体" w:eastAsia="宋体" w:cs="宋体"/>
                <w:i w:val="0"/>
                <w:color w:val="auto"/>
                <w:kern w:val="0"/>
                <w:sz w:val="21"/>
                <w:szCs w:val="21"/>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27</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池州天赐高新材料有限公司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0.0400</w:t>
            </w:r>
          </w:p>
        </w:tc>
        <w:tc>
          <w:tcPr>
            <w:tcW w:w="132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173.7446 </w:t>
            </w:r>
          </w:p>
        </w:tc>
        <w:tc>
          <w:tcPr>
            <w:tcW w:w="141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166.3512 </w:t>
            </w:r>
          </w:p>
        </w:tc>
        <w:tc>
          <w:tcPr>
            <w:tcW w:w="1305"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7.4334 </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2020年省级危险废物规范化管理抽查企业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28</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安徽东健化工科技有限公司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2.6000 </w:t>
            </w:r>
          </w:p>
        </w:tc>
        <w:tc>
          <w:tcPr>
            <w:tcW w:w="132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157.0520 </w:t>
            </w:r>
          </w:p>
        </w:tc>
        <w:tc>
          <w:tcPr>
            <w:tcW w:w="141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150.6200 </w:t>
            </w:r>
          </w:p>
        </w:tc>
        <w:tc>
          <w:tcPr>
            <w:tcW w:w="1305"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9.0320 </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29</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安徽弘峰精细化工有限公司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0.6675 </w:t>
            </w:r>
          </w:p>
        </w:tc>
        <w:tc>
          <w:tcPr>
            <w:tcW w:w="132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145.4372 </w:t>
            </w:r>
          </w:p>
        </w:tc>
        <w:tc>
          <w:tcPr>
            <w:tcW w:w="141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144.5047 </w:t>
            </w:r>
          </w:p>
        </w:tc>
        <w:tc>
          <w:tcPr>
            <w:tcW w:w="1305"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1.6000 </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highlight w:val="none"/>
                <w:u w:val="none"/>
                <w:lang w:val="en-US" w:eastAsia="zh-CN" w:bidi="ar"/>
              </w:rPr>
            </w:pPr>
            <w:r>
              <w:rPr>
                <w:rFonts w:hint="eastAsia" w:ascii="宋体" w:hAnsi="宋体" w:cs="宋体"/>
                <w:i w:val="0"/>
                <w:color w:val="auto"/>
                <w:kern w:val="0"/>
                <w:sz w:val="21"/>
                <w:szCs w:val="21"/>
                <w:highlight w:val="none"/>
                <w:u w:val="none"/>
                <w:lang w:val="en-US" w:eastAsia="zh-CN" w:bidi="ar"/>
              </w:rPr>
              <w:t>30</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安徽恒升化工有限公司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0.0470 </w:t>
            </w:r>
          </w:p>
        </w:tc>
        <w:tc>
          <w:tcPr>
            <w:tcW w:w="132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134.5020 </w:t>
            </w:r>
          </w:p>
        </w:tc>
        <w:tc>
          <w:tcPr>
            <w:tcW w:w="141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125.9200 </w:t>
            </w:r>
          </w:p>
        </w:tc>
        <w:tc>
          <w:tcPr>
            <w:tcW w:w="1305"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8.6290 </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2021年省级危险废物规范化管理抽查企业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31</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安徽红阳化工有限公司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3.4300 </w:t>
            </w:r>
          </w:p>
        </w:tc>
        <w:tc>
          <w:tcPr>
            <w:tcW w:w="132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129.9455 </w:t>
            </w:r>
          </w:p>
        </w:tc>
        <w:tc>
          <w:tcPr>
            <w:tcW w:w="141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131.2505 </w:t>
            </w:r>
          </w:p>
        </w:tc>
        <w:tc>
          <w:tcPr>
            <w:tcW w:w="1305"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2.1250 </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32</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安徽普洛生物科技有限公司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4.3580 </w:t>
            </w:r>
          </w:p>
        </w:tc>
        <w:tc>
          <w:tcPr>
            <w:tcW w:w="132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124.3380 </w:t>
            </w:r>
          </w:p>
        </w:tc>
        <w:tc>
          <w:tcPr>
            <w:tcW w:w="141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123.1830 </w:t>
            </w:r>
          </w:p>
        </w:tc>
        <w:tc>
          <w:tcPr>
            <w:tcW w:w="1305"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5.5130 </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33</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安徽益沣石化有限公司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7.1330 </w:t>
            </w:r>
          </w:p>
        </w:tc>
        <w:tc>
          <w:tcPr>
            <w:tcW w:w="132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100.5755 </w:t>
            </w:r>
          </w:p>
        </w:tc>
        <w:tc>
          <w:tcPr>
            <w:tcW w:w="141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106.9800 </w:t>
            </w:r>
          </w:p>
        </w:tc>
        <w:tc>
          <w:tcPr>
            <w:tcW w:w="1305"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0.7285 </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0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34</w:t>
            </w:r>
          </w:p>
        </w:tc>
        <w:tc>
          <w:tcPr>
            <w:tcW w:w="848"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池州市</w:t>
            </w:r>
          </w:p>
        </w:tc>
        <w:tc>
          <w:tcPr>
            <w:tcW w:w="1215" w:type="dxa"/>
            <w:shd w:val="clear" w:color="auto" w:fill="FFFFFF"/>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东至县</w:t>
            </w:r>
          </w:p>
        </w:tc>
        <w:tc>
          <w:tcPr>
            <w:tcW w:w="324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池州万维化工有限公司</w:t>
            </w:r>
          </w:p>
        </w:tc>
        <w:tc>
          <w:tcPr>
            <w:tcW w:w="156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0.6140 </w:t>
            </w:r>
          </w:p>
        </w:tc>
        <w:tc>
          <w:tcPr>
            <w:tcW w:w="132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49.1940 </w:t>
            </w:r>
          </w:p>
        </w:tc>
        <w:tc>
          <w:tcPr>
            <w:tcW w:w="1410"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45.9480 </w:t>
            </w:r>
          </w:p>
        </w:tc>
        <w:tc>
          <w:tcPr>
            <w:tcW w:w="1305" w:type="dxa"/>
            <w:shd w:val="clear" w:color="auto" w:fill="FFFFFF"/>
            <w:noWrap w:val="0"/>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3.8600 </w:t>
            </w:r>
          </w:p>
        </w:tc>
        <w:tc>
          <w:tcPr>
            <w:tcW w:w="3073" w:type="dxa"/>
            <w:shd w:val="clear" w:color="auto" w:fill="FFFFFF"/>
            <w:noWrap w:val="0"/>
            <w:tcMar>
              <w:top w:w="15" w:type="dxa"/>
              <w:left w:w="15" w:type="dxa"/>
              <w:right w:w="15" w:type="dxa"/>
            </w:tcMar>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2019年、2020年省级危险废物规范化管理抽查企业</w:t>
            </w:r>
          </w:p>
        </w:tc>
      </w:tr>
    </w:tbl>
    <w:p/>
    <w:p>
      <w:pPr>
        <w:keepNext w:val="0"/>
        <w:keepLines w:val="0"/>
        <w:pageBreakBefore w:val="0"/>
        <w:widowControl w:val="0"/>
        <w:kinsoku/>
        <w:wordWrap/>
        <w:overflowPunct/>
        <w:topLinePunct w:val="0"/>
        <w:autoSpaceDE/>
        <w:autoSpaceDN/>
        <w:bidi w:val="0"/>
        <w:adjustRightInd w:val="0"/>
        <w:snapToGrid w:val="0"/>
        <w:spacing w:after="313" w:afterLines="100"/>
        <w:ind w:left="0" w:leftChars="0" w:firstLine="0" w:firstLineChars="0"/>
        <w:jc w:val="left"/>
        <w:textAlignment w:val="auto"/>
        <w:rPr>
          <w:rFonts w:hint="eastAsia" w:ascii="黑体" w:hAnsi="黑体" w:eastAsia="黑体" w:cs="黑体"/>
          <w:color w:val="000000"/>
          <w:sz w:val="32"/>
          <w:lang w:eastAsia="zh-CN"/>
        </w:rPr>
      </w:pPr>
      <w:r>
        <w:rPr>
          <w:rFonts w:hint="default" w:ascii="Times New Roman" w:hAnsi="Times New Roman" w:eastAsia="黑体"/>
          <w:color w:val="000000"/>
          <w:sz w:val="32"/>
        </w:rPr>
        <w:br w:type="page"/>
      </w:r>
    </w:p>
    <w:p>
      <w:pPr>
        <w:keepNext w:val="0"/>
        <w:keepLines w:val="0"/>
        <w:pageBreakBefore w:val="0"/>
        <w:widowControl/>
        <w:suppressLineNumbers w:val="0"/>
        <w:kinsoku/>
        <w:wordWrap/>
        <w:overflowPunct/>
        <w:topLinePunct w:val="0"/>
        <w:autoSpaceDE/>
        <w:autoSpaceDN/>
        <w:bidi w:val="0"/>
        <w:adjustRightInd/>
        <w:snapToGrid/>
        <w:spacing w:line="700" w:lineRule="exact"/>
        <w:ind w:left="0" w:leftChars="0" w:firstLine="0" w:firstLineChars="0"/>
        <w:jc w:val="both"/>
        <w:textAlignment w:val="center"/>
        <w:rPr>
          <w:rFonts w:hint="eastAsia" w:ascii="黑体" w:hAnsi="黑体" w:eastAsia="黑体" w:cs="黑体"/>
          <w:i w:val="0"/>
          <w:color w:val="auto"/>
          <w:kern w:val="0"/>
          <w:sz w:val="32"/>
          <w:szCs w:val="32"/>
          <w:u w:val="none"/>
          <w:lang w:val="en-US" w:eastAsia="zh-CN" w:bidi="ar"/>
        </w:rPr>
      </w:pPr>
      <w:r>
        <w:rPr>
          <w:rFonts w:hint="eastAsia" w:ascii="黑体" w:hAnsi="黑体" w:eastAsia="黑体" w:cs="黑体"/>
          <w:i w:val="0"/>
          <w:color w:val="auto"/>
          <w:kern w:val="0"/>
          <w:sz w:val="32"/>
          <w:szCs w:val="32"/>
          <w:u w:val="none"/>
          <w:lang w:val="en-US" w:eastAsia="zh-CN" w:bidi="ar"/>
        </w:rPr>
        <w:t>附件3</w:t>
      </w:r>
    </w:p>
    <w:p>
      <w:pPr>
        <w:keepNext w:val="0"/>
        <w:keepLines w:val="0"/>
        <w:pageBreakBefore w:val="0"/>
        <w:widowControl/>
        <w:suppressLineNumbers w:val="0"/>
        <w:kinsoku/>
        <w:wordWrap/>
        <w:overflowPunct/>
        <w:topLinePunct w:val="0"/>
        <w:autoSpaceDE/>
        <w:autoSpaceDN/>
        <w:bidi w:val="0"/>
        <w:adjustRightInd/>
        <w:snapToGrid/>
        <w:spacing w:line="700" w:lineRule="exact"/>
        <w:ind w:left="0" w:leftChars="0" w:firstLine="0" w:firstLineChars="0"/>
        <w:jc w:val="center"/>
        <w:textAlignment w:val="center"/>
        <w:rPr>
          <w:rFonts w:hint="eastAsia" w:ascii="方正小标宋简体" w:hAnsi="方正小标宋简体" w:eastAsia="方正小标宋简体" w:cs="方正小标宋简体"/>
          <w:i w:val="0"/>
          <w:color w:val="auto"/>
          <w:kern w:val="0"/>
          <w:sz w:val="44"/>
          <w:szCs w:val="44"/>
          <w:u w:val="none"/>
          <w:lang w:val="en-US" w:eastAsia="zh-CN" w:bidi="ar"/>
        </w:rPr>
      </w:pPr>
      <w:r>
        <w:rPr>
          <w:rFonts w:hint="eastAsia" w:ascii="方正小标宋简体" w:hAnsi="方正小标宋简体" w:eastAsia="方正小标宋简体" w:cs="方正小标宋简体"/>
          <w:i w:val="0"/>
          <w:color w:val="auto"/>
          <w:kern w:val="0"/>
          <w:sz w:val="44"/>
          <w:szCs w:val="44"/>
          <w:u w:val="none"/>
          <w:lang w:val="en-US" w:eastAsia="zh-CN" w:bidi="ar"/>
        </w:rPr>
        <w:t>东至县危险废物重点监管经营单位清单</w:t>
      </w:r>
    </w:p>
    <w:p>
      <w:pPr>
        <w:pStyle w:val="2"/>
        <w:rPr>
          <w:rFonts w:hint="eastAsia"/>
          <w:lang w:val="en-US" w:eastAsia="zh-CN"/>
        </w:rPr>
      </w:pPr>
    </w:p>
    <w:tbl>
      <w:tblPr>
        <w:tblStyle w:val="7"/>
        <w:tblW w:w="0" w:type="auto"/>
        <w:jc w:val="center"/>
        <w:tblLayout w:type="fixed"/>
        <w:tblCellMar>
          <w:top w:w="0" w:type="dxa"/>
          <w:left w:w="0" w:type="dxa"/>
          <w:bottom w:w="0" w:type="dxa"/>
          <w:right w:w="0" w:type="dxa"/>
        </w:tblCellMar>
      </w:tblPr>
      <w:tblGrid>
        <w:gridCol w:w="733"/>
        <w:gridCol w:w="782"/>
        <w:gridCol w:w="1372"/>
        <w:gridCol w:w="1174"/>
        <w:gridCol w:w="1139"/>
        <w:gridCol w:w="4674"/>
        <w:gridCol w:w="1152"/>
        <w:gridCol w:w="1084"/>
        <w:gridCol w:w="741"/>
        <w:gridCol w:w="640"/>
        <w:gridCol w:w="1176"/>
      </w:tblGrid>
      <w:tr>
        <w:tblPrEx>
          <w:tblCellMar>
            <w:top w:w="0" w:type="dxa"/>
            <w:left w:w="0" w:type="dxa"/>
            <w:bottom w:w="0" w:type="dxa"/>
            <w:right w:w="0" w:type="dxa"/>
          </w:tblCellMar>
        </w:tblPrEx>
        <w:trPr>
          <w:trHeight w:val="23" w:hRule="atLeast"/>
          <w:tblHeader/>
          <w:jc w:val="center"/>
        </w:trPr>
        <w:tc>
          <w:tcPr>
            <w:tcW w:w="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黑体" w:hAnsi="黑体" w:eastAsia="黑体" w:cs="黑体"/>
                <w:i w:val="0"/>
                <w:color w:val="auto"/>
                <w:kern w:val="0"/>
                <w:sz w:val="21"/>
                <w:szCs w:val="21"/>
                <w:u w:val="none"/>
                <w:lang w:val="en-US" w:eastAsia="zh-CN" w:bidi="ar"/>
              </w:rPr>
            </w:pPr>
            <w:r>
              <w:rPr>
                <w:rFonts w:hint="eastAsia" w:ascii="黑体" w:hAnsi="黑体" w:eastAsia="黑体" w:cs="黑体"/>
                <w:i w:val="0"/>
                <w:color w:val="auto"/>
                <w:kern w:val="0"/>
                <w:sz w:val="21"/>
                <w:szCs w:val="21"/>
                <w:u w:val="none"/>
                <w:lang w:val="en-US" w:eastAsia="zh-CN" w:bidi="ar"/>
              </w:rPr>
              <w:t>地市</w:t>
            </w:r>
          </w:p>
        </w:tc>
        <w:tc>
          <w:tcPr>
            <w:tcW w:w="7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黑体" w:hAnsi="黑体" w:eastAsia="黑体" w:cs="黑体"/>
                <w:i w:val="0"/>
                <w:color w:val="auto"/>
                <w:kern w:val="0"/>
                <w:sz w:val="21"/>
                <w:szCs w:val="21"/>
                <w:u w:val="none"/>
                <w:lang w:val="en-US" w:eastAsia="zh-CN" w:bidi="ar"/>
              </w:rPr>
            </w:pPr>
            <w:r>
              <w:rPr>
                <w:rFonts w:hint="eastAsia" w:ascii="黑体" w:hAnsi="黑体" w:eastAsia="黑体" w:cs="黑体"/>
                <w:i w:val="0"/>
                <w:color w:val="auto"/>
                <w:kern w:val="0"/>
                <w:sz w:val="21"/>
                <w:szCs w:val="21"/>
                <w:u w:val="none"/>
                <w:lang w:val="en-US" w:eastAsia="zh-CN" w:bidi="ar"/>
              </w:rPr>
              <w:t>区县</w:t>
            </w:r>
          </w:p>
        </w:tc>
        <w:tc>
          <w:tcPr>
            <w:tcW w:w="1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黑体" w:hAnsi="黑体" w:eastAsia="黑体" w:cs="黑体"/>
                <w:i w:val="0"/>
                <w:color w:val="auto"/>
                <w:kern w:val="0"/>
                <w:sz w:val="21"/>
                <w:szCs w:val="21"/>
                <w:u w:val="none"/>
                <w:lang w:val="en-US" w:eastAsia="zh-CN" w:bidi="ar"/>
              </w:rPr>
            </w:pPr>
            <w:r>
              <w:rPr>
                <w:rFonts w:hint="eastAsia" w:ascii="黑体" w:hAnsi="黑体" w:eastAsia="黑体" w:cs="黑体"/>
                <w:i w:val="0"/>
                <w:color w:val="auto"/>
                <w:kern w:val="0"/>
                <w:sz w:val="21"/>
                <w:szCs w:val="21"/>
                <w:u w:val="none"/>
                <w:lang w:val="en-US" w:eastAsia="zh-CN" w:bidi="ar"/>
              </w:rPr>
              <w:t>企业名称</w:t>
            </w:r>
          </w:p>
        </w:tc>
        <w:tc>
          <w:tcPr>
            <w:tcW w:w="11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黑体" w:hAnsi="黑体" w:eastAsia="黑体" w:cs="黑体"/>
                <w:i w:val="0"/>
                <w:color w:val="auto"/>
                <w:kern w:val="0"/>
                <w:sz w:val="21"/>
                <w:szCs w:val="21"/>
                <w:u w:val="none"/>
                <w:lang w:val="en-US" w:eastAsia="zh-CN" w:bidi="ar"/>
              </w:rPr>
            </w:pPr>
            <w:r>
              <w:rPr>
                <w:rFonts w:hint="eastAsia" w:ascii="黑体" w:hAnsi="黑体" w:eastAsia="黑体" w:cs="黑体"/>
                <w:i w:val="0"/>
                <w:color w:val="auto"/>
                <w:kern w:val="0"/>
                <w:sz w:val="21"/>
                <w:szCs w:val="21"/>
                <w:u w:val="none"/>
                <w:lang w:val="en-US" w:eastAsia="zh-CN" w:bidi="ar"/>
              </w:rPr>
              <w:t>首次发证</w:t>
            </w:r>
            <w:r>
              <w:rPr>
                <w:rFonts w:hint="eastAsia" w:ascii="黑体" w:hAnsi="黑体" w:eastAsia="黑体" w:cs="黑体"/>
                <w:i w:val="0"/>
                <w:color w:val="auto"/>
                <w:kern w:val="0"/>
                <w:sz w:val="21"/>
                <w:szCs w:val="21"/>
                <w:u w:val="none"/>
                <w:lang w:val="en-US" w:eastAsia="zh-CN" w:bidi="ar"/>
              </w:rPr>
              <w:br w:type="textWrapping"/>
            </w:r>
            <w:r>
              <w:rPr>
                <w:rFonts w:hint="eastAsia" w:ascii="黑体" w:hAnsi="黑体" w:eastAsia="黑体" w:cs="黑体"/>
                <w:i w:val="0"/>
                <w:color w:val="auto"/>
                <w:kern w:val="0"/>
                <w:sz w:val="21"/>
                <w:szCs w:val="21"/>
                <w:u w:val="none"/>
                <w:lang w:val="en-US" w:eastAsia="zh-CN" w:bidi="ar"/>
              </w:rPr>
              <w:t>时间</w:t>
            </w:r>
          </w:p>
        </w:tc>
        <w:tc>
          <w:tcPr>
            <w:tcW w:w="113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黑体" w:hAnsi="黑体" w:eastAsia="黑体" w:cs="黑体"/>
                <w:i w:val="0"/>
                <w:color w:val="auto"/>
                <w:kern w:val="0"/>
                <w:sz w:val="21"/>
                <w:szCs w:val="21"/>
                <w:u w:val="none"/>
                <w:lang w:val="en-US" w:eastAsia="zh-CN" w:bidi="ar"/>
              </w:rPr>
            </w:pPr>
            <w:r>
              <w:rPr>
                <w:rFonts w:hint="eastAsia" w:ascii="黑体" w:hAnsi="黑体" w:eastAsia="黑体" w:cs="黑体"/>
                <w:i w:val="0"/>
                <w:color w:val="auto"/>
                <w:kern w:val="0"/>
                <w:sz w:val="21"/>
                <w:szCs w:val="21"/>
                <w:u w:val="none"/>
                <w:lang w:val="en-US" w:eastAsia="zh-CN" w:bidi="ar"/>
              </w:rPr>
              <w:t>有效期至</w:t>
            </w:r>
          </w:p>
        </w:tc>
        <w:tc>
          <w:tcPr>
            <w:tcW w:w="4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黑体" w:hAnsi="黑体" w:eastAsia="黑体" w:cs="黑体"/>
                <w:i w:val="0"/>
                <w:color w:val="auto"/>
                <w:kern w:val="0"/>
                <w:sz w:val="21"/>
                <w:szCs w:val="21"/>
                <w:u w:val="none"/>
                <w:lang w:val="en-US" w:eastAsia="zh-CN" w:bidi="ar"/>
              </w:rPr>
            </w:pPr>
            <w:r>
              <w:rPr>
                <w:rFonts w:hint="eastAsia" w:ascii="黑体" w:hAnsi="黑体" w:eastAsia="黑体" w:cs="黑体"/>
                <w:i w:val="0"/>
                <w:color w:val="auto"/>
                <w:kern w:val="0"/>
                <w:sz w:val="21"/>
                <w:szCs w:val="21"/>
                <w:u w:val="none"/>
                <w:lang w:val="en-US" w:eastAsia="zh-CN" w:bidi="ar"/>
              </w:rPr>
              <w:t>危废类别</w:t>
            </w:r>
          </w:p>
        </w:tc>
        <w:tc>
          <w:tcPr>
            <w:tcW w:w="11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黑体" w:hAnsi="黑体" w:eastAsia="黑体" w:cs="黑体"/>
                <w:i w:val="0"/>
                <w:color w:val="auto"/>
                <w:kern w:val="0"/>
                <w:sz w:val="21"/>
                <w:szCs w:val="21"/>
                <w:u w:val="none"/>
                <w:lang w:val="en-US" w:eastAsia="zh-CN" w:bidi="ar"/>
              </w:rPr>
            </w:pPr>
            <w:r>
              <w:rPr>
                <w:rFonts w:hint="eastAsia" w:ascii="黑体" w:hAnsi="黑体" w:eastAsia="黑体" w:cs="黑体"/>
                <w:i w:val="0"/>
                <w:color w:val="auto"/>
                <w:kern w:val="0"/>
                <w:sz w:val="21"/>
                <w:szCs w:val="21"/>
                <w:u w:val="none"/>
                <w:lang w:val="en-US" w:eastAsia="zh-CN" w:bidi="ar"/>
              </w:rPr>
              <w:t>经营方式</w:t>
            </w:r>
          </w:p>
        </w:tc>
        <w:tc>
          <w:tcPr>
            <w:tcW w:w="10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黑体" w:hAnsi="黑体" w:eastAsia="黑体" w:cs="黑体"/>
                <w:i w:val="0"/>
                <w:color w:val="auto"/>
                <w:kern w:val="0"/>
                <w:sz w:val="21"/>
                <w:szCs w:val="21"/>
                <w:u w:val="none"/>
                <w:lang w:val="en-US" w:eastAsia="zh-CN" w:bidi="ar"/>
              </w:rPr>
            </w:pPr>
            <w:r>
              <w:rPr>
                <w:rFonts w:hint="eastAsia" w:ascii="黑体" w:hAnsi="黑体" w:eastAsia="黑体" w:cs="黑体"/>
                <w:i w:val="0"/>
                <w:color w:val="auto"/>
                <w:kern w:val="0"/>
                <w:sz w:val="21"/>
                <w:szCs w:val="21"/>
                <w:u w:val="none"/>
                <w:lang w:val="en-US" w:eastAsia="zh-CN" w:bidi="ar"/>
              </w:rPr>
              <w:t>经营规模</w:t>
            </w:r>
            <w:r>
              <w:rPr>
                <w:rFonts w:hint="eastAsia" w:ascii="黑体" w:hAnsi="黑体" w:eastAsia="黑体" w:cs="黑体"/>
                <w:i w:val="0"/>
                <w:color w:val="auto"/>
                <w:kern w:val="0"/>
                <w:sz w:val="21"/>
                <w:szCs w:val="21"/>
                <w:u w:val="none"/>
                <w:lang w:val="en-US" w:eastAsia="zh-CN" w:bidi="ar"/>
              </w:rPr>
              <w:br w:type="textWrapping"/>
            </w:r>
            <w:r>
              <w:rPr>
                <w:rFonts w:hint="eastAsia" w:ascii="黑体" w:hAnsi="黑体" w:eastAsia="黑体" w:cs="黑体"/>
                <w:i w:val="0"/>
                <w:color w:val="auto"/>
                <w:kern w:val="0"/>
                <w:sz w:val="21"/>
                <w:szCs w:val="21"/>
                <w:u w:val="none"/>
                <w:lang w:val="en-US" w:eastAsia="zh-CN" w:bidi="ar"/>
              </w:rPr>
              <w:t>（吨/年）</w:t>
            </w:r>
          </w:p>
        </w:tc>
        <w:tc>
          <w:tcPr>
            <w:tcW w:w="741" w:type="dxa"/>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黑体" w:hAnsi="黑体" w:eastAsia="黑体" w:cs="黑体"/>
                <w:i w:val="0"/>
                <w:color w:val="auto"/>
                <w:kern w:val="0"/>
                <w:sz w:val="21"/>
                <w:szCs w:val="21"/>
                <w:u w:val="none"/>
                <w:lang w:val="en-US" w:eastAsia="zh-CN" w:bidi="ar"/>
              </w:rPr>
            </w:pPr>
            <w:r>
              <w:rPr>
                <w:rFonts w:hint="eastAsia" w:ascii="黑体" w:hAnsi="黑体" w:eastAsia="黑体" w:cs="黑体"/>
                <w:i w:val="0"/>
                <w:color w:val="auto"/>
                <w:kern w:val="0"/>
                <w:sz w:val="21"/>
                <w:szCs w:val="21"/>
                <w:u w:val="none"/>
                <w:lang w:val="en-US" w:eastAsia="zh-CN" w:bidi="ar"/>
              </w:rPr>
              <w:t>证书</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黑体" w:hAnsi="黑体" w:eastAsia="黑体" w:cs="黑体"/>
                <w:i w:val="0"/>
                <w:color w:val="auto"/>
                <w:kern w:val="0"/>
                <w:sz w:val="21"/>
                <w:szCs w:val="21"/>
                <w:u w:val="none"/>
                <w:lang w:val="en-US" w:eastAsia="zh-CN" w:bidi="ar"/>
              </w:rPr>
            </w:pPr>
            <w:r>
              <w:rPr>
                <w:rFonts w:hint="eastAsia" w:ascii="黑体" w:hAnsi="黑体" w:eastAsia="黑体" w:cs="黑体"/>
                <w:i w:val="0"/>
                <w:color w:val="auto"/>
                <w:kern w:val="0"/>
                <w:sz w:val="21"/>
                <w:szCs w:val="21"/>
                <w:u w:val="none"/>
                <w:lang w:val="en-US" w:eastAsia="zh-CN" w:bidi="ar"/>
              </w:rPr>
              <w:t>编号</w:t>
            </w:r>
          </w:p>
        </w:tc>
        <w:tc>
          <w:tcPr>
            <w:tcW w:w="6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黑体" w:hAnsi="黑体" w:eastAsia="黑体" w:cs="黑体"/>
                <w:i w:val="0"/>
                <w:color w:val="auto"/>
                <w:kern w:val="0"/>
                <w:sz w:val="21"/>
                <w:szCs w:val="21"/>
                <w:u w:val="none"/>
                <w:lang w:val="en-US" w:eastAsia="zh-CN" w:bidi="ar"/>
              </w:rPr>
            </w:pPr>
            <w:r>
              <w:rPr>
                <w:rFonts w:hint="eastAsia" w:ascii="黑体" w:hAnsi="黑体" w:eastAsia="黑体" w:cs="黑体"/>
                <w:i w:val="0"/>
                <w:color w:val="auto"/>
                <w:kern w:val="0"/>
                <w:sz w:val="21"/>
                <w:szCs w:val="21"/>
                <w:u w:val="none"/>
                <w:lang w:val="en-US" w:eastAsia="zh-CN" w:bidi="ar"/>
              </w:rPr>
              <w:t>经营状态</w:t>
            </w:r>
          </w:p>
        </w:tc>
        <w:tc>
          <w:tcPr>
            <w:tcW w:w="117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黑体" w:hAnsi="黑体" w:eastAsia="黑体" w:cs="黑体"/>
                <w:i w:val="0"/>
                <w:color w:val="auto"/>
                <w:kern w:val="0"/>
                <w:sz w:val="21"/>
                <w:szCs w:val="21"/>
                <w:u w:val="none"/>
                <w:lang w:val="en-US" w:eastAsia="zh-CN" w:bidi="ar"/>
              </w:rPr>
            </w:pPr>
            <w:r>
              <w:rPr>
                <w:rFonts w:hint="eastAsia" w:ascii="黑体" w:hAnsi="黑体" w:eastAsia="黑体" w:cs="黑体"/>
                <w:i w:val="0"/>
                <w:color w:val="auto"/>
                <w:kern w:val="0"/>
                <w:sz w:val="21"/>
                <w:szCs w:val="21"/>
                <w:u w:val="none"/>
                <w:lang w:val="en-US" w:eastAsia="zh-CN" w:bidi="ar"/>
              </w:rPr>
              <w:t>备注</w:t>
            </w:r>
          </w:p>
        </w:tc>
      </w:tr>
      <w:tr>
        <w:tblPrEx>
          <w:tblCellMar>
            <w:top w:w="0" w:type="dxa"/>
            <w:left w:w="0" w:type="dxa"/>
            <w:bottom w:w="0" w:type="dxa"/>
            <w:right w:w="0" w:type="dxa"/>
          </w:tblCellMar>
        </w:tblPrEx>
        <w:trPr>
          <w:trHeight w:val="23" w:hRule="atLeast"/>
          <w:tblHeader/>
          <w:jc w:val="center"/>
        </w:trPr>
        <w:tc>
          <w:tcPr>
            <w:tcW w:w="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w:t>
            </w:r>
          </w:p>
        </w:tc>
        <w:tc>
          <w:tcPr>
            <w:tcW w:w="7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w:t>
            </w:r>
          </w:p>
        </w:tc>
        <w:tc>
          <w:tcPr>
            <w:tcW w:w="1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安徽仕佰化工有限公司</w:t>
            </w:r>
          </w:p>
        </w:tc>
        <w:tc>
          <w:tcPr>
            <w:tcW w:w="11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2022年8月25日</w:t>
            </w:r>
          </w:p>
        </w:tc>
        <w:tc>
          <w:tcPr>
            <w:tcW w:w="113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2027年8月24日</w:t>
            </w:r>
          </w:p>
        </w:tc>
        <w:tc>
          <w:tcPr>
            <w:tcW w:w="4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HW34（900-300-34、900-304-34、900-308-34）</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HW48（321-024-48、321-026-48、321-034-48）</w:t>
            </w:r>
          </w:p>
        </w:tc>
        <w:tc>
          <w:tcPr>
            <w:tcW w:w="11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收集、贮存、利用</w:t>
            </w:r>
          </w:p>
        </w:tc>
        <w:tc>
          <w:tcPr>
            <w:tcW w:w="10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62000</w:t>
            </w:r>
          </w:p>
        </w:tc>
        <w:tc>
          <w:tcPr>
            <w:tcW w:w="741" w:type="dxa"/>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341721003</w:t>
            </w:r>
          </w:p>
        </w:tc>
        <w:tc>
          <w:tcPr>
            <w:tcW w:w="6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正常</w:t>
            </w:r>
          </w:p>
        </w:tc>
        <w:tc>
          <w:tcPr>
            <w:tcW w:w="117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p>
        </w:tc>
      </w:tr>
      <w:tr>
        <w:tblPrEx>
          <w:tblCellMar>
            <w:top w:w="0" w:type="dxa"/>
            <w:left w:w="0" w:type="dxa"/>
            <w:bottom w:w="0" w:type="dxa"/>
            <w:right w:w="0" w:type="dxa"/>
          </w:tblCellMar>
        </w:tblPrEx>
        <w:trPr>
          <w:trHeight w:val="23" w:hRule="atLeast"/>
          <w:tblHeader/>
          <w:jc w:val="center"/>
        </w:trPr>
        <w:tc>
          <w:tcPr>
            <w:tcW w:w="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w:t>
            </w:r>
          </w:p>
        </w:tc>
        <w:tc>
          <w:tcPr>
            <w:tcW w:w="7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东至</w:t>
            </w:r>
          </w:p>
        </w:tc>
        <w:tc>
          <w:tcPr>
            <w:tcW w:w="1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池州新赛德颜料有限公司</w:t>
            </w:r>
          </w:p>
        </w:tc>
        <w:tc>
          <w:tcPr>
            <w:tcW w:w="11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2022年4月6日</w:t>
            </w:r>
          </w:p>
        </w:tc>
        <w:tc>
          <w:tcPr>
            <w:tcW w:w="113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2027年4月5日</w:t>
            </w:r>
          </w:p>
        </w:tc>
        <w:tc>
          <w:tcPr>
            <w:tcW w:w="4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混合二氯苯（氯苯生产过程中的蒸馏及分馏残渣261-026-11）</w:t>
            </w:r>
          </w:p>
        </w:tc>
        <w:tc>
          <w:tcPr>
            <w:tcW w:w="11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收集、贮存、利用</w:t>
            </w:r>
          </w:p>
        </w:tc>
        <w:tc>
          <w:tcPr>
            <w:tcW w:w="10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8000</w:t>
            </w:r>
          </w:p>
        </w:tc>
        <w:tc>
          <w:tcPr>
            <w:tcW w:w="741" w:type="dxa"/>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341721002</w:t>
            </w:r>
          </w:p>
        </w:tc>
        <w:tc>
          <w:tcPr>
            <w:tcW w:w="6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正常</w:t>
            </w:r>
          </w:p>
        </w:tc>
        <w:tc>
          <w:tcPr>
            <w:tcW w:w="117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color w:val="auto"/>
                <w:kern w:val="0"/>
                <w:sz w:val="21"/>
                <w:szCs w:val="21"/>
                <w:u w:val="none"/>
                <w:lang w:val="en-US" w:eastAsia="zh-CN" w:bidi="ar"/>
              </w:rPr>
            </w:pPr>
          </w:p>
        </w:tc>
      </w:tr>
    </w:tbl>
    <w:p>
      <w:pPr>
        <w:pStyle w:val="2"/>
        <w:ind w:left="0" w:leftChars="0" w:firstLine="0" w:firstLineChars="0"/>
        <w:rPr>
          <w:rFonts w:hint="eastAsia"/>
        </w:rPr>
      </w:pPr>
    </w:p>
    <w:sectPr>
      <w:pgSz w:w="16838" w:h="11906" w:orient="landscape"/>
      <w:pgMar w:top="1800" w:right="1440" w:bottom="1800" w:left="1440" w:header="851" w:footer="992" w:gutter="0"/>
      <w:cols w:space="0" w:num="1"/>
      <w:rtlGutter w:val="0"/>
      <w:docGrid w:type="lines" w:linePitch="44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dit="forms" w:enforcement="0"/>
  <w:defaultTabStop w:val="420"/>
  <w:drawingGridVerticalSpacing w:val="156"/>
  <w:displayHorizontalDrawingGridEvery w:val="1"/>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hiNjY2NjkyNTk2MmQ0OTk2Yzg5MDcyMDQyYmRiNGUifQ=="/>
  </w:docVars>
  <w:rsids>
    <w:rsidRoot w:val="163E5FD7"/>
    <w:rsid w:val="0003255E"/>
    <w:rsid w:val="00033E1C"/>
    <w:rsid w:val="000B7DDF"/>
    <w:rsid w:val="00156C85"/>
    <w:rsid w:val="00407D72"/>
    <w:rsid w:val="005D30E8"/>
    <w:rsid w:val="007812E1"/>
    <w:rsid w:val="008026B9"/>
    <w:rsid w:val="008C1BB2"/>
    <w:rsid w:val="00A57239"/>
    <w:rsid w:val="00B00934"/>
    <w:rsid w:val="00B069D9"/>
    <w:rsid w:val="00B333CD"/>
    <w:rsid w:val="00B72202"/>
    <w:rsid w:val="00C26AF3"/>
    <w:rsid w:val="00E52D3F"/>
    <w:rsid w:val="00F843E0"/>
    <w:rsid w:val="00FA1496"/>
    <w:rsid w:val="010F1A54"/>
    <w:rsid w:val="0121120A"/>
    <w:rsid w:val="012334F3"/>
    <w:rsid w:val="01357E54"/>
    <w:rsid w:val="015004E3"/>
    <w:rsid w:val="01541917"/>
    <w:rsid w:val="01583748"/>
    <w:rsid w:val="01842100"/>
    <w:rsid w:val="01916266"/>
    <w:rsid w:val="01923F31"/>
    <w:rsid w:val="019C7D3D"/>
    <w:rsid w:val="01A2650E"/>
    <w:rsid w:val="01B97840"/>
    <w:rsid w:val="01BA3331"/>
    <w:rsid w:val="01CE536A"/>
    <w:rsid w:val="01FC604E"/>
    <w:rsid w:val="020D6AA4"/>
    <w:rsid w:val="022D0315"/>
    <w:rsid w:val="023605F8"/>
    <w:rsid w:val="023A544D"/>
    <w:rsid w:val="023B4637"/>
    <w:rsid w:val="02673143"/>
    <w:rsid w:val="027D2C1A"/>
    <w:rsid w:val="028663CE"/>
    <w:rsid w:val="028A110C"/>
    <w:rsid w:val="028D605B"/>
    <w:rsid w:val="028F4DB0"/>
    <w:rsid w:val="02A85660"/>
    <w:rsid w:val="02AC599B"/>
    <w:rsid w:val="02C91FF7"/>
    <w:rsid w:val="02CA3E3E"/>
    <w:rsid w:val="02D01E3A"/>
    <w:rsid w:val="02EA7AE9"/>
    <w:rsid w:val="02F063BD"/>
    <w:rsid w:val="02F81910"/>
    <w:rsid w:val="030D30A0"/>
    <w:rsid w:val="030E6EAC"/>
    <w:rsid w:val="03113095"/>
    <w:rsid w:val="03164D33"/>
    <w:rsid w:val="031C2494"/>
    <w:rsid w:val="032E6959"/>
    <w:rsid w:val="0353027D"/>
    <w:rsid w:val="03545F9E"/>
    <w:rsid w:val="03592302"/>
    <w:rsid w:val="03776836"/>
    <w:rsid w:val="03791D00"/>
    <w:rsid w:val="039D5FB9"/>
    <w:rsid w:val="03A91E1E"/>
    <w:rsid w:val="03B0444C"/>
    <w:rsid w:val="03B407D1"/>
    <w:rsid w:val="03C657E8"/>
    <w:rsid w:val="03DE24A9"/>
    <w:rsid w:val="03DE5CBE"/>
    <w:rsid w:val="03E00C7D"/>
    <w:rsid w:val="03E4256E"/>
    <w:rsid w:val="03E53254"/>
    <w:rsid w:val="03EB7741"/>
    <w:rsid w:val="03F07D98"/>
    <w:rsid w:val="03F47B23"/>
    <w:rsid w:val="040E20C9"/>
    <w:rsid w:val="041F7E18"/>
    <w:rsid w:val="04282D8B"/>
    <w:rsid w:val="043B3F02"/>
    <w:rsid w:val="044A28B5"/>
    <w:rsid w:val="045848E6"/>
    <w:rsid w:val="047911EC"/>
    <w:rsid w:val="048E05D3"/>
    <w:rsid w:val="048E0D5B"/>
    <w:rsid w:val="048F3EEA"/>
    <w:rsid w:val="0491183B"/>
    <w:rsid w:val="04CB5B7D"/>
    <w:rsid w:val="04D429E7"/>
    <w:rsid w:val="04E602F4"/>
    <w:rsid w:val="04E6483F"/>
    <w:rsid w:val="050422E5"/>
    <w:rsid w:val="05113C2C"/>
    <w:rsid w:val="0524636C"/>
    <w:rsid w:val="052C56A7"/>
    <w:rsid w:val="053016E6"/>
    <w:rsid w:val="05357731"/>
    <w:rsid w:val="05570300"/>
    <w:rsid w:val="056441B7"/>
    <w:rsid w:val="056D5CB6"/>
    <w:rsid w:val="05785B8F"/>
    <w:rsid w:val="058A1495"/>
    <w:rsid w:val="058C56CF"/>
    <w:rsid w:val="05903D3F"/>
    <w:rsid w:val="059437E0"/>
    <w:rsid w:val="05983A2F"/>
    <w:rsid w:val="05B259CF"/>
    <w:rsid w:val="05C81943"/>
    <w:rsid w:val="05EE5887"/>
    <w:rsid w:val="05F005E1"/>
    <w:rsid w:val="05F45878"/>
    <w:rsid w:val="05FD3C8D"/>
    <w:rsid w:val="06104F12"/>
    <w:rsid w:val="06115414"/>
    <w:rsid w:val="061C589C"/>
    <w:rsid w:val="0629221B"/>
    <w:rsid w:val="063522F4"/>
    <w:rsid w:val="063B41D6"/>
    <w:rsid w:val="06424B2C"/>
    <w:rsid w:val="06515B41"/>
    <w:rsid w:val="066026E3"/>
    <w:rsid w:val="06635285"/>
    <w:rsid w:val="066D1A87"/>
    <w:rsid w:val="06775D3D"/>
    <w:rsid w:val="06787AAB"/>
    <w:rsid w:val="06AC293A"/>
    <w:rsid w:val="06AF2938"/>
    <w:rsid w:val="06B92F1B"/>
    <w:rsid w:val="06C113D9"/>
    <w:rsid w:val="06C22BA0"/>
    <w:rsid w:val="06C91EE7"/>
    <w:rsid w:val="06CA6ACD"/>
    <w:rsid w:val="06CC091A"/>
    <w:rsid w:val="06D92AE6"/>
    <w:rsid w:val="06E11380"/>
    <w:rsid w:val="07294954"/>
    <w:rsid w:val="07407B3C"/>
    <w:rsid w:val="0749625C"/>
    <w:rsid w:val="07693909"/>
    <w:rsid w:val="07707257"/>
    <w:rsid w:val="079566CC"/>
    <w:rsid w:val="07A732D0"/>
    <w:rsid w:val="07B21A69"/>
    <w:rsid w:val="07B803F3"/>
    <w:rsid w:val="07BC34F4"/>
    <w:rsid w:val="07EE09B2"/>
    <w:rsid w:val="07FF5D47"/>
    <w:rsid w:val="0803713D"/>
    <w:rsid w:val="08210315"/>
    <w:rsid w:val="08217A12"/>
    <w:rsid w:val="08472009"/>
    <w:rsid w:val="08515E9B"/>
    <w:rsid w:val="085C3D7C"/>
    <w:rsid w:val="085D34F2"/>
    <w:rsid w:val="085F6B98"/>
    <w:rsid w:val="087E2BD6"/>
    <w:rsid w:val="08874235"/>
    <w:rsid w:val="088A2535"/>
    <w:rsid w:val="08A9771C"/>
    <w:rsid w:val="08B3466C"/>
    <w:rsid w:val="08B56BBA"/>
    <w:rsid w:val="08BC46BF"/>
    <w:rsid w:val="08D65A93"/>
    <w:rsid w:val="08E307F0"/>
    <w:rsid w:val="08E7683B"/>
    <w:rsid w:val="08F4466B"/>
    <w:rsid w:val="08FC50C9"/>
    <w:rsid w:val="091700AB"/>
    <w:rsid w:val="092A354C"/>
    <w:rsid w:val="093820EC"/>
    <w:rsid w:val="093C3B39"/>
    <w:rsid w:val="09430D85"/>
    <w:rsid w:val="094F2A37"/>
    <w:rsid w:val="096208D0"/>
    <w:rsid w:val="096729F1"/>
    <w:rsid w:val="096B4FC3"/>
    <w:rsid w:val="097712B3"/>
    <w:rsid w:val="097874AB"/>
    <w:rsid w:val="0983374E"/>
    <w:rsid w:val="09A62FDC"/>
    <w:rsid w:val="09AA02E1"/>
    <w:rsid w:val="09BF2543"/>
    <w:rsid w:val="09D3488C"/>
    <w:rsid w:val="09D83C85"/>
    <w:rsid w:val="09DB1944"/>
    <w:rsid w:val="09DC74A3"/>
    <w:rsid w:val="0A1667D2"/>
    <w:rsid w:val="0A264791"/>
    <w:rsid w:val="0A266786"/>
    <w:rsid w:val="0A2B5B8F"/>
    <w:rsid w:val="0A42728B"/>
    <w:rsid w:val="0A595BAF"/>
    <w:rsid w:val="0A5C41D1"/>
    <w:rsid w:val="0A6D4CB6"/>
    <w:rsid w:val="0A862DEB"/>
    <w:rsid w:val="0AA8147C"/>
    <w:rsid w:val="0AB429F7"/>
    <w:rsid w:val="0ABD738D"/>
    <w:rsid w:val="0ADA091A"/>
    <w:rsid w:val="0AF17262"/>
    <w:rsid w:val="0AF73446"/>
    <w:rsid w:val="0B09255D"/>
    <w:rsid w:val="0B123A83"/>
    <w:rsid w:val="0B165DE7"/>
    <w:rsid w:val="0B1B31F9"/>
    <w:rsid w:val="0B1E0563"/>
    <w:rsid w:val="0B260C68"/>
    <w:rsid w:val="0B2F7BE7"/>
    <w:rsid w:val="0B315819"/>
    <w:rsid w:val="0B485AE5"/>
    <w:rsid w:val="0B7E0A4A"/>
    <w:rsid w:val="0B891FDD"/>
    <w:rsid w:val="0B936A53"/>
    <w:rsid w:val="0B950B1A"/>
    <w:rsid w:val="0BA24275"/>
    <w:rsid w:val="0BB150CE"/>
    <w:rsid w:val="0BC12A4D"/>
    <w:rsid w:val="0BD562CF"/>
    <w:rsid w:val="0BDF4A3F"/>
    <w:rsid w:val="0BE25A61"/>
    <w:rsid w:val="0BE624AD"/>
    <w:rsid w:val="0BE82BD7"/>
    <w:rsid w:val="0BF45990"/>
    <w:rsid w:val="0BFA0371"/>
    <w:rsid w:val="0BFD7BAA"/>
    <w:rsid w:val="0C0F1BAD"/>
    <w:rsid w:val="0C125C7A"/>
    <w:rsid w:val="0C3A3C7A"/>
    <w:rsid w:val="0C4A79F4"/>
    <w:rsid w:val="0C4F747E"/>
    <w:rsid w:val="0C5308A7"/>
    <w:rsid w:val="0C5E48E0"/>
    <w:rsid w:val="0C6038AD"/>
    <w:rsid w:val="0C6B251B"/>
    <w:rsid w:val="0C803E08"/>
    <w:rsid w:val="0C850CDB"/>
    <w:rsid w:val="0C8F6975"/>
    <w:rsid w:val="0CA67ABB"/>
    <w:rsid w:val="0CD40C8C"/>
    <w:rsid w:val="0CF06AD6"/>
    <w:rsid w:val="0CF416ED"/>
    <w:rsid w:val="0D085EF1"/>
    <w:rsid w:val="0D0F02E1"/>
    <w:rsid w:val="0D29633C"/>
    <w:rsid w:val="0D2A0444"/>
    <w:rsid w:val="0D48181A"/>
    <w:rsid w:val="0D495D3C"/>
    <w:rsid w:val="0D504922"/>
    <w:rsid w:val="0D603AA6"/>
    <w:rsid w:val="0D671FF7"/>
    <w:rsid w:val="0D6E7CD3"/>
    <w:rsid w:val="0D701572"/>
    <w:rsid w:val="0D7E51FD"/>
    <w:rsid w:val="0D7F7FAE"/>
    <w:rsid w:val="0D8A5937"/>
    <w:rsid w:val="0D99368A"/>
    <w:rsid w:val="0D9D018A"/>
    <w:rsid w:val="0DA36F2D"/>
    <w:rsid w:val="0DC62355"/>
    <w:rsid w:val="0DC628EF"/>
    <w:rsid w:val="0DC8198D"/>
    <w:rsid w:val="0DD33C3C"/>
    <w:rsid w:val="0DD3755C"/>
    <w:rsid w:val="0DE375BA"/>
    <w:rsid w:val="0DF45638"/>
    <w:rsid w:val="0E007270"/>
    <w:rsid w:val="0E136DF6"/>
    <w:rsid w:val="0E1834F6"/>
    <w:rsid w:val="0E1933C3"/>
    <w:rsid w:val="0E2672EA"/>
    <w:rsid w:val="0E38464C"/>
    <w:rsid w:val="0E4055EC"/>
    <w:rsid w:val="0E453BF5"/>
    <w:rsid w:val="0E5050EE"/>
    <w:rsid w:val="0E6252A9"/>
    <w:rsid w:val="0E66248C"/>
    <w:rsid w:val="0E667B33"/>
    <w:rsid w:val="0E7A175D"/>
    <w:rsid w:val="0E81312C"/>
    <w:rsid w:val="0E9173B1"/>
    <w:rsid w:val="0E9518F1"/>
    <w:rsid w:val="0EAE14D5"/>
    <w:rsid w:val="0EF965DF"/>
    <w:rsid w:val="0F0F0D22"/>
    <w:rsid w:val="0F262114"/>
    <w:rsid w:val="0F32736E"/>
    <w:rsid w:val="0F355A88"/>
    <w:rsid w:val="0F50435A"/>
    <w:rsid w:val="0F5E2A45"/>
    <w:rsid w:val="0F6C586B"/>
    <w:rsid w:val="0F9F6077"/>
    <w:rsid w:val="0FA743D4"/>
    <w:rsid w:val="0FC8444C"/>
    <w:rsid w:val="0FCB29CC"/>
    <w:rsid w:val="0FD26A95"/>
    <w:rsid w:val="0FD826C1"/>
    <w:rsid w:val="0FD92014"/>
    <w:rsid w:val="0FED0A3B"/>
    <w:rsid w:val="100359FC"/>
    <w:rsid w:val="1016004D"/>
    <w:rsid w:val="101E4F83"/>
    <w:rsid w:val="102574F6"/>
    <w:rsid w:val="102C54ED"/>
    <w:rsid w:val="102C6AFB"/>
    <w:rsid w:val="102D2C30"/>
    <w:rsid w:val="10337024"/>
    <w:rsid w:val="103540B2"/>
    <w:rsid w:val="10447F10"/>
    <w:rsid w:val="10644FF3"/>
    <w:rsid w:val="106E4701"/>
    <w:rsid w:val="10781D2F"/>
    <w:rsid w:val="107E62DF"/>
    <w:rsid w:val="10A95923"/>
    <w:rsid w:val="10C25A38"/>
    <w:rsid w:val="10C449E7"/>
    <w:rsid w:val="10C72F5D"/>
    <w:rsid w:val="10C81E54"/>
    <w:rsid w:val="10FE01C5"/>
    <w:rsid w:val="11027DD2"/>
    <w:rsid w:val="112D174D"/>
    <w:rsid w:val="112F654A"/>
    <w:rsid w:val="113C1C70"/>
    <w:rsid w:val="11522B58"/>
    <w:rsid w:val="115A0021"/>
    <w:rsid w:val="115A0329"/>
    <w:rsid w:val="115E6D40"/>
    <w:rsid w:val="115F0CBF"/>
    <w:rsid w:val="115F25ED"/>
    <w:rsid w:val="116C39C3"/>
    <w:rsid w:val="11772B00"/>
    <w:rsid w:val="117F106B"/>
    <w:rsid w:val="1191161B"/>
    <w:rsid w:val="11BB38A6"/>
    <w:rsid w:val="11BE0163"/>
    <w:rsid w:val="11C03AE3"/>
    <w:rsid w:val="11DC154B"/>
    <w:rsid w:val="11F415BE"/>
    <w:rsid w:val="120F0511"/>
    <w:rsid w:val="122B0309"/>
    <w:rsid w:val="124A61B1"/>
    <w:rsid w:val="1251187D"/>
    <w:rsid w:val="12593847"/>
    <w:rsid w:val="126121FD"/>
    <w:rsid w:val="12723C73"/>
    <w:rsid w:val="127401A5"/>
    <w:rsid w:val="12780EC3"/>
    <w:rsid w:val="129D1DEC"/>
    <w:rsid w:val="12A11B2B"/>
    <w:rsid w:val="12A61BC7"/>
    <w:rsid w:val="12A90B57"/>
    <w:rsid w:val="12C1407D"/>
    <w:rsid w:val="12D5356C"/>
    <w:rsid w:val="12F96ABF"/>
    <w:rsid w:val="13033DC6"/>
    <w:rsid w:val="13077444"/>
    <w:rsid w:val="130F6C94"/>
    <w:rsid w:val="132C0508"/>
    <w:rsid w:val="13390878"/>
    <w:rsid w:val="13614063"/>
    <w:rsid w:val="138E1A28"/>
    <w:rsid w:val="139732A6"/>
    <w:rsid w:val="139B158B"/>
    <w:rsid w:val="139F0234"/>
    <w:rsid w:val="13A36C0B"/>
    <w:rsid w:val="13AC3555"/>
    <w:rsid w:val="13CA29A2"/>
    <w:rsid w:val="13CD76D7"/>
    <w:rsid w:val="14211FDC"/>
    <w:rsid w:val="143878CF"/>
    <w:rsid w:val="145807E2"/>
    <w:rsid w:val="14630E8F"/>
    <w:rsid w:val="146A2165"/>
    <w:rsid w:val="14AD6A91"/>
    <w:rsid w:val="14B17EE1"/>
    <w:rsid w:val="14B367D5"/>
    <w:rsid w:val="14C62C17"/>
    <w:rsid w:val="14DF0F0E"/>
    <w:rsid w:val="14E37CD5"/>
    <w:rsid w:val="14F1711C"/>
    <w:rsid w:val="14F221DC"/>
    <w:rsid w:val="150F7FD1"/>
    <w:rsid w:val="15175977"/>
    <w:rsid w:val="1529710C"/>
    <w:rsid w:val="1541369C"/>
    <w:rsid w:val="156D5B66"/>
    <w:rsid w:val="157B74D8"/>
    <w:rsid w:val="1581648F"/>
    <w:rsid w:val="158535AB"/>
    <w:rsid w:val="158C1A22"/>
    <w:rsid w:val="15A9145A"/>
    <w:rsid w:val="15BC04A9"/>
    <w:rsid w:val="160102D1"/>
    <w:rsid w:val="16065787"/>
    <w:rsid w:val="161C7CF2"/>
    <w:rsid w:val="162472BD"/>
    <w:rsid w:val="16273FE4"/>
    <w:rsid w:val="16277A42"/>
    <w:rsid w:val="162F1517"/>
    <w:rsid w:val="16321D01"/>
    <w:rsid w:val="16386420"/>
    <w:rsid w:val="163E5FD7"/>
    <w:rsid w:val="1649216B"/>
    <w:rsid w:val="164B6481"/>
    <w:rsid w:val="164F65DC"/>
    <w:rsid w:val="1665549C"/>
    <w:rsid w:val="16744C2B"/>
    <w:rsid w:val="167478E3"/>
    <w:rsid w:val="16894A4F"/>
    <w:rsid w:val="16A26993"/>
    <w:rsid w:val="16A40497"/>
    <w:rsid w:val="16AD63AA"/>
    <w:rsid w:val="16B7424B"/>
    <w:rsid w:val="16B95135"/>
    <w:rsid w:val="16CF3328"/>
    <w:rsid w:val="16DA16D4"/>
    <w:rsid w:val="16EF601B"/>
    <w:rsid w:val="16FD133B"/>
    <w:rsid w:val="16FD1A61"/>
    <w:rsid w:val="17130D0C"/>
    <w:rsid w:val="17174C9E"/>
    <w:rsid w:val="17192CDD"/>
    <w:rsid w:val="172869B7"/>
    <w:rsid w:val="17297390"/>
    <w:rsid w:val="1746739C"/>
    <w:rsid w:val="1753699A"/>
    <w:rsid w:val="1771116D"/>
    <w:rsid w:val="17B05C53"/>
    <w:rsid w:val="17B83F6E"/>
    <w:rsid w:val="17CA7DED"/>
    <w:rsid w:val="17E4696B"/>
    <w:rsid w:val="17E9588D"/>
    <w:rsid w:val="17EB6071"/>
    <w:rsid w:val="17FC3A1F"/>
    <w:rsid w:val="180C510A"/>
    <w:rsid w:val="18260489"/>
    <w:rsid w:val="18431656"/>
    <w:rsid w:val="186079C7"/>
    <w:rsid w:val="186F06E2"/>
    <w:rsid w:val="187470CE"/>
    <w:rsid w:val="18791CCA"/>
    <w:rsid w:val="18792796"/>
    <w:rsid w:val="18843BD4"/>
    <w:rsid w:val="189E4FBE"/>
    <w:rsid w:val="18A5267C"/>
    <w:rsid w:val="18B95B6B"/>
    <w:rsid w:val="18BA07DA"/>
    <w:rsid w:val="18C075DE"/>
    <w:rsid w:val="18CB464B"/>
    <w:rsid w:val="18D6200A"/>
    <w:rsid w:val="18FC5969"/>
    <w:rsid w:val="18FC7FA3"/>
    <w:rsid w:val="19063314"/>
    <w:rsid w:val="19236E7F"/>
    <w:rsid w:val="1927699E"/>
    <w:rsid w:val="194565D3"/>
    <w:rsid w:val="194B0019"/>
    <w:rsid w:val="195A781B"/>
    <w:rsid w:val="195D1FE7"/>
    <w:rsid w:val="197D3081"/>
    <w:rsid w:val="19815753"/>
    <w:rsid w:val="198F0E10"/>
    <w:rsid w:val="19951669"/>
    <w:rsid w:val="19962477"/>
    <w:rsid w:val="19A90761"/>
    <w:rsid w:val="19AA4CFD"/>
    <w:rsid w:val="19AC250E"/>
    <w:rsid w:val="19C76453"/>
    <w:rsid w:val="19CA121A"/>
    <w:rsid w:val="19CD5C09"/>
    <w:rsid w:val="19CE01BE"/>
    <w:rsid w:val="19E94209"/>
    <w:rsid w:val="19F72A6D"/>
    <w:rsid w:val="19FC43AA"/>
    <w:rsid w:val="19FC6482"/>
    <w:rsid w:val="1A0C2382"/>
    <w:rsid w:val="1A161FB9"/>
    <w:rsid w:val="1A201454"/>
    <w:rsid w:val="1A2D2C0F"/>
    <w:rsid w:val="1A370BA6"/>
    <w:rsid w:val="1A4B0D95"/>
    <w:rsid w:val="1A5D2A9A"/>
    <w:rsid w:val="1A62311A"/>
    <w:rsid w:val="1A720939"/>
    <w:rsid w:val="1A8101F2"/>
    <w:rsid w:val="1A8659B0"/>
    <w:rsid w:val="1A897144"/>
    <w:rsid w:val="1A8B3794"/>
    <w:rsid w:val="1A8F2180"/>
    <w:rsid w:val="1A9E7DE6"/>
    <w:rsid w:val="1AA372F6"/>
    <w:rsid w:val="1ABB0AC5"/>
    <w:rsid w:val="1AC029CE"/>
    <w:rsid w:val="1AC4106D"/>
    <w:rsid w:val="1ACB7401"/>
    <w:rsid w:val="1B10668E"/>
    <w:rsid w:val="1B3E689D"/>
    <w:rsid w:val="1B435685"/>
    <w:rsid w:val="1B576F7F"/>
    <w:rsid w:val="1B600509"/>
    <w:rsid w:val="1B6A4001"/>
    <w:rsid w:val="1B764E8C"/>
    <w:rsid w:val="1B901362"/>
    <w:rsid w:val="1B9C4F3D"/>
    <w:rsid w:val="1BA13262"/>
    <w:rsid w:val="1BAE15B5"/>
    <w:rsid w:val="1BB60D2B"/>
    <w:rsid w:val="1BB656CA"/>
    <w:rsid w:val="1BB9002D"/>
    <w:rsid w:val="1BCC238B"/>
    <w:rsid w:val="1BD42A5C"/>
    <w:rsid w:val="1BD57196"/>
    <w:rsid w:val="1BDE59D1"/>
    <w:rsid w:val="1BE75EB5"/>
    <w:rsid w:val="1BEE19B3"/>
    <w:rsid w:val="1BFC70E2"/>
    <w:rsid w:val="1C0240FB"/>
    <w:rsid w:val="1C120393"/>
    <w:rsid w:val="1C1A0A33"/>
    <w:rsid w:val="1C1C784C"/>
    <w:rsid w:val="1C23799F"/>
    <w:rsid w:val="1C3673FC"/>
    <w:rsid w:val="1C385F77"/>
    <w:rsid w:val="1C394EA1"/>
    <w:rsid w:val="1C572F38"/>
    <w:rsid w:val="1C7D7637"/>
    <w:rsid w:val="1C89174C"/>
    <w:rsid w:val="1C9E225E"/>
    <w:rsid w:val="1CA065DC"/>
    <w:rsid w:val="1CC452CB"/>
    <w:rsid w:val="1CC610BF"/>
    <w:rsid w:val="1CDF3B9D"/>
    <w:rsid w:val="1D1B3843"/>
    <w:rsid w:val="1D345355"/>
    <w:rsid w:val="1D3901EF"/>
    <w:rsid w:val="1D4A5B7E"/>
    <w:rsid w:val="1D4F4B78"/>
    <w:rsid w:val="1D507E2A"/>
    <w:rsid w:val="1D6864DF"/>
    <w:rsid w:val="1D6867E6"/>
    <w:rsid w:val="1D6C19E3"/>
    <w:rsid w:val="1D7671CB"/>
    <w:rsid w:val="1D7C601C"/>
    <w:rsid w:val="1D8626C3"/>
    <w:rsid w:val="1D8F2CA6"/>
    <w:rsid w:val="1D925DB8"/>
    <w:rsid w:val="1D9A6E0E"/>
    <w:rsid w:val="1DA2668A"/>
    <w:rsid w:val="1DAB264A"/>
    <w:rsid w:val="1DB0034D"/>
    <w:rsid w:val="1DB72745"/>
    <w:rsid w:val="1DBC7078"/>
    <w:rsid w:val="1DD33177"/>
    <w:rsid w:val="1E027361"/>
    <w:rsid w:val="1E1A25A4"/>
    <w:rsid w:val="1E2048DA"/>
    <w:rsid w:val="1E3A5757"/>
    <w:rsid w:val="1E4349C7"/>
    <w:rsid w:val="1E4A2A5E"/>
    <w:rsid w:val="1E5B2A18"/>
    <w:rsid w:val="1E5F28DA"/>
    <w:rsid w:val="1E64620E"/>
    <w:rsid w:val="1E6845D7"/>
    <w:rsid w:val="1E7150D5"/>
    <w:rsid w:val="1E783B6D"/>
    <w:rsid w:val="1E7E5E26"/>
    <w:rsid w:val="1E7F0E47"/>
    <w:rsid w:val="1E8345F6"/>
    <w:rsid w:val="1E983640"/>
    <w:rsid w:val="1E9C3694"/>
    <w:rsid w:val="1EBA5F52"/>
    <w:rsid w:val="1EEE2C25"/>
    <w:rsid w:val="1EF34D57"/>
    <w:rsid w:val="1EF717EE"/>
    <w:rsid w:val="1EF8257E"/>
    <w:rsid w:val="1F011459"/>
    <w:rsid w:val="1F0A4C31"/>
    <w:rsid w:val="1F1D43C5"/>
    <w:rsid w:val="1F20255A"/>
    <w:rsid w:val="1F3B7D3F"/>
    <w:rsid w:val="1F483F0E"/>
    <w:rsid w:val="1F4A3C6D"/>
    <w:rsid w:val="1F6B03D1"/>
    <w:rsid w:val="1FA2270F"/>
    <w:rsid w:val="1FA64095"/>
    <w:rsid w:val="1FBC50A3"/>
    <w:rsid w:val="1FCD4855"/>
    <w:rsid w:val="1FD55AC6"/>
    <w:rsid w:val="1FD71CAC"/>
    <w:rsid w:val="1FE21E19"/>
    <w:rsid w:val="1FE31610"/>
    <w:rsid w:val="200206B9"/>
    <w:rsid w:val="200405B8"/>
    <w:rsid w:val="20054553"/>
    <w:rsid w:val="200D2494"/>
    <w:rsid w:val="201219CF"/>
    <w:rsid w:val="20174635"/>
    <w:rsid w:val="201C7A77"/>
    <w:rsid w:val="20285F0A"/>
    <w:rsid w:val="2030648E"/>
    <w:rsid w:val="20360924"/>
    <w:rsid w:val="20411A5B"/>
    <w:rsid w:val="204A085A"/>
    <w:rsid w:val="205B07E3"/>
    <w:rsid w:val="20626411"/>
    <w:rsid w:val="20747D38"/>
    <w:rsid w:val="20753F1F"/>
    <w:rsid w:val="2078289E"/>
    <w:rsid w:val="20872EDC"/>
    <w:rsid w:val="208B2859"/>
    <w:rsid w:val="208D57EE"/>
    <w:rsid w:val="20A13605"/>
    <w:rsid w:val="20A25302"/>
    <w:rsid w:val="20B92E01"/>
    <w:rsid w:val="20D54A79"/>
    <w:rsid w:val="20D950A5"/>
    <w:rsid w:val="20FD0261"/>
    <w:rsid w:val="20FD355B"/>
    <w:rsid w:val="2100461B"/>
    <w:rsid w:val="21056274"/>
    <w:rsid w:val="21184008"/>
    <w:rsid w:val="21234EE5"/>
    <w:rsid w:val="2127715D"/>
    <w:rsid w:val="21326B38"/>
    <w:rsid w:val="214F5F2E"/>
    <w:rsid w:val="215966C4"/>
    <w:rsid w:val="217C1DE9"/>
    <w:rsid w:val="21816C05"/>
    <w:rsid w:val="219E08CB"/>
    <w:rsid w:val="21A02624"/>
    <w:rsid w:val="21C74654"/>
    <w:rsid w:val="21CE0DAC"/>
    <w:rsid w:val="21DD0033"/>
    <w:rsid w:val="21F34375"/>
    <w:rsid w:val="220574B8"/>
    <w:rsid w:val="22142E60"/>
    <w:rsid w:val="221B4EA1"/>
    <w:rsid w:val="223A4EBF"/>
    <w:rsid w:val="225343C3"/>
    <w:rsid w:val="22566C7A"/>
    <w:rsid w:val="22597F95"/>
    <w:rsid w:val="22736655"/>
    <w:rsid w:val="22760E01"/>
    <w:rsid w:val="228A176F"/>
    <w:rsid w:val="229A3B2A"/>
    <w:rsid w:val="229E6A20"/>
    <w:rsid w:val="22D407F5"/>
    <w:rsid w:val="22E21F0B"/>
    <w:rsid w:val="22F0669A"/>
    <w:rsid w:val="23040FA5"/>
    <w:rsid w:val="230D408E"/>
    <w:rsid w:val="23135EA1"/>
    <w:rsid w:val="23180271"/>
    <w:rsid w:val="233208C6"/>
    <w:rsid w:val="23326ABD"/>
    <w:rsid w:val="23447CAA"/>
    <w:rsid w:val="23471AFF"/>
    <w:rsid w:val="234824AF"/>
    <w:rsid w:val="234D4910"/>
    <w:rsid w:val="23530394"/>
    <w:rsid w:val="236C647A"/>
    <w:rsid w:val="237D4F03"/>
    <w:rsid w:val="237E3F84"/>
    <w:rsid w:val="23804CED"/>
    <w:rsid w:val="238B714B"/>
    <w:rsid w:val="23921709"/>
    <w:rsid w:val="23A649B4"/>
    <w:rsid w:val="23B5578D"/>
    <w:rsid w:val="23C3631C"/>
    <w:rsid w:val="23D4029D"/>
    <w:rsid w:val="23DC687A"/>
    <w:rsid w:val="240225D6"/>
    <w:rsid w:val="24060A7C"/>
    <w:rsid w:val="2409175B"/>
    <w:rsid w:val="241226F1"/>
    <w:rsid w:val="24237450"/>
    <w:rsid w:val="2427399E"/>
    <w:rsid w:val="24284100"/>
    <w:rsid w:val="24402B50"/>
    <w:rsid w:val="245A2984"/>
    <w:rsid w:val="24691F91"/>
    <w:rsid w:val="246A414D"/>
    <w:rsid w:val="248E2356"/>
    <w:rsid w:val="24951B6E"/>
    <w:rsid w:val="24AE37F2"/>
    <w:rsid w:val="24C779C2"/>
    <w:rsid w:val="24D5079C"/>
    <w:rsid w:val="24E75BA2"/>
    <w:rsid w:val="25053470"/>
    <w:rsid w:val="2519571B"/>
    <w:rsid w:val="25196394"/>
    <w:rsid w:val="251B2FBE"/>
    <w:rsid w:val="251C0F49"/>
    <w:rsid w:val="2528607F"/>
    <w:rsid w:val="25307670"/>
    <w:rsid w:val="25315B06"/>
    <w:rsid w:val="25803CDD"/>
    <w:rsid w:val="2589271A"/>
    <w:rsid w:val="258E52C1"/>
    <w:rsid w:val="258F2E37"/>
    <w:rsid w:val="25A61391"/>
    <w:rsid w:val="25AA2A06"/>
    <w:rsid w:val="25AE2EDA"/>
    <w:rsid w:val="25AE6EF4"/>
    <w:rsid w:val="25B205CB"/>
    <w:rsid w:val="25B26A14"/>
    <w:rsid w:val="25BA1E91"/>
    <w:rsid w:val="25BB15C9"/>
    <w:rsid w:val="25E40B1C"/>
    <w:rsid w:val="2605445C"/>
    <w:rsid w:val="260B1440"/>
    <w:rsid w:val="26173570"/>
    <w:rsid w:val="26180B06"/>
    <w:rsid w:val="262301FC"/>
    <w:rsid w:val="263237CC"/>
    <w:rsid w:val="263713CA"/>
    <w:rsid w:val="26636544"/>
    <w:rsid w:val="266D0A4B"/>
    <w:rsid w:val="26756C36"/>
    <w:rsid w:val="26767320"/>
    <w:rsid w:val="26790D54"/>
    <w:rsid w:val="26883AB2"/>
    <w:rsid w:val="26891CEF"/>
    <w:rsid w:val="26AC670B"/>
    <w:rsid w:val="26C34B17"/>
    <w:rsid w:val="26DC31F5"/>
    <w:rsid w:val="26E201AE"/>
    <w:rsid w:val="26E31017"/>
    <w:rsid w:val="26E75C84"/>
    <w:rsid w:val="26FB6108"/>
    <w:rsid w:val="27275AC5"/>
    <w:rsid w:val="27302C6E"/>
    <w:rsid w:val="27465E4B"/>
    <w:rsid w:val="27527F06"/>
    <w:rsid w:val="276A44B1"/>
    <w:rsid w:val="276E0D40"/>
    <w:rsid w:val="27733D8E"/>
    <w:rsid w:val="278D4B5E"/>
    <w:rsid w:val="279D2BA5"/>
    <w:rsid w:val="279E2FE0"/>
    <w:rsid w:val="27D87564"/>
    <w:rsid w:val="27E73C9C"/>
    <w:rsid w:val="27EF4331"/>
    <w:rsid w:val="27EF4BBB"/>
    <w:rsid w:val="27F71136"/>
    <w:rsid w:val="27F800E3"/>
    <w:rsid w:val="27F9783A"/>
    <w:rsid w:val="281926BC"/>
    <w:rsid w:val="281E73C3"/>
    <w:rsid w:val="282E359F"/>
    <w:rsid w:val="2836099A"/>
    <w:rsid w:val="28360DD2"/>
    <w:rsid w:val="283E7EA5"/>
    <w:rsid w:val="2845351C"/>
    <w:rsid w:val="28514C3E"/>
    <w:rsid w:val="28553408"/>
    <w:rsid w:val="286639BA"/>
    <w:rsid w:val="28803564"/>
    <w:rsid w:val="288A354C"/>
    <w:rsid w:val="288B58D3"/>
    <w:rsid w:val="28962D50"/>
    <w:rsid w:val="28BB27D3"/>
    <w:rsid w:val="28C06ACF"/>
    <w:rsid w:val="28E22343"/>
    <w:rsid w:val="28F53B8F"/>
    <w:rsid w:val="28F640C0"/>
    <w:rsid w:val="29035195"/>
    <w:rsid w:val="292E6493"/>
    <w:rsid w:val="29461CB8"/>
    <w:rsid w:val="295B06C5"/>
    <w:rsid w:val="295D26BE"/>
    <w:rsid w:val="2975604F"/>
    <w:rsid w:val="2991062E"/>
    <w:rsid w:val="299344F4"/>
    <w:rsid w:val="29B03250"/>
    <w:rsid w:val="29BA0B84"/>
    <w:rsid w:val="29C62587"/>
    <w:rsid w:val="29EB4DA3"/>
    <w:rsid w:val="2A052226"/>
    <w:rsid w:val="2A052D78"/>
    <w:rsid w:val="2A0A3B7B"/>
    <w:rsid w:val="2A1D4609"/>
    <w:rsid w:val="2A1E6DD8"/>
    <w:rsid w:val="2A39513A"/>
    <w:rsid w:val="2A3A5204"/>
    <w:rsid w:val="2A47594E"/>
    <w:rsid w:val="2A4B1A8F"/>
    <w:rsid w:val="2A593D56"/>
    <w:rsid w:val="2A632146"/>
    <w:rsid w:val="2A7A4B78"/>
    <w:rsid w:val="2A835FB8"/>
    <w:rsid w:val="2A8955FC"/>
    <w:rsid w:val="2AB37B9A"/>
    <w:rsid w:val="2ABB4073"/>
    <w:rsid w:val="2ABC296D"/>
    <w:rsid w:val="2AC10CAC"/>
    <w:rsid w:val="2AC7288F"/>
    <w:rsid w:val="2AD46D60"/>
    <w:rsid w:val="2AE725CC"/>
    <w:rsid w:val="2AF7669F"/>
    <w:rsid w:val="2B1D4CD3"/>
    <w:rsid w:val="2B2E0420"/>
    <w:rsid w:val="2B446FA3"/>
    <w:rsid w:val="2B527D93"/>
    <w:rsid w:val="2B6857FE"/>
    <w:rsid w:val="2B9E19DE"/>
    <w:rsid w:val="2B9F43BD"/>
    <w:rsid w:val="2BB37ADB"/>
    <w:rsid w:val="2BC770B7"/>
    <w:rsid w:val="2BCD67FA"/>
    <w:rsid w:val="2BD34D40"/>
    <w:rsid w:val="2BE0209E"/>
    <w:rsid w:val="2BF917FF"/>
    <w:rsid w:val="2C1B238D"/>
    <w:rsid w:val="2C2C3508"/>
    <w:rsid w:val="2C357833"/>
    <w:rsid w:val="2C475879"/>
    <w:rsid w:val="2C531534"/>
    <w:rsid w:val="2C586478"/>
    <w:rsid w:val="2C5C45E0"/>
    <w:rsid w:val="2C5D169A"/>
    <w:rsid w:val="2C7E5523"/>
    <w:rsid w:val="2C8F6A17"/>
    <w:rsid w:val="2C910F0A"/>
    <w:rsid w:val="2CA62341"/>
    <w:rsid w:val="2CB23810"/>
    <w:rsid w:val="2CBE24DD"/>
    <w:rsid w:val="2CF62DD1"/>
    <w:rsid w:val="2CF7792F"/>
    <w:rsid w:val="2D021B5C"/>
    <w:rsid w:val="2D1520BE"/>
    <w:rsid w:val="2D1E055A"/>
    <w:rsid w:val="2D2348DB"/>
    <w:rsid w:val="2D266A18"/>
    <w:rsid w:val="2D3A2F1D"/>
    <w:rsid w:val="2D472F76"/>
    <w:rsid w:val="2D5868CE"/>
    <w:rsid w:val="2D645B4A"/>
    <w:rsid w:val="2D753987"/>
    <w:rsid w:val="2D946F41"/>
    <w:rsid w:val="2DA24D2C"/>
    <w:rsid w:val="2DAB5B21"/>
    <w:rsid w:val="2DB825DB"/>
    <w:rsid w:val="2DBC4870"/>
    <w:rsid w:val="2DBC6BF4"/>
    <w:rsid w:val="2DC13849"/>
    <w:rsid w:val="2DCD150A"/>
    <w:rsid w:val="2DE20238"/>
    <w:rsid w:val="2DFB5460"/>
    <w:rsid w:val="2E0C2FE9"/>
    <w:rsid w:val="2E0F0BEB"/>
    <w:rsid w:val="2E253635"/>
    <w:rsid w:val="2E2A4893"/>
    <w:rsid w:val="2E4356DC"/>
    <w:rsid w:val="2E6315D6"/>
    <w:rsid w:val="2E6B306B"/>
    <w:rsid w:val="2E930C95"/>
    <w:rsid w:val="2E966F29"/>
    <w:rsid w:val="2EAB541C"/>
    <w:rsid w:val="2EB972EC"/>
    <w:rsid w:val="2EC411EA"/>
    <w:rsid w:val="2EEC30C3"/>
    <w:rsid w:val="2EF316A9"/>
    <w:rsid w:val="2EF55CB5"/>
    <w:rsid w:val="2F016C17"/>
    <w:rsid w:val="2F054476"/>
    <w:rsid w:val="2F096D1A"/>
    <w:rsid w:val="2F2208B9"/>
    <w:rsid w:val="2F281F09"/>
    <w:rsid w:val="2F2B5720"/>
    <w:rsid w:val="2F2D0C31"/>
    <w:rsid w:val="2F2F20AA"/>
    <w:rsid w:val="2F3078F0"/>
    <w:rsid w:val="2F325F8E"/>
    <w:rsid w:val="2F371AE3"/>
    <w:rsid w:val="2F387F5F"/>
    <w:rsid w:val="2F4B23D0"/>
    <w:rsid w:val="2F4E0449"/>
    <w:rsid w:val="2F597A32"/>
    <w:rsid w:val="2F5C24B1"/>
    <w:rsid w:val="2F862355"/>
    <w:rsid w:val="2F915DA8"/>
    <w:rsid w:val="2F993572"/>
    <w:rsid w:val="2FB428A6"/>
    <w:rsid w:val="2FB93342"/>
    <w:rsid w:val="2FD5749C"/>
    <w:rsid w:val="2FDB699E"/>
    <w:rsid w:val="2FEC0E83"/>
    <w:rsid w:val="2FF03990"/>
    <w:rsid w:val="2FF079CF"/>
    <w:rsid w:val="2FFE0AE0"/>
    <w:rsid w:val="3014405A"/>
    <w:rsid w:val="30252596"/>
    <w:rsid w:val="302A3137"/>
    <w:rsid w:val="303260D0"/>
    <w:rsid w:val="303C076A"/>
    <w:rsid w:val="303C338E"/>
    <w:rsid w:val="30413ADD"/>
    <w:rsid w:val="304B47B4"/>
    <w:rsid w:val="305E73F3"/>
    <w:rsid w:val="30644417"/>
    <w:rsid w:val="307D5795"/>
    <w:rsid w:val="30944DE6"/>
    <w:rsid w:val="30AC03CB"/>
    <w:rsid w:val="30C10AED"/>
    <w:rsid w:val="30C24936"/>
    <w:rsid w:val="30C90483"/>
    <w:rsid w:val="30DF39AA"/>
    <w:rsid w:val="30E90A41"/>
    <w:rsid w:val="31050742"/>
    <w:rsid w:val="31295BCE"/>
    <w:rsid w:val="312C2304"/>
    <w:rsid w:val="312E7B9D"/>
    <w:rsid w:val="313A2179"/>
    <w:rsid w:val="314D75B0"/>
    <w:rsid w:val="31667489"/>
    <w:rsid w:val="3168479E"/>
    <w:rsid w:val="317B6704"/>
    <w:rsid w:val="317C5AEF"/>
    <w:rsid w:val="31867FB0"/>
    <w:rsid w:val="31974FE6"/>
    <w:rsid w:val="31983137"/>
    <w:rsid w:val="31A22EE9"/>
    <w:rsid w:val="31B110F8"/>
    <w:rsid w:val="31B40253"/>
    <w:rsid w:val="31C05EFE"/>
    <w:rsid w:val="31C5389C"/>
    <w:rsid w:val="31CB0626"/>
    <w:rsid w:val="31DE38D9"/>
    <w:rsid w:val="31EA663D"/>
    <w:rsid w:val="31F136B2"/>
    <w:rsid w:val="32232CE6"/>
    <w:rsid w:val="322A6FCF"/>
    <w:rsid w:val="324D41D8"/>
    <w:rsid w:val="32603A43"/>
    <w:rsid w:val="327B117E"/>
    <w:rsid w:val="328048F5"/>
    <w:rsid w:val="329E29EE"/>
    <w:rsid w:val="32A249C4"/>
    <w:rsid w:val="32B547B5"/>
    <w:rsid w:val="32BF0978"/>
    <w:rsid w:val="32C05660"/>
    <w:rsid w:val="32C76A4E"/>
    <w:rsid w:val="32C770EF"/>
    <w:rsid w:val="32E30AF1"/>
    <w:rsid w:val="33063D8B"/>
    <w:rsid w:val="33122670"/>
    <w:rsid w:val="33212180"/>
    <w:rsid w:val="332A4291"/>
    <w:rsid w:val="3346225E"/>
    <w:rsid w:val="33481E3F"/>
    <w:rsid w:val="335F2E0A"/>
    <w:rsid w:val="336F3166"/>
    <w:rsid w:val="337817F0"/>
    <w:rsid w:val="33835E77"/>
    <w:rsid w:val="33891944"/>
    <w:rsid w:val="338A7833"/>
    <w:rsid w:val="339B3364"/>
    <w:rsid w:val="339C55FE"/>
    <w:rsid w:val="339D3971"/>
    <w:rsid w:val="33A9437D"/>
    <w:rsid w:val="33AF7BC5"/>
    <w:rsid w:val="33BF6C30"/>
    <w:rsid w:val="33F90B75"/>
    <w:rsid w:val="340444ED"/>
    <w:rsid w:val="34097837"/>
    <w:rsid w:val="340A2E24"/>
    <w:rsid w:val="34260E36"/>
    <w:rsid w:val="343476C0"/>
    <w:rsid w:val="34471434"/>
    <w:rsid w:val="3453734D"/>
    <w:rsid w:val="34833774"/>
    <w:rsid w:val="34851381"/>
    <w:rsid w:val="34864572"/>
    <w:rsid w:val="34886CDB"/>
    <w:rsid w:val="348910FD"/>
    <w:rsid w:val="34964644"/>
    <w:rsid w:val="34B43E62"/>
    <w:rsid w:val="34D900F7"/>
    <w:rsid w:val="34E6760B"/>
    <w:rsid w:val="34E847D8"/>
    <w:rsid w:val="34EE2B08"/>
    <w:rsid w:val="34EF4EAF"/>
    <w:rsid w:val="34F264E4"/>
    <w:rsid w:val="34F62972"/>
    <w:rsid w:val="35136335"/>
    <w:rsid w:val="35216921"/>
    <w:rsid w:val="35417067"/>
    <w:rsid w:val="354B5968"/>
    <w:rsid w:val="354E04A9"/>
    <w:rsid w:val="355C7CBD"/>
    <w:rsid w:val="3560478A"/>
    <w:rsid w:val="3569274B"/>
    <w:rsid w:val="356E48D4"/>
    <w:rsid w:val="356E7278"/>
    <w:rsid w:val="3583242D"/>
    <w:rsid w:val="35854845"/>
    <w:rsid w:val="358751B3"/>
    <w:rsid w:val="35963439"/>
    <w:rsid w:val="359D5B5D"/>
    <w:rsid w:val="35A065B6"/>
    <w:rsid w:val="35A25EB8"/>
    <w:rsid w:val="35EE0F90"/>
    <w:rsid w:val="35F46AE3"/>
    <w:rsid w:val="35F7197C"/>
    <w:rsid w:val="35FE3F09"/>
    <w:rsid w:val="362111F0"/>
    <w:rsid w:val="3627687D"/>
    <w:rsid w:val="365621F6"/>
    <w:rsid w:val="36615CE7"/>
    <w:rsid w:val="36701E2D"/>
    <w:rsid w:val="36BC5109"/>
    <w:rsid w:val="36C01B27"/>
    <w:rsid w:val="36CD6D3E"/>
    <w:rsid w:val="36D03D1C"/>
    <w:rsid w:val="36E22C9D"/>
    <w:rsid w:val="36E26F8E"/>
    <w:rsid w:val="36ED6295"/>
    <w:rsid w:val="36F51DBA"/>
    <w:rsid w:val="36F86313"/>
    <w:rsid w:val="36FF582A"/>
    <w:rsid w:val="370D1EB8"/>
    <w:rsid w:val="370D207D"/>
    <w:rsid w:val="37157AED"/>
    <w:rsid w:val="371E12C3"/>
    <w:rsid w:val="37215B22"/>
    <w:rsid w:val="3747688F"/>
    <w:rsid w:val="375879A2"/>
    <w:rsid w:val="376C7710"/>
    <w:rsid w:val="378E51EB"/>
    <w:rsid w:val="37B74DBA"/>
    <w:rsid w:val="37BF6875"/>
    <w:rsid w:val="37C30FF2"/>
    <w:rsid w:val="37CF46B1"/>
    <w:rsid w:val="37D143D6"/>
    <w:rsid w:val="37D359A1"/>
    <w:rsid w:val="37E06FFF"/>
    <w:rsid w:val="37E8720F"/>
    <w:rsid w:val="37F171F4"/>
    <w:rsid w:val="37F77D69"/>
    <w:rsid w:val="38426727"/>
    <w:rsid w:val="385676DC"/>
    <w:rsid w:val="385805DE"/>
    <w:rsid w:val="38671B7A"/>
    <w:rsid w:val="386A3C45"/>
    <w:rsid w:val="386A53C8"/>
    <w:rsid w:val="386F17F2"/>
    <w:rsid w:val="387663F6"/>
    <w:rsid w:val="389114EE"/>
    <w:rsid w:val="38AA0DE8"/>
    <w:rsid w:val="38AD1EFF"/>
    <w:rsid w:val="38D51C86"/>
    <w:rsid w:val="38E1609B"/>
    <w:rsid w:val="38E70022"/>
    <w:rsid w:val="391F5399"/>
    <w:rsid w:val="3920424F"/>
    <w:rsid w:val="39331ED0"/>
    <w:rsid w:val="393330F0"/>
    <w:rsid w:val="394D0739"/>
    <w:rsid w:val="394E2256"/>
    <w:rsid w:val="39715EC3"/>
    <w:rsid w:val="3978652E"/>
    <w:rsid w:val="399140DF"/>
    <w:rsid w:val="39A26564"/>
    <w:rsid w:val="39C256E5"/>
    <w:rsid w:val="39C45730"/>
    <w:rsid w:val="39C67C62"/>
    <w:rsid w:val="39CA66E6"/>
    <w:rsid w:val="39D32A91"/>
    <w:rsid w:val="39D74C54"/>
    <w:rsid w:val="39E5265F"/>
    <w:rsid w:val="3A074E96"/>
    <w:rsid w:val="3A0948D6"/>
    <w:rsid w:val="3A312B77"/>
    <w:rsid w:val="3A4A719A"/>
    <w:rsid w:val="3A637E40"/>
    <w:rsid w:val="3A747058"/>
    <w:rsid w:val="3A793699"/>
    <w:rsid w:val="3A7F52A2"/>
    <w:rsid w:val="3A8026E4"/>
    <w:rsid w:val="3A82677C"/>
    <w:rsid w:val="3A862324"/>
    <w:rsid w:val="3A8E05BF"/>
    <w:rsid w:val="3A986DE3"/>
    <w:rsid w:val="3AB843B7"/>
    <w:rsid w:val="3ABA6578"/>
    <w:rsid w:val="3ABB4402"/>
    <w:rsid w:val="3AC1200B"/>
    <w:rsid w:val="3ADA688E"/>
    <w:rsid w:val="3ADD6A94"/>
    <w:rsid w:val="3AE57066"/>
    <w:rsid w:val="3AEC048C"/>
    <w:rsid w:val="3AF16174"/>
    <w:rsid w:val="3AFE5F8C"/>
    <w:rsid w:val="3B0732C5"/>
    <w:rsid w:val="3B147DA5"/>
    <w:rsid w:val="3B1823CD"/>
    <w:rsid w:val="3B1C57E9"/>
    <w:rsid w:val="3B275B5D"/>
    <w:rsid w:val="3B3264D6"/>
    <w:rsid w:val="3B357ABE"/>
    <w:rsid w:val="3B537DF7"/>
    <w:rsid w:val="3B644A36"/>
    <w:rsid w:val="3B6D757C"/>
    <w:rsid w:val="3B7C051D"/>
    <w:rsid w:val="3B8609F6"/>
    <w:rsid w:val="3B8A09E8"/>
    <w:rsid w:val="3BA92606"/>
    <w:rsid w:val="3BD85025"/>
    <w:rsid w:val="3BDC6847"/>
    <w:rsid w:val="3BE51621"/>
    <w:rsid w:val="3BE92DED"/>
    <w:rsid w:val="3BF5442F"/>
    <w:rsid w:val="3C0D7333"/>
    <w:rsid w:val="3C280762"/>
    <w:rsid w:val="3C3D5936"/>
    <w:rsid w:val="3C52546F"/>
    <w:rsid w:val="3C6D70B0"/>
    <w:rsid w:val="3C6F3317"/>
    <w:rsid w:val="3C7544A7"/>
    <w:rsid w:val="3C7E133D"/>
    <w:rsid w:val="3C801E18"/>
    <w:rsid w:val="3C822378"/>
    <w:rsid w:val="3C84150A"/>
    <w:rsid w:val="3C855884"/>
    <w:rsid w:val="3C9D7EA7"/>
    <w:rsid w:val="3CA31458"/>
    <w:rsid w:val="3CAF4A2D"/>
    <w:rsid w:val="3CBD625E"/>
    <w:rsid w:val="3CBF349C"/>
    <w:rsid w:val="3CC12276"/>
    <w:rsid w:val="3CC456AF"/>
    <w:rsid w:val="3D050514"/>
    <w:rsid w:val="3D12314B"/>
    <w:rsid w:val="3D1F7962"/>
    <w:rsid w:val="3D306BBB"/>
    <w:rsid w:val="3D316C1C"/>
    <w:rsid w:val="3D321ABA"/>
    <w:rsid w:val="3D407A28"/>
    <w:rsid w:val="3D426732"/>
    <w:rsid w:val="3D501AB1"/>
    <w:rsid w:val="3D575B38"/>
    <w:rsid w:val="3D5C23C3"/>
    <w:rsid w:val="3D5D2E7B"/>
    <w:rsid w:val="3D671F16"/>
    <w:rsid w:val="3D687774"/>
    <w:rsid w:val="3D6C687C"/>
    <w:rsid w:val="3D753601"/>
    <w:rsid w:val="3D846322"/>
    <w:rsid w:val="3D950683"/>
    <w:rsid w:val="3DA03C6D"/>
    <w:rsid w:val="3DB675C9"/>
    <w:rsid w:val="3DCF70AF"/>
    <w:rsid w:val="3DD14755"/>
    <w:rsid w:val="3DDA3756"/>
    <w:rsid w:val="3DE82C9C"/>
    <w:rsid w:val="3DEC3BCF"/>
    <w:rsid w:val="3E24435A"/>
    <w:rsid w:val="3E40533F"/>
    <w:rsid w:val="3E425C79"/>
    <w:rsid w:val="3E54115C"/>
    <w:rsid w:val="3E564D10"/>
    <w:rsid w:val="3E5C03D3"/>
    <w:rsid w:val="3E7B4718"/>
    <w:rsid w:val="3E8E7285"/>
    <w:rsid w:val="3E9F612D"/>
    <w:rsid w:val="3EA6194F"/>
    <w:rsid w:val="3EA701DE"/>
    <w:rsid w:val="3EE06FC5"/>
    <w:rsid w:val="3EED45F5"/>
    <w:rsid w:val="3EEF0789"/>
    <w:rsid w:val="3F1A327F"/>
    <w:rsid w:val="3F2A5E31"/>
    <w:rsid w:val="3F2B4B5C"/>
    <w:rsid w:val="3F4B44A3"/>
    <w:rsid w:val="3F4C5831"/>
    <w:rsid w:val="3F555893"/>
    <w:rsid w:val="3F596F5B"/>
    <w:rsid w:val="3F6E667D"/>
    <w:rsid w:val="3F7425A7"/>
    <w:rsid w:val="3F7D5EFB"/>
    <w:rsid w:val="3F7D73BE"/>
    <w:rsid w:val="3F971B87"/>
    <w:rsid w:val="3F9D739B"/>
    <w:rsid w:val="3FAB7C2B"/>
    <w:rsid w:val="3FAE516D"/>
    <w:rsid w:val="3FE16A3B"/>
    <w:rsid w:val="3FF81301"/>
    <w:rsid w:val="3FFF4C0D"/>
    <w:rsid w:val="40004AFD"/>
    <w:rsid w:val="40023F43"/>
    <w:rsid w:val="40176DE9"/>
    <w:rsid w:val="402266F3"/>
    <w:rsid w:val="403769D2"/>
    <w:rsid w:val="403A7283"/>
    <w:rsid w:val="403E1604"/>
    <w:rsid w:val="40561A65"/>
    <w:rsid w:val="407072A5"/>
    <w:rsid w:val="4071080E"/>
    <w:rsid w:val="407559F1"/>
    <w:rsid w:val="408331EA"/>
    <w:rsid w:val="408703AC"/>
    <w:rsid w:val="40924499"/>
    <w:rsid w:val="40A04959"/>
    <w:rsid w:val="40A63FC6"/>
    <w:rsid w:val="40A76E73"/>
    <w:rsid w:val="40AE6A92"/>
    <w:rsid w:val="40AE76B4"/>
    <w:rsid w:val="40C22DB5"/>
    <w:rsid w:val="40D32773"/>
    <w:rsid w:val="40E73B19"/>
    <w:rsid w:val="41030A63"/>
    <w:rsid w:val="41471AFB"/>
    <w:rsid w:val="41524CA5"/>
    <w:rsid w:val="41903D1E"/>
    <w:rsid w:val="41911420"/>
    <w:rsid w:val="419252DB"/>
    <w:rsid w:val="41940490"/>
    <w:rsid w:val="41A323F1"/>
    <w:rsid w:val="41BE767F"/>
    <w:rsid w:val="41C05FDA"/>
    <w:rsid w:val="41DB416D"/>
    <w:rsid w:val="41E03294"/>
    <w:rsid w:val="41EE06B2"/>
    <w:rsid w:val="41EE0E67"/>
    <w:rsid w:val="42234DB9"/>
    <w:rsid w:val="42304165"/>
    <w:rsid w:val="42481F81"/>
    <w:rsid w:val="4263634A"/>
    <w:rsid w:val="427C23BD"/>
    <w:rsid w:val="427E4F1D"/>
    <w:rsid w:val="428571C5"/>
    <w:rsid w:val="428A45C0"/>
    <w:rsid w:val="428F6319"/>
    <w:rsid w:val="42985012"/>
    <w:rsid w:val="42AB785B"/>
    <w:rsid w:val="42B0689F"/>
    <w:rsid w:val="42C47FEF"/>
    <w:rsid w:val="42EC7469"/>
    <w:rsid w:val="42F15C1E"/>
    <w:rsid w:val="430243B0"/>
    <w:rsid w:val="430622C4"/>
    <w:rsid w:val="430663EF"/>
    <w:rsid w:val="43101286"/>
    <w:rsid w:val="43301A1F"/>
    <w:rsid w:val="43382A8A"/>
    <w:rsid w:val="433F4EF1"/>
    <w:rsid w:val="4343039D"/>
    <w:rsid w:val="435552CB"/>
    <w:rsid w:val="43777603"/>
    <w:rsid w:val="43801EA4"/>
    <w:rsid w:val="438F6B0A"/>
    <w:rsid w:val="43A73A7E"/>
    <w:rsid w:val="43AE5391"/>
    <w:rsid w:val="43B74967"/>
    <w:rsid w:val="43BA61FF"/>
    <w:rsid w:val="43C0685F"/>
    <w:rsid w:val="43C646A0"/>
    <w:rsid w:val="43C77C11"/>
    <w:rsid w:val="43D62B70"/>
    <w:rsid w:val="43D84AB3"/>
    <w:rsid w:val="43EA53F5"/>
    <w:rsid w:val="43FB6A1F"/>
    <w:rsid w:val="441077F0"/>
    <w:rsid w:val="443E3EB4"/>
    <w:rsid w:val="44402054"/>
    <w:rsid w:val="44447DFC"/>
    <w:rsid w:val="444A17FC"/>
    <w:rsid w:val="444F2539"/>
    <w:rsid w:val="4463640F"/>
    <w:rsid w:val="446C7560"/>
    <w:rsid w:val="44702595"/>
    <w:rsid w:val="447F5A12"/>
    <w:rsid w:val="44856A71"/>
    <w:rsid w:val="44990F7F"/>
    <w:rsid w:val="449E56E6"/>
    <w:rsid w:val="44AD3093"/>
    <w:rsid w:val="44B8132A"/>
    <w:rsid w:val="44C67C23"/>
    <w:rsid w:val="44CC737D"/>
    <w:rsid w:val="44E67515"/>
    <w:rsid w:val="44EE5F04"/>
    <w:rsid w:val="45107AE5"/>
    <w:rsid w:val="452D735E"/>
    <w:rsid w:val="45567D77"/>
    <w:rsid w:val="456B2B8E"/>
    <w:rsid w:val="458219C4"/>
    <w:rsid w:val="459A6B8D"/>
    <w:rsid w:val="45A4423A"/>
    <w:rsid w:val="45B20488"/>
    <w:rsid w:val="45C21706"/>
    <w:rsid w:val="45C332BD"/>
    <w:rsid w:val="45C95B06"/>
    <w:rsid w:val="45D258EF"/>
    <w:rsid w:val="45D62B0F"/>
    <w:rsid w:val="45F744EA"/>
    <w:rsid w:val="46005B15"/>
    <w:rsid w:val="4632569D"/>
    <w:rsid w:val="46361511"/>
    <w:rsid w:val="46414FD8"/>
    <w:rsid w:val="464546B3"/>
    <w:rsid w:val="46486AFD"/>
    <w:rsid w:val="465E76FB"/>
    <w:rsid w:val="46630481"/>
    <w:rsid w:val="4664006E"/>
    <w:rsid w:val="46742934"/>
    <w:rsid w:val="468219C2"/>
    <w:rsid w:val="469E3E3D"/>
    <w:rsid w:val="46C626F5"/>
    <w:rsid w:val="46C91DBC"/>
    <w:rsid w:val="46DF409C"/>
    <w:rsid w:val="47077F2C"/>
    <w:rsid w:val="470A29A2"/>
    <w:rsid w:val="47132860"/>
    <w:rsid w:val="47143AAC"/>
    <w:rsid w:val="472E14FF"/>
    <w:rsid w:val="475313E5"/>
    <w:rsid w:val="47567073"/>
    <w:rsid w:val="47721495"/>
    <w:rsid w:val="477555FF"/>
    <w:rsid w:val="4781299B"/>
    <w:rsid w:val="47A503C9"/>
    <w:rsid w:val="47A57F71"/>
    <w:rsid w:val="47AA26BB"/>
    <w:rsid w:val="47B55DCD"/>
    <w:rsid w:val="47E219A2"/>
    <w:rsid w:val="47E97079"/>
    <w:rsid w:val="47F0757B"/>
    <w:rsid w:val="47FE4FA0"/>
    <w:rsid w:val="48106866"/>
    <w:rsid w:val="481D335A"/>
    <w:rsid w:val="48302F97"/>
    <w:rsid w:val="483D70D4"/>
    <w:rsid w:val="483F600A"/>
    <w:rsid w:val="48515BD3"/>
    <w:rsid w:val="48563CB1"/>
    <w:rsid w:val="48591A47"/>
    <w:rsid w:val="4868521C"/>
    <w:rsid w:val="486B6578"/>
    <w:rsid w:val="487518A6"/>
    <w:rsid w:val="487701DD"/>
    <w:rsid w:val="487704EB"/>
    <w:rsid w:val="487B071F"/>
    <w:rsid w:val="48813B4E"/>
    <w:rsid w:val="48826307"/>
    <w:rsid w:val="488544AC"/>
    <w:rsid w:val="488C33EF"/>
    <w:rsid w:val="48A42DE5"/>
    <w:rsid w:val="48AF52B9"/>
    <w:rsid w:val="48B26B17"/>
    <w:rsid w:val="48B55590"/>
    <w:rsid w:val="49184EE1"/>
    <w:rsid w:val="49294568"/>
    <w:rsid w:val="493B0885"/>
    <w:rsid w:val="494527E7"/>
    <w:rsid w:val="496C3A12"/>
    <w:rsid w:val="497444F4"/>
    <w:rsid w:val="49B3452C"/>
    <w:rsid w:val="49B5558F"/>
    <w:rsid w:val="49CB7231"/>
    <w:rsid w:val="49E033BB"/>
    <w:rsid w:val="49F310CE"/>
    <w:rsid w:val="4A107097"/>
    <w:rsid w:val="4A166443"/>
    <w:rsid w:val="4A177B67"/>
    <w:rsid w:val="4A210522"/>
    <w:rsid w:val="4A2374F2"/>
    <w:rsid w:val="4A297C16"/>
    <w:rsid w:val="4A326C83"/>
    <w:rsid w:val="4A3B0DB7"/>
    <w:rsid w:val="4A3D295E"/>
    <w:rsid w:val="4A5403DB"/>
    <w:rsid w:val="4A596392"/>
    <w:rsid w:val="4A5C7979"/>
    <w:rsid w:val="4A611BFB"/>
    <w:rsid w:val="4A6C5C53"/>
    <w:rsid w:val="4A70403E"/>
    <w:rsid w:val="4A712DB4"/>
    <w:rsid w:val="4A71790E"/>
    <w:rsid w:val="4A8B4FB8"/>
    <w:rsid w:val="4A8E1CF8"/>
    <w:rsid w:val="4AC74765"/>
    <w:rsid w:val="4ADB04D7"/>
    <w:rsid w:val="4AE93D2A"/>
    <w:rsid w:val="4B076CE4"/>
    <w:rsid w:val="4B0E14F7"/>
    <w:rsid w:val="4B2B00E1"/>
    <w:rsid w:val="4B387436"/>
    <w:rsid w:val="4B3A7211"/>
    <w:rsid w:val="4B3D4E54"/>
    <w:rsid w:val="4B5F5B1B"/>
    <w:rsid w:val="4B724732"/>
    <w:rsid w:val="4B7B4338"/>
    <w:rsid w:val="4B826CD1"/>
    <w:rsid w:val="4BA46DCD"/>
    <w:rsid w:val="4BA55BD4"/>
    <w:rsid w:val="4BC0010D"/>
    <w:rsid w:val="4BC95188"/>
    <w:rsid w:val="4BCC17C5"/>
    <w:rsid w:val="4BEB1C7C"/>
    <w:rsid w:val="4C0E6F12"/>
    <w:rsid w:val="4C176DAD"/>
    <w:rsid w:val="4C1E65E6"/>
    <w:rsid w:val="4C245835"/>
    <w:rsid w:val="4C252A25"/>
    <w:rsid w:val="4C464864"/>
    <w:rsid w:val="4C501A2D"/>
    <w:rsid w:val="4C531F60"/>
    <w:rsid w:val="4C6C7161"/>
    <w:rsid w:val="4C7966F1"/>
    <w:rsid w:val="4C8B1687"/>
    <w:rsid w:val="4C9A54CC"/>
    <w:rsid w:val="4CA3573D"/>
    <w:rsid w:val="4CA7368F"/>
    <w:rsid w:val="4CD26891"/>
    <w:rsid w:val="4CDF58E1"/>
    <w:rsid w:val="4D160A7F"/>
    <w:rsid w:val="4D2D6199"/>
    <w:rsid w:val="4D3A1BD9"/>
    <w:rsid w:val="4D3C544D"/>
    <w:rsid w:val="4D4B5858"/>
    <w:rsid w:val="4D712457"/>
    <w:rsid w:val="4D7C0FD2"/>
    <w:rsid w:val="4D887F1F"/>
    <w:rsid w:val="4D99305B"/>
    <w:rsid w:val="4D9E6572"/>
    <w:rsid w:val="4DB05C03"/>
    <w:rsid w:val="4DC1683D"/>
    <w:rsid w:val="4DC65235"/>
    <w:rsid w:val="4DCD2AB6"/>
    <w:rsid w:val="4DCD79F2"/>
    <w:rsid w:val="4DD15836"/>
    <w:rsid w:val="4DEC13D0"/>
    <w:rsid w:val="4DF21D3B"/>
    <w:rsid w:val="4DF76A10"/>
    <w:rsid w:val="4E193A55"/>
    <w:rsid w:val="4E2A59E5"/>
    <w:rsid w:val="4E325C70"/>
    <w:rsid w:val="4E4602A4"/>
    <w:rsid w:val="4E595B45"/>
    <w:rsid w:val="4E61059A"/>
    <w:rsid w:val="4E6D55D7"/>
    <w:rsid w:val="4E957DEF"/>
    <w:rsid w:val="4EA06E73"/>
    <w:rsid w:val="4EB062E4"/>
    <w:rsid w:val="4ED42E22"/>
    <w:rsid w:val="4EDA35FA"/>
    <w:rsid w:val="4EDB6D44"/>
    <w:rsid w:val="4EEB0DD9"/>
    <w:rsid w:val="4F005992"/>
    <w:rsid w:val="4F0A2D6F"/>
    <w:rsid w:val="4F1B4D79"/>
    <w:rsid w:val="4F1D28E1"/>
    <w:rsid w:val="4F4E0DF9"/>
    <w:rsid w:val="4F63075B"/>
    <w:rsid w:val="4F6521AA"/>
    <w:rsid w:val="4F6A2E6E"/>
    <w:rsid w:val="4F7668FC"/>
    <w:rsid w:val="4F8D2FAA"/>
    <w:rsid w:val="4F9D27B9"/>
    <w:rsid w:val="4FA628E5"/>
    <w:rsid w:val="4FB442A5"/>
    <w:rsid w:val="4FBA71F8"/>
    <w:rsid w:val="4FC42F64"/>
    <w:rsid w:val="4FDB5A8F"/>
    <w:rsid w:val="4FDD2074"/>
    <w:rsid w:val="4FDD6FFC"/>
    <w:rsid w:val="4FFB027F"/>
    <w:rsid w:val="4FFC7373"/>
    <w:rsid w:val="5007255F"/>
    <w:rsid w:val="500A13EA"/>
    <w:rsid w:val="500E29E1"/>
    <w:rsid w:val="50315692"/>
    <w:rsid w:val="504633E6"/>
    <w:rsid w:val="504A1BC1"/>
    <w:rsid w:val="504E3C67"/>
    <w:rsid w:val="5052306C"/>
    <w:rsid w:val="505A5834"/>
    <w:rsid w:val="506C492F"/>
    <w:rsid w:val="50797AEC"/>
    <w:rsid w:val="508A3266"/>
    <w:rsid w:val="508D276C"/>
    <w:rsid w:val="50993F72"/>
    <w:rsid w:val="50B076B5"/>
    <w:rsid w:val="50B81816"/>
    <w:rsid w:val="50BC5930"/>
    <w:rsid w:val="50C6774A"/>
    <w:rsid w:val="50D33FB7"/>
    <w:rsid w:val="51034C63"/>
    <w:rsid w:val="510843D6"/>
    <w:rsid w:val="510E0132"/>
    <w:rsid w:val="51115E46"/>
    <w:rsid w:val="51636E29"/>
    <w:rsid w:val="51713662"/>
    <w:rsid w:val="517F591D"/>
    <w:rsid w:val="518D4429"/>
    <w:rsid w:val="51964B08"/>
    <w:rsid w:val="519D5313"/>
    <w:rsid w:val="51B873EC"/>
    <w:rsid w:val="51C85C6A"/>
    <w:rsid w:val="51CC3834"/>
    <w:rsid w:val="51CC70A6"/>
    <w:rsid w:val="51ED0D65"/>
    <w:rsid w:val="51F14211"/>
    <w:rsid w:val="51FC7C62"/>
    <w:rsid w:val="520F30F0"/>
    <w:rsid w:val="52145561"/>
    <w:rsid w:val="522B4351"/>
    <w:rsid w:val="523265CE"/>
    <w:rsid w:val="526E22E3"/>
    <w:rsid w:val="529920FE"/>
    <w:rsid w:val="52BE3E57"/>
    <w:rsid w:val="52C949B0"/>
    <w:rsid w:val="52CB754E"/>
    <w:rsid w:val="52E15B70"/>
    <w:rsid w:val="52FD4CE4"/>
    <w:rsid w:val="530124DE"/>
    <w:rsid w:val="53014E2A"/>
    <w:rsid w:val="53026251"/>
    <w:rsid w:val="530424DD"/>
    <w:rsid w:val="531168DA"/>
    <w:rsid w:val="533A5A5D"/>
    <w:rsid w:val="534B4E91"/>
    <w:rsid w:val="536960DA"/>
    <w:rsid w:val="537549CC"/>
    <w:rsid w:val="539E117B"/>
    <w:rsid w:val="53C7060A"/>
    <w:rsid w:val="53D509BC"/>
    <w:rsid w:val="53D6474C"/>
    <w:rsid w:val="53E3670B"/>
    <w:rsid w:val="540171DF"/>
    <w:rsid w:val="540256A3"/>
    <w:rsid w:val="54170D57"/>
    <w:rsid w:val="542029AB"/>
    <w:rsid w:val="542517B9"/>
    <w:rsid w:val="54336DB7"/>
    <w:rsid w:val="543639D7"/>
    <w:rsid w:val="543821F4"/>
    <w:rsid w:val="543E6803"/>
    <w:rsid w:val="54447327"/>
    <w:rsid w:val="545229A6"/>
    <w:rsid w:val="545526F6"/>
    <w:rsid w:val="54571017"/>
    <w:rsid w:val="5460432C"/>
    <w:rsid w:val="546E6245"/>
    <w:rsid w:val="54805D24"/>
    <w:rsid w:val="54AB5B20"/>
    <w:rsid w:val="54BA04D6"/>
    <w:rsid w:val="54CB3768"/>
    <w:rsid w:val="54DD033F"/>
    <w:rsid w:val="54EB7D3E"/>
    <w:rsid w:val="54EE232C"/>
    <w:rsid w:val="54F303A3"/>
    <w:rsid w:val="54F7144C"/>
    <w:rsid w:val="55027302"/>
    <w:rsid w:val="5507767F"/>
    <w:rsid w:val="5510290B"/>
    <w:rsid w:val="5515526C"/>
    <w:rsid w:val="55266BA1"/>
    <w:rsid w:val="552B12C1"/>
    <w:rsid w:val="553A3709"/>
    <w:rsid w:val="55424459"/>
    <w:rsid w:val="55480811"/>
    <w:rsid w:val="555A610C"/>
    <w:rsid w:val="555B7665"/>
    <w:rsid w:val="556C35B1"/>
    <w:rsid w:val="55A0012B"/>
    <w:rsid w:val="55B64D95"/>
    <w:rsid w:val="55BD6D90"/>
    <w:rsid w:val="55DE7704"/>
    <w:rsid w:val="55E770A5"/>
    <w:rsid w:val="55F85222"/>
    <w:rsid w:val="56065A6A"/>
    <w:rsid w:val="562E5565"/>
    <w:rsid w:val="563C149B"/>
    <w:rsid w:val="56473862"/>
    <w:rsid w:val="565D6FC2"/>
    <w:rsid w:val="56652005"/>
    <w:rsid w:val="568327B4"/>
    <w:rsid w:val="568759BF"/>
    <w:rsid w:val="56AA3AFD"/>
    <w:rsid w:val="56AF0B05"/>
    <w:rsid w:val="56D42819"/>
    <w:rsid w:val="56D65570"/>
    <w:rsid w:val="56D70431"/>
    <w:rsid w:val="56E46875"/>
    <w:rsid w:val="56F00216"/>
    <w:rsid w:val="57106295"/>
    <w:rsid w:val="57191D12"/>
    <w:rsid w:val="572739EE"/>
    <w:rsid w:val="57492475"/>
    <w:rsid w:val="5768424A"/>
    <w:rsid w:val="57750F2B"/>
    <w:rsid w:val="577E57B2"/>
    <w:rsid w:val="57822566"/>
    <w:rsid w:val="5784275D"/>
    <w:rsid w:val="578F0A21"/>
    <w:rsid w:val="578F4D10"/>
    <w:rsid w:val="579164B8"/>
    <w:rsid w:val="57AE2025"/>
    <w:rsid w:val="57BE7636"/>
    <w:rsid w:val="57C20136"/>
    <w:rsid w:val="57CD2C5A"/>
    <w:rsid w:val="57DE1FA6"/>
    <w:rsid w:val="57DE3B83"/>
    <w:rsid w:val="57E07686"/>
    <w:rsid w:val="57E14C19"/>
    <w:rsid w:val="57ED6F38"/>
    <w:rsid w:val="57F35633"/>
    <w:rsid w:val="57F95D0E"/>
    <w:rsid w:val="57FF038A"/>
    <w:rsid w:val="58010CAB"/>
    <w:rsid w:val="58025073"/>
    <w:rsid w:val="58057D5C"/>
    <w:rsid w:val="58144B63"/>
    <w:rsid w:val="58250D49"/>
    <w:rsid w:val="58334F48"/>
    <w:rsid w:val="5867128E"/>
    <w:rsid w:val="58771D8A"/>
    <w:rsid w:val="58802648"/>
    <w:rsid w:val="588E7746"/>
    <w:rsid w:val="589B1ACB"/>
    <w:rsid w:val="58A8745F"/>
    <w:rsid w:val="58AD2FEC"/>
    <w:rsid w:val="58B518F4"/>
    <w:rsid w:val="58E24091"/>
    <w:rsid w:val="58F518D0"/>
    <w:rsid w:val="59234651"/>
    <w:rsid w:val="59242985"/>
    <w:rsid w:val="59363A85"/>
    <w:rsid w:val="59421F4E"/>
    <w:rsid w:val="59565004"/>
    <w:rsid w:val="59C84578"/>
    <w:rsid w:val="59CC0746"/>
    <w:rsid w:val="59D853E0"/>
    <w:rsid w:val="59E40F3C"/>
    <w:rsid w:val="5A0421DD"/>
    <w:rsid w:val="5A0C02F8"/>
    <w:rsid w:val="5A193B69"/>
    <w:rsid w:val="5A197866"/>
    <w:rsid w:val="5A1B3E4A"/>
    <w:rsid w:val="5A2D1CC0"/>
    <w:rsid w:val="5A40238B"/>
    <w:rsid w:val="5A413BBC"/>
    <w:rsid w:val="5A4674E3"/>
    <w:rsid w:val="5A5376AA"/>
    <w:rsid w:val="5A5862DD"/>
    <w:rsid w:val="5A782B3D"/>
    <w:rsid w:val="5A7A6AAF"/>
    <w:rsid w:val="5A80449F"/>
    <w:rsid w:val="5A9048F4"/>
    <w:rsid w:val="5A9C2FD2"/>
    <w:rsid w:val="5AA12991"/>
    <w:rsid w:val="5AA24501"/>
    <w:rsid w:val="5AAF34F7"/>
    <w:rsid w:val="5ABD2417"/>
    <w:rsid w:val="5AC60C17"/>
    <w:rsid w:val="5AE9382D"/>
    <w:rsid w:val="5AF41DB3"/>
    <w:rsid w:val="5B037901"/>
    <w:rsid w:val="5B207DCE"/>
    <w:rsid w:val="5B27565F"/>
    <w:rsid w:val="5B2F112C"/>
    <w:rsid w:val="5B570703"/>
    <w:rsid w:val="5B5720D3"/>
    <w:rsid w:val="5B5F7D1B"/>
    <w:rsid w:val="5B78462A"/>
    <w:rsid w:val="5B922546"/>
    <w:rsid w:val="5BA97070"/>
    <w:rsid w:val="5BB57F99"/>
    <w:rsid w:val="5BB667E1"/>
    <w:rsid w:val="5BC90B7C"/>
    <w:rsid w:val="5C1A6789"/>
    <w:rsid w:val="5C4704E6"/>
    <w:rsid w:val="5C5F5DB8"/>
    <w:rsid w:val="5C724DE6"/>
    <w:rsid w:val="5C744210"/>
    <w:rsid w:val="5C8216B9"/>
    <w:rsid w:val="5C830A19"/>
    <w:rsid w:val="5CA625B8"/>
    <w:rsid w:val="5CB760A3"/>
    <w:rsid w:val="5CC40C87"/>
    <w:rsid w:val="5CC86A3B"/>
    <w:rsid w:val="5D012168"/>
    <w:rsid w:val="5D2014EE"/>
    <w:rsid w:val="5D4502B7"/>
    <w:rsid w:val="5D491DFD"/>
    <w:rsid w:val="5D555320"/>
    <w:rsid w:val="5D555AA2"/>
    <w:rsid w:val="5D611778"/>
    <w:rsid w:val="5D695D69"/>
    <w:rsid w:val="5D7F79CE"/>
    <w:rsid w:val="5D8506F1"/>
    <w:rsid w:val="5DA25ECA"/>
    <w:rsid w:val="5DB34D94"/>
    <w:rsid w:val="5DBB60E3"/>
    <w:rsid w:val="5DD914A1"/>
    <w:rsid w:val="5DDC0F32"/>
    <w:rsid w:val="5E0602E7"/>
    <w:rsid w:val="5E097136"/>
    <w:rsid w:val="5E317E25"/>
    <w:rsid w:val="5E3732BA"/>
    <w:rsid w:val="5E4759F8"/>
    <w:rsid w:val="5E4874E0"/>
    <w:rsid w:val="5E585605"/>
    <w:rsid w:val="5E633582"/>
    <w:rsid w:val="5E8964F6"/>
    <w:rsid w:val="5EA36B10"/>
    <w:rsid w:val="5ECF3CBD"/>
    <w:rsid w:val="5EE73337"/>
    <w:rsid w:val="5F031877"/>
    <w:rsid w:val="5F2946F7"/>
    <w:rsid w:val="5F29689D"/>
    <w:rsid w:val="5F3A411B"/>
    <w:rsid w:val="5F3C0873"/>
    <w:rsid w:val="5F4915A4"/>
    <w:rsid w:val="5F4D4088"/>
    <w:rsid w:val="5F590A7F"/>
    <w:rsid w:val="5F5A0423"/>
    <w:rsid w:val="5F6E61EE"/>
    <w:rsid w:val="5F954D6C"/>
    <w:rsid w:val="5FAA4ED8"/>
    <w:rsid w:val="5FBD7F0F"/>
    <w:rsid w:val="5FD135BC"/>
    <w:rsid w:val="5FE42CE1"/>
    <w:rsid w:val="5FEE52AF"/>
    <w:rsid w:val="5FF867CA"/>
    <w:rsid w:val="601737BD"/>
    <w:rsid w:val="601C5DBC"/>
    <w:rsid w:val="604140AA"/>
    <w:rsid w:val="60417AE9"/>
    <w:rsid w:val="6047035B"/>
    <w:rsid w:val="60570BBC"/>
    <w:rsid w:val="6058637D"/>
    <w:rsid w:val="60630FE3"/>
    <w:rsid w:val="60671FEC"/>
    <w:rsid w:val="606D3450"/>
    <w:rsid w:val="607327FB"/>
    <w:rsid w:val="60A67424"/>
    <w:rsid w:val="60B05BA9"/>
    <w:rsid w:val="60B55C8F"/>
    <w:rsid w:val="60BF0AF8"/>
    <w:rsid w:val="60C07AD2"/>
    <w:rsid w:val="60C314C5"/>
    <w:rsid w:val="60D52808"/>
    <w:rsid w:val="61066D4C"/>
    <w:rsid w:val="612D16B9"/>
    <w:rsid w:val="613D5F4C"/>
    <w:rsid w:val="614B2F77"/>
    <w:rsid w:val="61533015"/>
    <w:rsid w:val="615C6EBB"/>
    <w:rsid w:val="61636ABF"/>
    <w:rsid w:val="61721692"/>
    <w:rsid w:val="617B0D76"/>
    <w:rsid w:val="618A3516"/>
    <w:rsid w:val="61AA38BB"/>
    <w:rsid w:val="61B33D38"/>
    <w:rsid w:val="61B9396B"/>
    <w:rsid w:val="61DB58C6"/>
    <w:rsid w:val="61E37433"/>
    <w:rsid w:val="61E66D8B"/>
    <w:rsid w:val="61F15FAC"/>
    <w:rsid w:val="61FF08C2"/>
    <w:rsid w:val="62256E09"/>
    <w:rsid w:val="624E45CE"/>
    <w:rsid w:val="625B0847"/>
    <w:rsid w:val="62744E4A"/>
    <w:rsid w:val="62747970"/>
    <w:rsid w:val="627F5AEF"/>
    <w:rsid w:val="62A705E9"/>
    <w:rsid w:val="62C764D6"/>
    <w:rsid w:val="62CB3618"/>
    <w:rsid w:val="62F70615"/>
    <w:rsid w:val="63023068"/>
    <w:rsid w:val="630E28AD"/>
    <w:rsid w:val="6312029B"/>
    <w:rsid w:val="63152244"/>
    <w:rsid w:val="63240D6D"/>
    <w:rsid w:val="632B0D94"/>
    <w:rsid w:val="633057D9"/>
    <w:rsid w:val="633127C7"/>
    <w:rsid w:val="63362C21"/>
    <w:rsid w:val="63436025"/>
    <w:rsid w:val="63602F8B"/>
    <w:rsid w:val="637D5050"/>
    <w:rsid w:val="6385228C"/>
    <w:rsid w:val="63933A7E"/>
    <w:rsid w:val="63940941"/>
    <w:rsid w:val="63AF5BF0"/>
    <w:rsid w:val="63CF0C91"/>
    <w:rsid w:val="63CF7F83"/>
    <w:rsid w:val="63D37EFF"/>
    <w:rsid w:val="63DC17C8"/>
    <w:rsid w:val="63EF0678"/>
    <w:rsid w:val="63F074D3"/>
    <w:rsid w:val="64075BFB"/>
    <w:rsid w:val="641B3115"/>
    <w:rsid w:val="64470446"/>
    <w:rsid w:val="64472C91"/>
    <w:rsid w:val="64472D65"/>
    <w:rsid w:val="644B6D73"/>
    <w:rsid w:val="646E68B4"/>
    <w:rsid w:val="647B553E"/>
    <w:rsid w:val="648A51D9"/>
    <w:rsid w:val="648F4F74"/>
    <w:rsid w:val="649E62F4"/>
    <w:rsid w:val="64A13B48"/>
    <w:rsid w:val="64B25D22"/>
    <w:rsid w:val="64C9679C"/>
    <w:rsid w:val="64D349EC"/>
    <w:rsid w:val="64E04F7A"/>
    <w:rsid w:val="6504636C"/>
    <w:rsid w:val="650F0AD7"/>
    <w:rsid w:val="651C400E"/>
    <w:rsid w:val="651D4EEB"/>
    <w:rsid w:val="65260505"/>
    <w:rsid w:val="654B4F8D"/>
    <w:rsid w:val="65551424"/>
    <w:rsid w:val="6569113C"/>
    <w:rsid w:val="656D7853"/>
    <w:rsid w:val="656F4848"/>
    <w:rsid w:val="65750E5C"/>
    <w:rsid w:val="657E1721"/>
    <w:rsid w:val="65A410AE"/>
    <w:rsid w:val="65A4563E"/>
    <w:rsid w:val="65A91DF9"/>
    <w:rsid w:val="65A938EE"/>
    <w:rsid w:val="65B82689"/>
    <w:rsid w:val="65BD22E0"/>
    <w:rsid w:val="65CC369A"/>
    <w:rsid w:val="65D17FB6"/>
    <w:rsid w:val="65E14617"/>
    <w:rsid w:val="65EF73D8"/>
    <w:rsid w:val="65FF22D3"/>
    <w:rsid w:val="66016343"/>
    <w:rsid w:val="66073742"/>
    <w:rsid w:val="66202C51"/>
    <w:rsid w:val="66397936"/>
    <w:rsid w:val="66462AED"/>
    <w:rsid w:val="664C292B"/>
    <w:rsid w:val="666255B4"/>
    <w:rsid w:val="6665170A"/>
    <w:rsid w:val="666F649D"/>
    <w:rsid w:val="667177CD"/>
    <w:rsid w:val="66742181"/>
    <w:rsid w:val="6682480A"/>
    <w:rsid w:val="668514ED"/>
    <w:rsid w:val="6691073A"/>
    <w:rsid w:val="669424B4"/>
    <w:rsid w:val="669A09FE"/>
    <w:rsid w:val="66A518C4"/>
    <w:rsid w:val="66C47964"/>
    <w:rsid w:val="66C71C42"/>
    <w:rsid w:val="66DD2B1B"/>
    <w:rsid w:val="66EF1BD0"/>
    <w:rsid w:val="66FF4086"/>
    <w:rsid w:val="670D7269"/>
    <w:rsid w:val="671219C0"/>
    <w:rsid w:val="671248FB"/>
    <w:rsid w:val="67165F35"/>
    <w:rsid w:val="671C458C"/>
    <w:rsid w:val="671D3611"/>
    <w:rsid w:val="67212BB5"/>
    <w:rsid w:val="67694DC6"/>
    <w:rsid w:val="677F7CC5"/>
    <w:rsid w:val="67B44238"/>
    <w:rsid w:val="67D36749"/>
    <w:rsid w:val="67DD3A51"/>
    <w:rsid w:val="67E26249"/>
    <w:rsid w:val="67E70ECC"/>
    <w:rsid w:val="67F40B25"/>
    <w:rsid w:val="68027262"/>
    <w:rsid w:val="680B077E"/>
    <w:rsid w:val="681C1A40"/>
    <w:rsid w:val="68233D1B"/>
    <w:rsid w:val="683F1C8E"/>
    <w:rsid w:val="686D73DE"/>
    <w:rsid w:val="68844E03"/>
    <w:rsid w:val="688709DF"/>
    <w:rsid w:val="68BF5C96"/>
    <w:rsid w:val="68D730B1"/>
    <w:rsid w:val="68E81570"/>
    <w:rsid w:val="69025D3A"/>
    <w:rsid w:val="69051F22"/>
    <w:rsid w:val="692A6AEB"/>
    <w:rsid w:val="694E5738"/>
    <w:rsid w:val="695C6A9D"/>
    <w:rsid w:val="695C6D5A"/>
    <w:rsid w:val="695D0CC5"/>
    <w:rsid w:val="698067D9"/>
    <w:rsid w:val="69865774"/>
    <w:rsid w:val="698A2237"/>
    <w:rsid w:val="698B4078"/>
    <w:rsid w:val="698E49AF"/>
    <w:rsid w:val="69B74A78"/>
    <w:rsid w:val="69C15622"/>
    <w:rsid w:val="69CD094D"/>
    <w:rsid w:val="69D7524E"/>
    <w:rsid w:val="69EF3D4E"/>
    <w:rsid w:val="6A03105E"/>
    <w:rsid w:val="6A1405B6"/>
    <w:rsid w:val="6A186774"/>
    <w:rsid w:val="6A36531E"/>
    <w:rsid w:val="6A434E4A"/>
    <w:rsid w:val="6A615AA7"/>
    <w:rsid w:val="6A641B7B"/>
    <w:rsid w:val="6A721BFD"/>
    <w:rsid w:val="6A7B1930"/>
    <w:rsid w:val="6A7D3953"/>
    <w:rsid w:val="6A8C123F"/>
    <w:rsid w:val="6A944987"/>
    <w:rsid w:val="6A954B2A"/>
    <w:rsid w:val="6A9577FF"/>
    <w:rsid w:val="6AA82FEC"/>
    <w:rsid w:val="6AB72B65"/>
    <w:rsid w:val="6AE579FF"/>
    <w:rsid w:val="6B247BA7"/>
    <w:rsid w:val="6B2D4CDB"/>
    <w:rsid w:val="6B3466D8"/>
    <w:rsid w:val="6B4D3C93"/>
    <w:rsid w:val="6B501E68"/>
    <w:rsid w:val="6B7074B0"/>
    <w:rsid w:val="6B8A6AD0"/>
    <w:rsid w:val="6B8C08A4"/>
    <w:rsid w:val="6B924F1A"/>
    <w:rsid w:val="6B970275"/>
    <w:rsid w:val="6BA760E3"/>
    <w:rsid w:val="6C0B404D"/>
    <w:rsid w:val="6C1322BA"/>
    <w:rsid w:val="6C202982"/>
    <w:rsid w:val="6C2036F0"/>
    <w:rsid w:val="6C441A9A"/>
    <w:rsid w:val="6C5F1FB2"/>
    <w:rsid w:val="6C764754"/>
    <w:rsid w:val="6C850463"/>
    <w:rsid w:val="6C941E2C"/>
    <w:rsid w:val="6C9814DD"/>
    <w:rsid w:val="6C984F57"/>
    <w:rsid w:val="6CA65C55"/>
    <w:rsid w:val="6CBF24E5"/>
    <w:rsid w:val="6CC20462"/>
    <w:rsid w:val="6CCB7B41"/>
    <w:rsid w:val="6D0B137C"/>
    <w:rsid w:val="6D21772F"/>
    <w:rsid w:val="6D255A06"/>
    <w:rsid w:val="6D291FEA"/>
    <w:rsid w:val="6D2D61C5"/>
    <w:rsid w:val="6D355C06"/>
    <w:rsid w:val="6D4D07DE"/>
    <w:rsid w:val="6D6C6ACF"/>
    <w:rsid w:val="6D935B6E"/>
    <w:rsid w:val="6D9E7CCD"/>
    <w:rsid w:val="6DA31D58"/>
    <w:rsid w:val="6DA63931"/>
    <w:rsid w:val="6DB71D10"/>
    <w:rsid w:val="6DBA1078"/>
    <w:rsid w:val="6DBA11A5"/>
    <w:rsid w:val="6DBC2489"/>
    <w:rsid w:val="6DCD3AD2"/>
    <w:rsid w:val="6DD901F4"/>
    <w:rsid w:val="6DEA1DC6"/>
    <w:rsid w:val="6DEE56C8"/>
    <w:rsid w:val="6DF32F77"/>
    <w:rsid w:val="6E196A88"/>
    <w:rsid w:val="6E316305"/>
    <w:rsid w:val="6E33564D"/>
    <w:rsid w:val="6E3B5C76"/>
    <w:rsid w:val="6E3E4F78"/>
    <w:rsid w:val="6E56047F"/>
    <w:rsid w:val="6E572223"/>
    <w:rsid w:val="6E5B5236"/>
    <w:rsid w:val="6E6B6356"/>
    <w:rsid w:val="6EA86561"/>
    <w:rsid w:val="6EB22420"/>
    <w:rsid w:val="6EB54C47"/>
    <w:rsid w:val="6EB82BBF"/>
    <w:rsid w:val="6EC02C9A"/>
    <w:rsid w:val="6EC074B4"/>
    <w:rsid w:val="6EC31C7E"/>
    <w:rsid w:val="6ECA33BC"/>
    <w:rsid w:val="6EE619CB"/>
    <w:rsid w:val="6EE97935"/>
    <w:rsid w:val="6EF55E95"/>
    <w:rsid w:val="6F321D4F"/>
    <w:rsid w:val="6F3968BC"/>
    <w:rsid w:val="6F506C08"/>
    <w:rsid w:val="6F5A210F"/>
    <w:rsid w:val="6F8C6084"/>
    <w:rsid w:val="6F900C2D"/>
    <w:rsid w:val="6FAE16EB"/>
    <w:rsid w:val="6FBF6A84"/>
    <w:rsid w:val="6FC10113"/>
    <w:rsid w:val="6FCE3B16"/>
    <w:rsid w:val="6FD06A1C"/>
    <w:rsid w:val="6FF052D8"/>
    <w:rsid w:val="701E09E3"/>
    <w:rsid w:val="70284FCC"/>
    <w:rsid w:val="70426CAE"/>
    <w:rsid w:val="706025D7"/>
    <w:rsid w:val="70777940"/>
    <w:rsid w:val="708E0632"/>
    <w:rsid w:val="708E4857"/>
    <w:rsid w:val="70A64A69"/>
    <w:rsid w:val="70C445A6"/>
    <w:rsid w:val="70E5284F"/>
    <w:rsid w:val="70E56E24"/>
    <w:rsid w:val="70EB7F1C"/>
    <w:rsid w:val="71232A60"/>
    <w:rsid w:val="712E7219"/>
    <w:rsid w:val="71335103"/>
    <w:rsid w:val="713C6868"/>
    <w:rsid w:val="71580284"/>
    <w:rsid w:val="715F0D2A"/>
    <w:rsid w:val="7166224E"/>
    <w:rsid w:val="71727D73"/>
    <w:rsid w:val="71A65874"/>
    <w:rsid w:val="71AD035C"/>
    <w:rsid w:val="71AE1B09"/>
    <w:rsid w:val="71B14BAE"/>
    <w:rsid w:val="71D01C74"/>
    <w:rsid w:val="71D075E5"/>
    <w:rsid w:val="71D25E5D"/>
    <w:rsid w:val="71F600DD"/>
    <w:rsid w:val="71FF494B"/>
    <w:rsid w:val="720B027C"/>
    <w:rsid w:val="722C0FBE"/>
    <w:rsid w:val="724607AB"/>
    <w:rsid w:val="726F36ED"/>
    <w:rsid w:val="72753761"/>
    <w:rsid w:val="727A420A"/>
    <w:rsid w:val="727D5C61"/>
    <w:rsid w:val="727F7AB3"/>
    <w:rsid w:val="72832574"/>
    <w:rsid w:val="729072AD"/>
    <w:rsid w:val="72A067AD"/>
    <w:rsid w:val="72A10844"/>
    <w:rsid w:val="72C15229"/>
    <w:rsid w:val="72C6621D"/>
    <w:rsid w:val="72CC411C"/>
    <w:rsid w:val="730A72FE"/>
    <w:rsid w:val="73104745"/>
    <w:rsid w:val="73555E12"/>
    <w:rsid w:val="738C657C"/>
    <w:rsid w:val="738D2C4D"/>
    <w:rsid w:val="73A653C7"/>
    <w:rsid w:val="73A865AD"/>
    <w:rsid w:val="73A91BC5"/>
    <w:rsid w:val="73AC2C39"/>
    <w:rsid w:val="73AE3AAD"/>
    <w:rsid w:val="73BD057F"/>
    <w:rsid w:val="73C57807"/>
    <w:rsid w:val="73C9197D"/>
    <w:rsid w:val="73CC1CDE"/>
    <w:rsid w:val="73D83CB5"/>
    <w:rsid w:val="73E62C46"/>
    <w:rsid w:val="73F816BE"/>
    <w:rsid w:val="740041F4"/>
    <w:rsid w:val="74015E8C"/>
    <w:rsid w:val="740B72BE"/>
    <w:rsid w:val="74326D01"/>
    <w:rsid w:val="74365150"/>
    <w:rsid w:val="7437259D"/>
    <w:rsid w:val="743E759E"/>
    <w:rsid w:val="744A720C"/>
    <w:rsid w:val="7450324B"/>
    <w:rsid w:val="745E7B82"/>
    <w:rsid w:val="74692AA2"/>
    <w:rsid w:val="74737DBE"/>
    <w:rsid w:val="74754C57"/>
    <w:rsid w:val="747C7E03"/>
    <w:rsid w:val="74891E7A"/>
    <w:rsid w:val="74A83D96"/>
    <w:rsid w:val="74C0598D"/>
    <w:rsid w:val="74CD50DA"/>
    <w:rsid w:val="74CF0CC0"/>
    <w:rsid w:val="74D43918"/>
    <w:rsid w:val="74DB5ED7"/>
    <w:rsid w:val="74DC5747"/>
    <w:rsid w:val="74E8505D"/>
    <w:rsid w:val="74F53BEA"/>
    <w:rsid w:val="74F6247E"/>
    <w:rsid w:val="75032CFC"/>
    <w:rsid w:val="750B3F2E"/>
    <w:rsid w:val="75120DD4"/>
    <w:rsid w:val="751374AE"/>
    <w:rsid w:val="751B1355"/>
    <w:rsid w:val="754643D0"/>
    <w:rsid w:val="756A11CD"/>
    <w:rsid w:val="757564EC"/>
    <w:rsid w:val="757E20E1"/>
    <w:rsid w:val="759A7D36"/>
    <w:rsid w:val="75A671BC"/>
    <w:rsid w:val="75BD60B8"/>
    <w:rsid w:val="75D945B5"/>
    <w:rsid w:val="75EA0F35"/>
    <w:rsid w:val="76090A87"/>
    <w:rsid w:val="761F65C0"/>
    <w:rsid w:val="76324D34"/>
    <w:rsid w:val="76360A8A"/>
    <w:rsid w:val="76367EE7"/>
    <w:rsid w:val="76440F14"/>
    <w:rsid w:val="765F02FA"/>
    <w:rsid w:val="766D2570"/>
    <w:rsid w:val="769B4141"/>
    <w:rsid w:val="76C0661F"/>
    <w:rsid w:val="76D210E3"/>
    <w:rsid w:val="76F30439"/>
    <w:rsid w:val="76F90A3A"/>
    <w:rsid w:val="77092783"/>
    <w:rsid w:val="77175C9F"/>
    <w:rsid w:val="77330E74"/>
    <w:rsid w:val="77382614"/>
    <w:rsid w:val="774C5C5B"/>
    <w:rsid w:val="774D5EAB"/>
    <w:rsid w:val="775F7870"/>
    <w:rsid w:val="77712141"/>
    <w:rsid w:val="7794144F"/>
    <w:rsid w:val="779732F3"/>
    <w:rsid w:val="77A02BEA"/>
    <w:rsid w:val="77DB04AC"/>
    <w:rsid w:val="77FC4FD9"/>
    <w:rsid w:val="78023D16"/>
    <w:rsid w:val="7803620E"/>
    <w:rsid w:val="782130AF"/>
    <w:rsid w:val="78215D72"/>
    <w:rsid w:val="783467ED"/>
    <w:rsid w:val="78394DCF"/>
    <w:rsid w:val="784943F6"/>
    <w:rsid w:val="7850150E"/>
    <w:rsid w:val="78745881"/>
    <w:rsid w:val="7878360C"/>
    <w:rsid w:val="7889396C"/>
    <w:rsid w:val="788C48F0"/>
    <w:rsid w:val="789266AC"/>
    <w:rsid w:val="78957689"/>
    <w:rsid w:val="78B744E0"/>
    <w:rsid w:val="78B86E39"/>
    <w:rsid w:val="78FC5BE2"/>
    <w:rsid w:val="78FE36BA"/>
    <w:rsid w:val="790967E1"/>
    <w:rsid w:val="791A03D5"/>
    <w:rsid w:val="79270046"/>
    <w:rsid w:val="793C792E"/>
    <w:rsid w:val="79446110"/>
    <w:rsid w:val="79483207"/>
    <w:rsid w:val="794A28BF"/>
    <w:rsid w:val="79514E87"/>
    <w:rsid w:val="796077FE"/>
    <w:rsid w:val="796B3565"/>
    <w:rsid w:val="796D09A0"/>
    <w:rsid w:val="79775C11"/>
    <w:rsid w:val="797A355F"/>
    <w:rsid w:val="7990696B"/>
    <w:rsid w:val="79922560"/>
    <w:rsid w:val="799978B0"/>
    <w:rsid w:val="79A879D8"/>
    <w:rsid w:val="79B56583"/>
    <w:rsid w:val="79D00A52"/>
    <w:rsid w:val="79D256EB"/>
    <w:rsid w:val="79D40BDD"/>
    <w:rsid w:val="79D61BCB"/>
    <w:rsid w:val="79DF1D05"/>
    <w:rsid w:val="79FD631D"/>
    <w:rsid w:val="7A025362"/>
    <w:rsid w:val="7A191161"/>
    <w:rsid w:val="7A3A5B08"/>
    <w:rsid w:val="7A4024C0"/>
    <w:rsid w:val="7A48272A"/>
    <w:rsid w:val="7A4A4937"/>
    <w:rsid w:val="7A551A2A"/>
    <w:rsid w:val="7A6107D7"/>
    <w:rsid w:val="7A65348B"/>
    <w:rsid w:val="7A6F1B32"/>
    <w:rsid w:val="7A76785C"/>
    <w:rsid w:val="7A922C69"/>
    <w:rsid w:val="7AAB556F"/>
    <w:rsid w:val="7AAC79C6"/>
    <w:rsid w:val="7AAD2306"/>
    <w:rsid w:val="7AAF4989"/>
    <w:rsid w:val="7AC479C5"/>
    <w:rsid w:val="7ADB0D37"/>
    <w:rsid w:val="7AE25AD4"/>
    <w:rsid w:val="7AEE5756"/>
    <w:rsid w:val="7AF90BBB"/>
    <w:rsid w:val="7AF95CFF"/>
    <w:rsid w:val="7B123C4E"/>
    <w:rsid w:val="7B127A91"/>
    <w:rsid w:val="7B1B5FC5"/>
    <w:rsid w:val="7B1C3F44"/>
    <w:rsid w:val="7B2129B1"/>
    <w:rsid w:val="7B361269"/>
    <w:rsid w:val="7B3E3FFC"/>
    <w:rsid w:val="7B4C0FF5"/>
    <w:rsid w:val="7B5A1ABD"/>
    <w:rsid w:val="7B6F1092"/>
    <w:rsid w:val="7B750471"/>
    <w:rsid w:val="7B77296D"/>
    <w:rsid w:val="7B7A26F2"/>
    <w:rsid w:val="7B881245"/>
    <w:rsid w:val="7B94497D"/>
    <w:rsid w:val="7BA80D89"/>
    <w:rsid w:val="7BAD46CF"/>
    <w:rsid w:val="7BB6599C"/>
    <w:rsid w:val="7BBE7194"/>
    <w:rsid w:val="7BC467AF"/>
    <w:rsid w:val="7BCD5422"/>
    <w:rsid w:val="7BEC1727"/>
    <w:rsid w:val="7BF804BB"/>
    <w:rsid w:val="7C19690A"/>
    <w:rsid w:val="7C4E7962"/>
    <w:rsid w:val="7C5C0F91"/>
    <w:rsid w:val="7C5D6D63"/>
    <w:rsid w:val="7C700E23"/>
    <w:rsid w:val="7C772CF4"/>
    <w:rsid w:val="7C9A5BBC"/>
    <w:rsid w:val="7CAD1DA8"/>
    <w:rsid w:val="7CB5733D"/>
    <w:rsid w:val="7CB667A5"/>
    <w:rsid w:val="7CDB42A4"/>
    <w:rsid w:val="7CF22DCC"/>
    <w:rsid w:val="7CF55303"/>
    <w:rsid w:val="7CF55F20"/>
    <w:rsid w:val="7CF92748"/>
    <w:rsid w:val="7CFB19E3"/>
    <w:rsid w:val="7D17411B"/>
    <w:rsid w:val="7D1F471E"/>
    <w:rsid w:val="7D264A7F"/>
    <w:rsid w:val="7D453F47"/>
    <w:rsid w:val="7D584816"/>
    <w:rsid w:val="7D58516C"/>
    <w:rsid w:val="7D6A56F7"/>
    <w:rsid w:val="7D6B13FD"/>
    <w:rsid w:val="7D6B63C0"/>
    <w:rsid w:val="7D7920F2"/>
    <w:rsid w:val="7D7D22E2"/>
    <w:rsid w:val="7D8B00F2"/>
    <w:rsid w:val="7D9C0C92"/>
    <w:rsid w:val="7D9F45D7"/>
    <w:rsid w:val="7DA30F73"/>
    <w:rsid w:val="7DA32C02"/>
    <w:rsid w:val="7DA8164C"/>
    <w:rsid w:val="7DA87648"/>
    <w:rsid w:val="7DAD2669"/>
    <w:rsid w:val="7DB567AE"/>
    <w:rsid w:val="7DBB106D"/>
    <w:rsid w:val="7DCA2351"/>
    <w:rsid w:val="7DCE291A"/>
    <w:rsid w:val="7DCE5217"/>
    <w:rsid w:val="7DD06571"/>
    <w:rsid w:val="7DD23832"/>
    <w:rsid w:val="7DE3656B"/>
    <w:rsid w:val="7DF25D54"/>
    <w:rsid w:val="7DF71EE1"/>
    <w:rsid w:val="7E016B1B"/>
    <w:rsid w:val="7E135AD8"/>
    <w:rsid w:val="7E1A4372"/>
    <w:rsid w:val="7E201877"/>
    <w:rsid w:val="7E291619"/>
    <w:rsid w:val="7E34451D"/>
    <w:rsid w:val="7E3458DB"/>
    <w:rsid w:val="7E391AC0"/>
    <w:rsid w:val="7E43414B"/>
    <w:rsid w:val="7E510AC2"/>
    <w:rsid w:val="7E53375E"/>
    <w:rsid w:val="7E6242BE"/>
    <w:rsid w:val="7E632EC1"/>
    <w:rsid w:val="7E75141A"/>
    <w:rsid w:val="7E8A107B"/>
    <w:rsid w:val="7EAB1C28"/>
    <w:rsid w:val="7EB747A8"/>
    <w:rsid w:val="7EBB77EE"/>
    <w:rsid w:val="7EC418B4"/>
    <w:rsid w:val="7EC64DA1"/>
    <w:rsid w:val="7ECB32C1"/>
    <w:rsid w:val="7ED95D0A"/>
    <w:rsid w:val="7EF12F7B"/>
    <w:rsid w:val="7F054BB1"/>
    <w:rsid w:val="7F077C58"/>
    <w:rsid w:val="7F09460C"/>
    <w:rsid w:val="7F0C75F1"/>
    <w:rsid w:val="7F2E7180"/>
    <w:rsid w:val="7F3234D4"/>
    <w:rsid w:val="7F5D2C6F"/>
    <w:rsid w:val="7F61577F"/>
    <w:rsid w:val="7F663A15"/>
    <w:rsid w:val="7F667DA5"/>
    <w:rsid w:val="7F790C4C"/>
    <w:rsid w:val="7F7962AB"/>
    <w:rsid w:val="7F82470A"/>
    <w:rsid w:val="7F8E73C6"/>
    <w:rsid w:val="7F935975"/>
    <w:rsid w:val="7FAB443A"/>
    <w:rsid w:val="7FAD7305"/>
    <w:rsid w:val="7FB77D81"/>
    <w:rsid w:val="7FBB3D90"/>
    <w:rsid w:val="7FD91FD3"/>
    <w:rsid w:val="7FF03C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40" w:lineRule="exact"/>
      <w:ind w:firstLine="880" w:firstLineChars="200"/>
      <w:jc w:val="both"/>
    </w:pPr>
    <w:rPr>
      <w:rFonts w:eastAsia="仿宋" w:asciiTheme="minorAscii" w:hAnsiTheme="minorAscii" w:cstheme="minorBidi"/>
      <w:kern w:val="2"/>
      <w:sz w:val="32"/>
      <w:szCs w:val="24"/>
      <w:lang w:val="en-US" w:eastAsia="zh-CN" w:bidi="ar-SA"/>
    </w:rPr>
  </w:style>
  <w:style w:type="paragraph" w:styleId="3">
    <w:name w:val="heading 1"/>
    <w:basedOn w:val="1"/>
    <w:next w:val="1"/>
    <w:qFormat/>
    <w:uiPriority w:val="0"/>
    <w:pPr>
      <w:keepNext/>
      <w:keepLines/>
      <w:spacing w:beforeLines="0" w:beforeAutospacing="0" w:afterLines="0" w:afterAutospacing="0" w:line="540" w:lineRule="exact"/>
      <w:ind w:firstLine="0" w:firstLineChars="0"/>
      <w:jc w:val="center"/>
      <w:outlineLvl w:val="0"/>
    </w:pPr>
    <w:rPr>
      <w:rFonts w:eastAsia="方正小标宋简体"/>
      <w:kern w:val="44"/>
      <w:sz w:val="4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4">
    <w:name w:val="Body Text"/>
    <w:basedOn w:val="1"/>
    <w:qFormat/>
    <w:uiPriority w:val="0"/>
    <w:pPr>
      <w:spacing w:after="120"/>
    </w:pPr>
    <w:rPr>
      <w:rFonts w:ascii="Times New Roman" w:hAnsi="Times New Roman" w:eastAsia="宋体" w:cs="Times New Roman"/>
    </w:rPr>
  </w:style>
  <w:style w:type="paragraph" w:styleId="5">
    <w:name w:val="footer"/>
    <w:basedOn w:val="1"/>
    <w:qFormat/>
    <w:uiPriority w:val="99"/>
    <w:pPr>
      <w:tabs>
        <w:tab w:val="center" w:pos="4153"/>
        <w:tab w:val="right" w:pos="8306"/>
      </w:tabs>
      <w:snapToGrid w:val="0"/>
      <w:jc w:val="left"/>
    </w:pPr>
    <w:rPr>
      <w:rFonts w:ascii="Calibri" w:hAnsi="Calibri" w:eastAsia="宋体" w:cs="Times New Roman"/>
      <w:sz w:val="18"/>
      <w:szCs w:val="18"/>
    </w:rPr>
  </w:style>
  <w:style w:type="paragraph" w:styleId="6">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customStyle="1" w:styleId="9">
    <w:name w:val="正儿八经标题"/>
    <w:basedOn w:val="6"/>
    <w:qFormat/>
    <w:uiPriority w:val="0"/>
    <w:pPr>
      <w:spacing w:line="540" w:lineRule="exact"/>
    </w:pPr>
    <w:rPr>
      <w:rFonts w:eastAsia="方正小标宋简体" w:asciiTheme="minorAscii" w:hAnsiTheme="minorAscii"/>
      <w:b w:val="0"/>
      <w:sz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31</Pages>
  <Words>17782</Words>
  <Characters>19271</Characters>
  <Lines>0</Lines>
  <Paragraphs>0</Paragraphs>
  <TotalTime>16</TotalTime>
  <ScaleCrop>false</ScaleCrop>
  <LinksUpToDate>false</LinksUpToDate>
  <CharactersWithSpaces>19358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2023-03-21T02:21:00Z</dcterms:created>
  <dc:creator>蒋金良</dc:creator>
  <cp:lastModifiedBy>蒋金良</cp:lastModifiedBy>
  <cp:lastPrinted>2023-03-21T06:40:00Z</cp:lastPrinted>
  <dcterms:modified xsi:type="dcterms:W3CDTF">2023-03-21T06:40:35Z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71779B75208F45B6B5DBBA2B84DF3733</vt:lpwstr>
  </property>
</Properties>
</file>