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eastAsia" w:ascii="方正小标宋简体" w:eastAsia="方正小标宋简体"/>
          <w:sz w:val="150"/>
          <w:szCs w:val="15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eastAsia" w:ascii="方正小标宋简体" w:eastAsia="方正小标宋简体"/>
          <w:sz w:val="150"/>
          <w:szCs w:val="15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eastAsia" w:ascii="方正小标宋简体" w:eastAsia="方正小标宋简体"/>
          <w:sz w:val="150"/>
          <w:szCs w:val="150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关于印发《2023年东至县乡村生态振兴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工作要点》的通知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各成员单位、各乡镇人民政府：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现将《2023年东至县乡村生态振兴工作要点》印发给你们，请结合实际认真抓好贯彻落实。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440" w:firstLineChars="17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440" w:firstLineChars="17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2023年4月4日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仿宋" w:hAnsi="仿宋" w:eastAsia="方正小标宋简体" w:cs="仿宋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东至县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乡村生态振兴工作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要点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为扎实推进实施乡村振兴战略，落实中央、省、市及县委、县政府关于实施乡村振兴战略的决策部署，扎实做好2023年乡村生态振兴工作，现将2023年重点工作安排如下：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一、深化农村人居环境整治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1.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</w:rPr>
        <w:t>深入推进农村改厕工作。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加强</w:t>
      </w:r>
      <w:r>
        <w:rPr>
          <w:rFonts w:hint="eastAsia" w:ascii="仿宋_GB2312" w:hAnsi="仿宋_GB2312" w:eastAsia="仿宋_GB2312" w:cs="仿宋_GB2312"/>
          <w:sz w:val="32"/>
          <w:szCs w:val="32"/>
        </w:rPr>
        <w:t>农村改厕与污水治理统筹规划、有效衔接，推进厕所粪污无害化处理与资源化利用。建立健全农村改厕长效管护机制。完成农村改厕3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200</w:t>
      </w:r>
      <w:r>
        <w:rPr>
          <w:rFonts w:hint="eastAsia" w:ascii="仿宋_GB2312" w:hAnsi="仿宋_GB2312" w:eastAsia="仿宋_GB2312" w:cs="仿宋_GB2312"/>
          <w:sz w:val="32"/>
          <w:szCs w:val="32"/>
        </w:rPr>
        <w:t>户。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县农业农村局牵头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2.梯次推进农村生活污水治理。</w:t>
      </w:r>
      <w:r>
        <w:rPr>
          <w:rFonts w:hint="eastAsia" w:ascii="仿宋_GB2312" w:hAnsi="仿宋_GB2312" w:eastAsia="仿宋_GB2312" w:cs="仿宋_GB2312"/>
          <w:sz w:val="32"/>
          <w:szCs w:val="32"/>
        </w:rPr>
        <w:t>推进乡镇政府驻地生活污水处理设施提质增效，加快补齐污水收集处理短板。</w:t>
      </w:r>
      <w:r>
        <w:rPr>
          <w:rFonts w:hint="eastAsia" w:ascii="Times New Roman" w:hAnsi="Times New Roman" w:eastAsia="仿宋_GB2312"/>
          <w:sz w:val="32"/>
          <w:szCs w:val="32"/>
        </w:rPr>
        <w:t>完成5个</w:t>
      </w:r>
      <w:r>
        <w:rPr>
          <w:rFonts w:ascii="Times New Roman" w:hAnsi="Times New Roman" w:eastAsia="仿宋_GB2312"/>
          <w:sz w:val="32"/>
          <w:szCs w:val="32"/>
        </w:rPr>
        <w:t>乡镇政府驻地生活污水处理设施提质增效</w:t>
      </w:r>
      <w:r>
        <w:rPr>
          <w:rFonts w:hint="eastAsia" w:ascii="Times New Roman" w:hAnsi="Times New Roman" w:eastAsia="仿宋_GB2312"/>
          <w:sz w:val="32"/>
          <w:szCs w:val="32"/>
        </w:rPr>
        <w:t>，14个行政村</w:t>
      </w:r>
      <w:r>
        <w:rPr>
          <w:rFonts w:ascii="Times New Roman" w:hAnsi="Times New Roman" w:eastAsia="仿宋_GB2312"/>
          <w:sz w:val="32"/>
          <w:szCs w:val="32"/>
        </w:rPr>
        <w:t>农村生活污水治理</w:t>
      </w:r>
      <w:r>
        <w:rPr>
          <w:rFonts w:hint="eastAsia" w:ascii="Times New Roman" w:hAnsi="Times New Roman" w:eastAsia="仿宋_GB2312"/>
          <w:sz w:val="32"/>
          <w:szCs w:val="32"/>
        </w:rPr>
        <w:t>和8个行政村</w:t>
      </w:r>
      <w:r>
        <w:rPr>
          <w:rFonts w:ascii="Times New Roman" w:hAnsi="Times New Roman" w:eastAsia="仿宋_GB2312"/>
          <w:sz w:val="32"/>
          <w:szCs w:val="32"/>
        </w:rPr>
        <w:t>农村环境整治“十四五”目标任务。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县生态环境分局牵头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3.扎实开展农村净水攻坚行动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采取控源截污、生态修复、清淤疏浚和水体连通等措施，对房前屋后河塘沟渠和群众反映强烈的黑臭水体开展治理。完成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大渡口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个</w:t>
      </w:r>
      <w:r>
        <w:rPr>
          <w:rFonts w:hint="eastAsia" w:ascii="仿宋_GB2312" w:hAnsi="仿宋_GB2312" w:eastAsia="仿宋_GB2312" w:cs="仿宋_GB2312"/>
          <w:sz w:val="32"/>
          <w:szCs w:val="32"/>
        </w:rPr>
        <w:t>黑臭水体整治。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县生态环境分局牵头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4.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</w:rPr>
        <w:t>全面推进农村生活垃圾治理。</w:t>
      </w:r>
      <w:r>
        <w:rPr>
          <w:rFonts w:hint="eastAsia" w:ascii="仿宋_GB2312" w:hAnsi="仿宋_GB2312" w:eastAsia="仿宋_GB2312" w:cs="仿宋_GB2312"/>
          <w:sz w:val="32"/>
          <w:szCs w:val="32"/>
        </w:rPr>
        <w:t>持续开展农村生活垃圾分类和资源化利用试点示范，建立农村生活垃圾治理常态化管理机制，推进市场化运作、专业化治理、信息化管理、群众化参与新模式。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（县城管局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牵头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5.建设生态宜居美丽乡村。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加快推进村庄规划，完成有需求的村庄规划编制工作。围绕美丽乡村建设要求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力争新增2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个左右的省级美丽乡村和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150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个左右的美丽宜居自然村庄建设。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</w:rPr>
        <w:t>（县自然资源和规划局、县农业农村局按职责分工落实）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default" w:ascii="黑体" w:hAnsi="黑体" w:eastAsia="黑体" w:cs="黑体"/>
          <w:sz w:val="32"/>
          <w:szCs w:val="32"/>
          <w:lang w:eastAsia="zh-CN"/>
        </w:rPr>
        <w:t>禁止污染向农村地区非法转移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  <w:t>6.加强固体废物监管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建立健全污染防控长效机制，禁止违法将城镇垃圾、工业固体废物等向农村地区转移。实行环境违法行为有奖举报，调动公众举报各类环境违法行为的积极性。</w:t>
      </w:r>
      <w:r>
        <w:rPr>
          <w:rFonts w:hint="default" w:ascii="仿宋_GB2312" w:hAnsi="仿宋_GB2312" w:eastAsia="仿宋_GB2312" w:cs="仿宋_GB2312"/>
          <w:sz w:val="32"/>
          <w:szCs w:val="32"/>
        </w:rPr>
        <w:t>（县生态环境分局牵头）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三、大力发展绿色健康农业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7.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</w:rPr>
        <w:t>开展化肥农药减量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增效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三大粮食作物化肥利用率达42%。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持续</w:t>
      </w:r>
      <w:r>
        <w:rPr>
          <w:rFonts w:hint="eastAsia" w:ascii="仿宋_GB2312" w:hAnsi="仿宋_GB2312" w:eastAsia="仿宋_GB2312" w:cs="仿宋_GB2312"/>
          <w:sz w:val="32"/>
          <w:szCs w:val="32"/>
        </w:rPr>
        <w:t>推进农膜回收和农药包装废弃物集中处置。农膜回收率达83%、农药包装废弃物回收率达80%。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农作物秸秆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畜禽粪污综合利用率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分别</w:t>
      </w:r>
      <w:r>
        <w:rPr>
          <w:rFonts w:hint="eastAsia" w:ascii="仿宋_GB2312" w:hAnsi="仿宋_GB2312" w:eastAsia="仿宋_GB2312" w:cs="仿宋_GB2312"/>
          <w:sz w:val="32"/>
          <w:szCs w:val="32"/>
        </w:rPr>
        <w:t>达94%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83%以上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农作物病虫害绿色防控覆盖率、统防统治覆盖率2023年均达到56%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化肥农药使用量负增长。组织编制县级畜禽养殖污染防治规划。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县农业农村局、县生态环境分局按职责落实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发展绿色水产养殖，实行标准化绿色养殖池塘改造。（县农业农村局牵头）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8.实施系统生态保护和修复重大工程。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推进废弃、在建生产矿山生态修复。完成国土绿化试点示范项目验收和绩效评估，创建森林村庄8个。加强水体流失综合治理。完成2023年度我县6家废弃矿山、2家在建生产矿山生态修复任务。（县自然资源和规划局、县林业局、县水利局按职责落实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9.强化湿地保护和恢复。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长江（东至）生态廊道工程建设，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新增人工造林1万亩，封山育林6万亩、森林抚育4万亩，退化林修复2.5万亩。启动生物多样性本底调查。落实</w:t>
      </w:r>
      <w:r>
        <w:rPr>
          <w:rFonts w:hint="eastAsia" w:ascii="仿宋_GB2312" w:hAnsi="仿宋_GB2312" w:eastAsia="仿宋_GB2312" w:cs="仿宋_GB2312"/>
          <w:sz w:val="32"/>
          <w:szCs w:val="32"/>
        </w:rPr>
        <w:t>好长江十年禁渔,有效恢复长江水生生物多样性。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县林业局、县生态环境分局、县农业农村局按职责落实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加强农用地土壤污染防治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10.实施农用地土壤镉等重金属污染源头防控。</w:t>
      </w:r>
      <w:r>
        <w:rPr>
          <w:rFonts w:hint="eastAsia" w:ascii="仿宋_GB2312" w:hAnsi="仿宋_GB2312" w:eastAsia="仿宋_GB2312" w:cs="仿宋_GB2312"/>
          <w:sz w:val="32"/>
          <w:szCs w:val="32"/>
        </w:rPr>
        <w:t>持续开展涉镉等重金属企业排查整治。聚焦安全利用类和严格管控类耕地集中区域周边的矿区,全面开展涉重金属关停企业及矿区历史遗留固体废物排查整治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降低粮食等农产品中镉等重金属超标风险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县生态环境局、县自然资源和规划局、县农业农村局、县粮食和物资储备局按职责落实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11.推动落实受污染耕地安全利用和严格管控。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加强核查，巩固提升受污染耕地安全利用率。（县农业农村局牵头）开展9家土壤污染重点监管单位隐患排查“回头看”。（县生态环境分局牵头）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五、推进优质生态产品价值转化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12.推进乡村产业高质量发展。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以“项目年”行动为抓手，大力开展“双招双引”，以项目建设带动农产品精深加工，加强规上农产品加工企业指导培育，农产品加工总产值达78亿元。（县农业农村局牵头）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13.大力发展绿色食品产业。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托东至本土特色资源，大力发展食用菌、茶叶、黄精、皖南土鸡、鳜鱼、中药材、林特等特色产业，打造绿色食品全产业链，力争全县绿色食品产业全产业链产值达到130亿元。打造省级长三角高附加值绿色农产品生产加工供应，新认定省级示范基地1个，总数达5个。（县农业农村局牵头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14.增加绿色有机地标农产品供给总量。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夯实绿色有机地标农产品质量水平，提升绿色有机地标农产品品牌价值。新认证绿色食品、有机农产品、地理标志农产品8个。强化食用林产品质量安全监管，推进食用林产品标准化生产。（县农业农村局、县林业局按职责分工负责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15.持续推动生态文明建设示范创建。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完成《东至县生态文明建设示范县规划》评审，按程序报批并组织实施。（县生态环境分局牵头）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六、提升生态文明理念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16.积极开展主题宣传日活动。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组织2023年六五环境日宣传活动，持续宣贯乡村生态振兴工作。（县生态环境分局）强化有机地标农产品产销对接。（县农业农村局牵头）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七、推进美丽乡村及乡村生态振兴试点建设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17.推进乡村生态振兴试点建设。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落实《安徽省乡村生态振兴试点乡（镇）、试点村验收评估方案》，完成2022年木塔乡大田村乡村生态振兴试点验收工作，开展2023年花园乡、香隅镇漕东村乡村生态振兴试点工作。（县生态环境分局牵头）</w:t>
      </w:r>
    </w:p>
    <w:p>
      <w:pPr>
        <w:keepNext w:val="0"/>
        <w:keepLines w:val="0"/>
        <w:pageBreakBefore w:val="0"/>
        <w:widowControl w:val="0"/>
        <w:tabs>
          <w:tab w:val="left" w:pos="405"/>
        </w:tabs>
        <w:kinsoku/>
        <w:wordWrap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/>
          <w:lang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99698"/>
    </w:sdtPr>
    <w:sdtContent>
      <w:p>
        <w:pPr>
          <w:pStyle w:val="7"/>
          <w:jc w:val="center"/>
        </w:pPr>
        <w:r>
          <w:rPr>
            <w:rFonts w:hint="eastAsia" w:ascii="仿宋_GB2312" w:eastAsia="仿宋_GB2312"/>
            <w:sz w:val="24"/>
            <w:szCs w:val="24"/>
          </w:rPr>
          <w:fldChar w:fldCharType="begin"/>
        </w:r>
        <w:r>
          <w:rPr>
            <w:rFonts w:hint="eastAsia" w:ascii="仿宋_GB2312" w:eastAsia="仿宋_GB2312"/>
            <w:sz w:val="24"/>
            <w:szCs w:val="24"/>
          </w:rPr>
          <w:instrText xml:space="preserve"> PAGE   \* MERGEFORMAT </w:instrText>
        </w:r>
        <w:r>
          <w:rPr>
            <w:rFonts w:hint="eastAsia" w:ascii="仿宋_GB2312" w:eastAsia="仿宋_GB2312"/>
            <w:sz w:val="24"/>
            <w:szCs w:val="24"/>
          </w:rPr>
          <w:fldChar w:fldCharType="separate"/>
        </w:r>
        <w:r>
          <w:rPr>
            <w:rFonts w:ascii="仿宋_GB2312" w:eastAsia="仿宋_GB2312"/>
            <w:sz w:val="24"/>
            <w:szCs w:val="24"/>
            <w:lang w:val="zh-CN"/>
          </w:rPr>
          <w:t>3</w:t>
        </w:r>
        <w:r>
          <w:rPr>
            <w:rFonts w:hint="eastAsia" w:ascii="仿宋_GB2312" w:eastAsia="仿宋_GB2312"/>
            <w:sz w:val="24"/>
            <w:szCs w:val="24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jc w:val="left"/>
      <w:rPr>
        <w:rFonts w:ascii="Arial" w:hAnsi="Arial" w:eastAsia="Arial" w:cs="Arial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0NmEzN2M4MDJkNmQ3YzhmNjMxNGQ4NjhlZTdhNGQifQ=="/>
  </w:docVars>
  <w:rsids>
    <w:rsidRoot w:val="00000000"/>
    <w:rsid w:val="01514167"/>
    <w:rsid w:val="02BF4A7F"/>
    <w:rsid w:val="039269D7"/>
    <w:rsid w:val="07797F74"/>
    <w:rsid w:val="07C7305C"/>
    <w:rsid w:val="087C431B"/>
    <w:rsid w:val="0B4153A1"/>
    <w:rsid w:val="0F20174D"/>
    <w:rsid w:val="111C3266"/>
    <w:rsid w:val="1454539A"/>
    <w:rsid w:val="14DC1B42"/>
    <w:rsid w:val="14FD3DD2"/>
    <w:rsid w:val="175D5B55"/>
    <w:rsid w:val="17BD5C5B"/>
    <w:rsid w:val="1B754C87"/>
    <w:rsid w:val="1C117B82"/>
    <w:rsid w:val="1EE61F3B"/>
    <w:rsid w:val="204937EF"/>
    <w:rsid w:val="20624504"/>
    <w:rsid w:val="20BB0BBE"/>
    <w:rsid w:val="20DC360A"/>
    <w:rsid w:val="221C2118"/>
    <w:rsid w:val="241035B6"/>
    <w:rsid w:val="25E80A4D"/>
    <w:rsid w:val="26B91CE3"/>
    <w:rsid w:val="26DF7BC7"/>
    <w:rsid w:val="2F261787"/>
    <w:rsid w:val="304A24E0"/>
    <w:rsid w:val="31297D2E"/>
    <w:rsid w:val="31F97D80"/>
    <w:rsid w:val="32700042"/>
    <w:rsid w:val="358F0FBD"/>
    <w:rsid w:val="369B3B66"/>
    <w:rsid w:val="3A246815"/>
    <w:rsid w:val="3DF8538F"/>
    <w:rsid w:val="3FD414E4"/>
    <w:rsid w:val="42D02437"/>
    <w:rsid w:val="44043E2E"/>
    <w:rsid w:val="46690BD8"/>
    <w:rsid w:val="49617C7D"/>
    <w:rsid w:val="4DFD5BA4"/>
    <w:rsid w:val="563F1DB3"/>
    <w:rsid w:val="599B3871"/>
    <w:rsid w:val="605B738C"/>
    <w:rsid w:val="633A14DA"/>
    <w:rsid w:val="63DC07E4"/>
    <w:rsid w:val="67A73EA1"/>
    <w:rsid w:val="69B05FE1"/>
    <w:rsid w:val="6BB73461"/>
    <w:rsid w:val="6D146B27"/>
    <w:rsid w:val="6DE10D71"/>
    <w:rsid w:val="6EC60031"/>
    <w:rsid w:val="6F2B5F62"/>
    <w:rsid w:val="748707FE"/>
    <w:rsid w:val="75CF01A8"/>
    <w:rsid w:val="76DA5063"/>
    <w:rsid w:val="7EFB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bCs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 Indent"/>
    <w:basedOn w:val="1"/>
    <w:next w:val="5"/>
    <w:qFormat/>
    <w:uiPriority w:val="0"/>
    <w:pPr>
      <w:ind w:firstLine="810"/>
    </w:pPr>
    <w:rPr>
      <w:sz w:val="32"/>
      <w:szCs w:val="24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styleId="6">
    <w:name w:val="Body Text Indent 2"/>
    <w:basedOn w:val="1"/>
    <w:next w:val="1"/>
    <w:qFormat/>
    <w:uiPriority w:val="0"/>
    <w:pPr>
      <w:ind w:firstLine="640" w:firstLineChars="200"/>
    </w:pPr>
    <w:rPr>
      <w:rFonts w:eastAsia="宋体" w:cs="Times New Roman"/>
      <w:sz w:val="32"/>
      <w:szCs w:val="24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Body Text First Indent 2"/>
    <w:basedOn w:val="4"/>
    <w:next w:val="1"/>
    <w:qFormat/>
    <w:uiPriority w:val="0"/>
    <w:pPr>
      <w:ind w:firstLine="42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paragraph" w:customStyle="1" w:styleId="14">
    <w:name w:val="BodyTextIndent2"/>
    <w:basedOn w:val="1"/>
    <w:next w:val="1"/>
    <w:qFormat/>
    <w:uiPriority w:val="0"/>
    <w:pPr>
      <w:spacing w:line="590" w:lineRule="exact"/>
      <w:ind w:firstLine="880" w:firstLineChars="200"/>
      <w:textAlignment w:val="baseline"/>
    </w:pPr>
    <w:rPr>
      <w:rFonts w:eastAsia="方正仿宋_GBK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6">
    <w:name w:val="Table Paragraph"/>
    <w:basedOn w:val="1"/>
    <w:qFormat/>
    <w:uiPriority w:val="1"/>
    <w:rPr>
      <w:rFonts w:ascii="楷体" w:hAnsi="楷体" w:eastAsia="楷体" w:cs="楷体"/>
      <w:lang w:val="zh-CN" w:eastAsia="zh-CN" w:bidi="zh-CN"/>
    </w:rPr>
  </w:style>
  <w:style w:type="paragraph" w:styleId="17">
    <w:name w:val="List Paragraph"/>
    <w:basedOn w:val="1"/>
    <w:qFormat/>
    <w:uiPriority w:val="99"/>
    <w:rPr>
      <w:rFonts w:eastAsia="宋体"/>
      <w:color w:val="auto"/>
    </w:rPr>
  </w:style>
  <w:style w:type="character" w:customStyle="1" w:styleId="18">
    <w:name w:val="NormalCharacter"/>
    <w:qFormat/>
    <w:uiPriority w:val="0"/>
    <w:rPr>
      <w:rFonts w:ascii="Calibri" w:hAnsi="Calibri" w:eastAsia="宋体"/>
    </w:rPr>
  </w:style>
  <w:style w:type="table" w:customStyle="1" w:styleId="1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Other|1"/>
    <w:basedOn w:val="1"/>
    <w:qFormat/>
    <w:uiPriority w:val="0"/>
    <w:pPr>
      <w:widowControl w:val="0"/>
      <w:shd w:val="clear" w:color="auto" w:fill="auto"/>
      <w:spacing w:line="454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2138</Words>
  <Characters>2220</Characters>
  <Lines>0</Lines>
  <Paragraphs>0</Paragraphs>
  <TotalTime>18</TotalTime>
  <ScaleCrop>false</ScaleCrop>
  <LinksUpToDate>false</LinksUpToDate>
  <CharactersWithSpaces>2220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2022-07-23T09:10:00Z</dcterms:created>
  <dc:creator>Administrator</dc:creator>
  <cp:lastModifiedBy>Administrator</cp:lastModifiedBy>
  <cp:lastPrinted>2023-04-04T09:14:00Z</cp:lastPrinted>
  <dcterms:modified xsi:type="dcterms:W3CDTF">2023-04-20T09:08:35Z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43E1114928C84D12A7C9FBEBF39044B6_13</vt:lpwstr>
  </property>
</Properties>
</file>