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hAnsi="方正小标宋简体" w:eastAsia="方正小标宋简体" w:cs="方正小标宋简体"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  <w:t>东至县国家储备林建设项目林地流转及林木收储</w:t>
      </w:r>
    </w:p>
    <w:p>
      <w:pPr>
        <w:jc w:val="center"/>
        <w:rPr>
          <w:rFonts w:ascii="方正小标宋简体" w:hAnsi="方正小标宋简体" w:eastAsia="方正小标宋简体" w:cs="方正小标宋简体"/>
          <w:b/>
          <w:bCs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  <w:t>工作方案</w:t>
      </w:r>
    </w:p>
    <w:p>
      <w:pPr>
        <w:pStyle w:val="2"/>
        <w:ind w:firstLine="0" w:firstLineChars="0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（征求意见稿）</w:t>
      </w:r>
    </w:p>
    <w:p>
      <w:pPr>
        <w:overflowPunct w:val="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overflowPunct w:val="0"/>
        <w:spacing w:line="560" w:lineRule="exact"/>
        <w:ind w:firstLine="70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pacing w:val="15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为加快推进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我县国家储备林项目建设，做好林地流转和林木收储工作，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根据《安徽省东至县国家储备林建设项目总体规划（2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021-2030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年）》的要求，结合东至实际，特制定本方案。</w:t>
      </w:r>
    </w:p>
    <w:p>
      <w:pPr>
        <w:overflowPunct w:val="0"/>
        <w:spacing w:line="560" w:lineRule="exact"/>
        <w:ind w:firstLine="640" w:firstLineChars="200"/>
        <w:rPr>
          <w:rFonts w:ascii="宋体" w:hAnsi="宋体" w:eastAsia="宋体" w:cs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ascii="黑体" w:hAnsi="黑体" w:eastAsia="黑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流转收储原则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（一）坚持政府主导、国企主体、社会参与、市场运作原则。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（二）坚持与乡村振兴相结合，促进产业发展、农民就近就业相结合的原则。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（三）坚持公平、公正、公开、自愿原则。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（四）坚持集中连片，有利于规模经营原则。</w:t>
      </w:r>
    </w:p>
    <w:p>
      <w:pPr>
        <w:overflowPunct w:val="0"/>
        <w:spacing w:line="560" w:lineRule="exact"/>
        <w:ind w:firstLine="640" w:firstLineChars="200"/>
        <w:rPr>
          <w:rFonts w:ascii="宋体" w:hAnsi="宋体" w:eastAsia="宋体" w:cs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二、流转收储对象</w:t>
      </w:r>
    </w:p>
    <w:p>
      <w:pPr>
        <w:overflowPunct w:val="0"/>
        <w:spacing w:line="560" w:lineRule="exact"/>
        <w:ind w:firstLine="643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宋体" w:eastAsia="楷体_GB2312" w:cs="宋体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（一）流转收储主体：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东至县乡村振兴投资控股集团有限公司（以下简称“乡村振兴集团”）。</w:t>
      </w:r>
    </w:p>
    <w:p>
      <w:pPr>
        <w:overflowPunct w:val="0"/>
        <w:spacing w:line="560" w:lineRule="exact"/>
        <w:ind w:firstLine="643" w:firstLineChars="200"/>
        <w:rPr>
          <w:rFonts w:ascii="宋体" w:hAnsi="宋体" w:eastAsia="宋体" w:cs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宋体" w:eastAsia="楷体_GB2312" w:cs="宋体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（二）流转收储对象：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林地的流转对象为农户和承包大户林地经营权，以及乡镇、村、组集体林地和县直有关部门国有林地的经营权；林木收储对象为符合《国家储</w:t>
      </w:r>
      <w:r>
        <w:rPr>
          <w:rFonts w:hint="eastAsia" w:ascii="仿宋_GB2312" w:hAnsi="宋体" w:eastAsia="仿宋_GB2312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备林树种目录》的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国有、集体、个人的林木使用权和所有权。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三、林地流转及林木收储补助方法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3" w:firstLineChars="200"/>
        <w:jc w:val="both"/>
        <w:rPr>
          <w:rFonts w:ascii="楷体_GB2312" w:hAnsi="宋体" w:eastAsia="楷体_GB2312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宋体" w:eastAsia="楷体_GB2312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（一）林地流转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3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1.流转年限：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流转年限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不少于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30年，若林地经营权承包期限不足30年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，根据国家政策顺延。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3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2.流转方式：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属于县直各部门的国有林地经营权由县国资委</w:t>
      </w:r>
      <w:r>
        <w:rPr>
          <w:rStyle w:val="12"/>
          <w:rFonts w:hint="eastAsia" w:ascii="仿宋_GB2312" w:hAnsi="仿宋_GB2312" w:eastAsia="仿宋_GB2312" w:cs="仿宋_GB2312"/>
          <w:b w:val="0"/>
          <w:color w:val="auto"/>
          <w:sz w:val="32"/>
          <w:szCs w:val="32"/>
          <w:shd w:val="clear" w:color="auto" w:fill="FFFFFF"/>
        </w:rPr>
        <w:t>划拨或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流转给乡村振兴集团；属于乡镇、村</w:t>
      </w:r>
      <w:r>
        <w:rPr>
          <w:rStyle w:val="12"/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、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组集体的林地经营权，由乡镇政府或村级股份经济合作社（或“村公司”，下同）流转给乡村振兴集团；属于农户承包经营的林地经营权，先由农户流转到村级股份经济合作社，合作社再流转给乡村振兴集团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3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3.流转费用标准：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凡国家储备林项目流转的国有林地、集体林地、农户承包经营的林地，林地流转费用按当地市场价格（不含林木等附着物）。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3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4.流转费用支付方式：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属于县直各部门的国有林地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林地流转费用由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支付给县财政局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属于乡镇、村集体的林地，林地流转费用由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支付给乡镇政府或村级股份经济合作社；属于农户承包经营的林地，林地流转费用由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支付给村级股份经济合作社，再由村级股份经济合作社发放到农户。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3" w:firstLineChars="200"/>
        <w:jc w:val="both"/>
        <w:rPr>
          <w:rFonts w:ascii="楷体_GB2312" w:hAnsi="宋体" w:eastAsia="楷体_GB2312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宋体" w:eastAsia="楷体_GB2312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（二）林木收储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3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1.收储方式：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由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乡村振兴集团出资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收储。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3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2.收储价格依据：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国有其他用地、集体林地、农户承包林地的林木收储价格，委托第三方评估机构实地调查、评估确定。暂定每亩指导价：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杉木林分：林相较好的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年内不高于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00元/亩、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6-10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年生不高于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 xml:space="preserve">000元/亩， 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11-15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年生不高于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50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00元/亩，1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年生以上不高于评估价。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其他树种林分：凡符合储备林树种目录，</w:t>
      </w:r>
      <w:bookmarkStart w:id="0" w:name="_Hlk95848995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林相较好的5年内</w:t>
      </w:r>
      <w:bookmarkEnd w:id="0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用材林（生态林）不高于2500元/亩、5年生以上用材林（生态林）不高于3000元/亩，林苗两用林不高于3000元/亩；初植密度小、林相较好的</w:t>
      </w:r>
      <w:bookmarkStart w:id="1" w:name="_Hlk95849239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5年内经济林不高于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00元/亩</w:t>
      </w:r>
      <w:bookmarkEnd w:id="1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，5年生以上的经济林不高于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00元/亩，近成过林分不高于评估价。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3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3.收储费用支付方式：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属于国有其他用地的林木（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原对外发包的继续执行原承包合法合同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），由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按第三方评估价一次性支付给县财政局，再由县财政局支付给各经营主体；属于乡镇级林场的林木，由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按第三方评估价支付给镇政府；属于村组集体和农户承包经营林地的林木，由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按第三方评估价支付给村级股份经济合作社，再由合作社据实发放到农户。</w:t>
      </w:r>
    </w:p>
    <w:p>
      <w:pPr>
        <w:overflowPunct w:val="0"/>
        <w:spacing w:line="560" w:lineRule="exact"/>
        <w:ind w:firstLine="640" w:firstLineChars="200"/>
        <w:rPr>
          <w:rFonts w:ascii="黑体" w:hAnsi="黑体" w:eastAsia="黑体" w:cs="黑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四、</w:t>
      </w:r>
      <w:r>
        <w:rPr>
          <w:rStyle w:val="12"/>
          <w:rFonts w:hint="eastAsia" w:ascii="黑体" w:hAnsi="黑体" w:eastAsia="黑体" w:cs="黑体"/>
          <w:b w:val="0"/>
          <w:bCs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建立上下联动工作机制</w:t>
      </w:r>
      <w:bookmarkStart w:id="4" w:name="_GoBack"/>
      <w:bookmarkEnd w:id="4"/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建立国储林建设全县上下协同一致、密切配合、全力推进的工作机制，充分调动乡镇、村组在林地流转和林木收储，以及国储林管护工作中的积极性，推行“平台公司+村级股份经济合作社+农户”上下联动工作机制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3" w:firstLineChars="200"/>
        <w:jc w:val="both"/>
        <w:rPr>
          <w:rFonts w:ascii="楷体_GB2312" w:hAnsi="宋体" w:eastAsia="楷体_GB2312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宋体" w:eastAsia="楷体_GB2312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（一）各负其责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负责国储林项目资金筹集、项目建设和经营管理；乡镇、村组负责发动群众，做好宣传，调解纠纷，抓好林地流转的调查摸底工作，负责本村林地流转和林木收储工作，协助乡村振兴集团做好国储林防火防盗等管护工作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3" w:firstLineChars="200"/>
        <w:jc w:val="both"/>
        <w:rPr>
          <w:rFonts w:ascii="楷体_GB2312" w:hAnsi="宋体" w:eastAsia="楷体_GB2312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宋体" w:eastAsia="楷体_GB2312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（二）经费补助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1、考虑到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林地流转和林木收储工作的需要，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按照实际完成的流转林地面积，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一次性安排30元/亩工作经费拨付到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村集体经济合作组织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0" w:firstLineChars="200"/>
        <w:jc w:val="both"/>
        <w:rPr>
          <w:rFonts w:ascii="楷体_GB2312" w:hAnsi="宋体" w:eastAsia="楷体_GB2312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2、考虑到国储林防火防盗等管护工作需要，按照国储林项目面积，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每年安排5-10元/亩管护工作经费，年终根据绩效考核情况拨付到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村集体经济合作组织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overflowPunct w:val="0"/>
        <w:spacing w:line="560" w:lineRule="exact"/>
        <w:ind w:firstLine="643" w:firstLineChars="200"/>
        <w:rPr>
          <w:rFonts w:ascii="楷体_GB2312" w:hAnsi="宋体" w:eastAsia="楷体_GB2312" w:cs="宋体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宋体" w:eastAsia="楷体_GB2312" w:cs="宋体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（三）收益共享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经营期内（不含项目建设期），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村级股份经济合作社享有项目区林木及作物等销售额的1%分成作为支持村集体乡村振兴发展基金。</w:t>
      </w:r>
    </w:p>
    <w:p>
      <w:pPr>
        <w:overflowPunct w:val="0"/>
        <w:spacing w:line="560" w:lineRule="exact"/>
        <w:ind w:firstLine="640" w:firstLineChars="200"/>
        <w:rPr>
          <w:rFonts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五、相关问题说明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（一）林地流转、林木收储对象已办理林权证的，按图斑区域进行流转和收储。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（二）林权在流转期内，林地所有权仍为原林权单位所有，林地使用权（经营权）、森林林木所有权及使用权归收储单位。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（三）林权流转后，林权要变更登记到流转收储单位，原林权单位有义务配合办理权属变更登记手续。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（四）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经营期内在收储山场开展经营活动从事的林区道路、防火隔离带、临时管理用房建设，林地所有权单位和林地承包户不得干涉。如国家重点项目建设占用林地，土地补偿费用扣除已付剩余经营年限林地租金补给乡村振兴集团，剩余部分补给原林地所有权单位，林木补偿费补偿给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（五）对于有纠纷林地，由乡镇政府牵头，相关部门配合，对纠纷地进行协调。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0" w:firstLineChars="200"/>
        <w:jc w:val="both"/>
        <w:rPr>
          <w:rFonts w:ascii="黑体" w:hAnsi="黑体" w:eastAsia="黑体" w:cs="黑体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六、流转收储流程</w:t>
      </w:r>
    </w:p>
    <w:p>
      <w:pPr>
        <w:overflowPunct w:val="0"/>
        <w:spacing w:line="560" w:lineRule="exact"/>
        <w:ind w:firstLine="643" w:firstLineChars="200"/>
        <w:rPr>
          <w:rFonts w:ascii="楷体_GB2312" w:hAnsi="宋体" w:eastAsia="楷体_GB2312" w:cs="宋体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宋体" w:eastAsia="楷体_GB2312" w:cs="宋体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（一）国有其他</w:t>
      </w:r>
      <w:bookmarkStart w:id="2" w:name="_Hlk120981530"/>
      <w:r>
        <w:rPr>
          <w:rFonts w:hint="eastAsia" w:ascii="楷体_GB2312" w:hAnsi="宋体" w:eastAsia="楷体_GB2312" w:cs="宋体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用地的林木</w:t>
      </w:r>
      <w:bookmarkEnd w:id="2"/>
    </w:p>
    <w:p>
      <w:pPr>
        <w:overflowPunct w:val="0"/>
        <w:spacing w:line="560" w:lineRule="exact"/>
        <w:ind w:firstLine="640" w:firstLineChars="200"/>
        <w:rPr>
          <w:rStyle w:val="12"/>
          <w:rFonts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由</w:t>
      </w:r>
      <w:bookmarkStart w:id="3" w:name="_Hlk121043321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各主管部门</w:t>
      </w:r>
      <w:bookmarkEnd w:id="3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对拟收储的林木资源进行调查，确定林木所在乡镇的树种、规格、数量、面积、蓄积量等，并做到图表一致。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各主管部门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和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共同作为国有林木资产评估委托方，委托第三方机构对国有其他用地的林木进行价值评估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pStyle w:val="2"/>
        <w:overflowPunct w:val="0"/>
        <w:spacing w:line="560" w:lineRule="exact"/>
        <w:ind w:firstLine="64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以国资委作为国有林木资产出让方，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根据第三方评估报告，按照收储流程，与各主管部门签订林木收储合同，收储资金汇入县财政账户。对已收储的储备林林木资产归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所有，其中国有林木的管护资金来源渠道保持不变。</w:t>
      </w:r>
    </w:p>
    <w:p>
      <w:pPr>
        <w:pStyle w:val="2"/>
        <w:overflowPunct w:val="0"/>
        <w:spacing w:line="560" w:lineRule="exact"/>
        <w:ind w:firstLine="64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县财政局（国资委）牵头，各部门、各乡镇要安排专人协助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，做好国有其他用地的林木收储和收储资金周转工作。</w:t>
      </w:r>
    </w:p>
    <w:p>
      <w:pPr>
        <w:pStyle w:val="2"/>
        <w:overflowPunct w:val="0"/>
        <w:spacing w:line="560" w:lineRule="exact"/>
        <w:ind w:firstLine="643"/>
        <w:rPr>
          <w:rFonts w:ascii="楷体_GB2312" w:hAnsi="宋体" w:eastAsia="楷体_GB2312" w:cs="宋体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宋体" w:eastAsia="楷体_GB2312" w:cs="宋体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（二）集体林地、农户承包经营的林地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b w:val="0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县国家储备林建设项目工作领导小组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办公室组织召开动员会，布置林地流转、林木收储工作。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0" w:firstLineChars="200"/>
        <w:jc w:val="both"/>
        <w:rPr>
          <w:rFonts w:ascii="仿宋_GB2312" w:hAnsi="仿宋_GB2312" w:eastAsia="仿宋_GB2312" w:cs="仿宋_GB2312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b w:val="0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2.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向各乡镇提供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纳入国家储备林建设的林地范围及相关资料。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0" w:firstLineChars="200"/>
        <w:jc w:val="both"/>
        <w:rPr>
          <w:rFonts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b w:val="0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3.乡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镇、村负责组织召开流转收储涉及农户会议，宣传国家储备林相关政策，特别是林地流转和林木收储政策；农户提供林权证进行登记造册、公示，签订委托流转收储协议，并建立好档案。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0" w:firstLineChars="200"/>
        <w:jc w:val="both"/>
        <w:rPr>
          <w:rFonts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b w:val="0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4.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委托具有资质的第三方评估公司，对林木价值进行评估，相关部门单位配合。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0" w:firstLineChars="200"/>
        <w:jc w:val="both"/>
        <w:rPr>
          <w:rFonts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b w:val="0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5.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通过流转和收储方式从村级股份经济合作社获得林地经营权、林木使用权和所有权。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0" w:firstLineChars="200"/>
        <w:jc w:val="both"/>
        <w:rPr>
          <w:rFonts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b w:val="0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6.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县自规局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负责办理林权证或不动产证（经营权证）变更手续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相关部门单位配合。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0" w:firstLineChars="200"/>
        <w:jc w:val="both"/>
        <w:rPr>
          <w:rFonts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ascii="仿宋_GB2312" w:hAnsi="仿宋_GB2312" w:eastAsia="仿宋_GB2312" w:cs="仿宋_GB2312"/>
          <w:b w:val="0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7.乡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镇政府汇总流转数据，上报流转相关资料到县国家储备林项目办公室。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8.手续完善后，</w:t>
      </w:r>
      <w:r>
        <w:rPr>
          <w:rStyle w:val="12"/>
          <w:rFonts w:hint="eastAsia" w:ascii="仿宋_GB2312" w:hAnsi="仿宋_GB2312" w:eastAsia="仿宋_GB2312" w:cs="仿宋_GB2312"/>
          <w:b w:val="0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微软雅黑" w:eastAsia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应及时支</w:t>
      </w:r>
      <w:r>
        <w:rPr>
          <w:rFonts w:hint="eastAsia" w:ascii="仿宋_GB2312" w:hAnsi="微软雅黑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付林地流转费用和林木收储费用到村合作社，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村合作社支付给流转收储对象。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left="640"/>
        <w:jc w:val="both"/>
        <w:rPr>
          <w:rFonts w:ascii="黑体" w:hAnsi="黑体" w:eastAsia="黑体" w:cs="黑体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七、工作要求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3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宋体" w:eastAsia="楷体_GB2312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（一）加强联动配合。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各乡镇、各相关部门要严格按照县委、县政府关于国家储备林项目建设部署要求，全力抓好各项工作落实。乡镇要充分发挥村两委、村级股份经济合作社的作用，做好群众思想发动、宣传引导、调查摸底等相关工作，指导好各村林地流转和林木收储工作，并协调解决流转收储工作中出现的各种问题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3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宋体" w:eastAsia="楷体_GB2312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（二）强化技术指导。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邀请省、市相关技术专家到县、乡镇、村进行技术培训和业务指导，不断提升项目技术人员的政策及业务水平。</w:t>
      </w:r>
      <w:r>
        <w:rPr>
          <w:rFonts w:hint="eastAsia" w:ascii="仿宋_GB2312" w:hAnsi="微软雅黑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县自规局、县林业局、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微软雅黑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在林地流转和林木收储过程中要安排具体负责人,及时深入各乡镇、村指导流转和收储工作,确保工作进度和质量。</w:t>
      </w:r>
    </w:p>
    <w:p>
      <w:pPr>
        <w:pStyle w:val="8"/>
        <w:shd w:val="clear" w:color="auto" w:fill="FFFFFF"/>
        <w:overflowPunct w:val="0"/>
        <w:spacing w:beforeAutospacing="0" w:afterAutospacing="0" w:line="560" w:lineRule="exact"/>
        <w:ind w:firstLine="643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宋体" w:eastAsia="楷体_GB2312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（三）规范工作流程。</w:t>
      </w:r>
      <w:r>
        <w:rPr>
          <w:rFonts w:hint="eastAsia" w:ascii="仿宋_GB2312" w:hAnsi="微软雅黑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按照现场勘察确认、登记造册、张榜公示、协议签订、流转收储、费用支付的工作流程，在乡镇政府监督下，签订合同示范文本（流转或收储协议），报县国储林项目建设工作领导小组办公室备案。乡镇、村、</w:t>
      </w:r>
      <w:r>
        <w:rPr>
          <w:rStyle w:val="12"/>
          <w:rFonts w:hint="eastAsia" w:ascii="仿宋_GB2312" w:hAnsi="仿宋_GB2312" w:eastAsia="仿宋_GB2312" w:cs="仿宋_GB2312"/>
          <w:b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乡村振兴集团</w:t>
      </w:r>
      <w:r>
        <w:rPr>
          <w:rFonts w:hint="eastAsia" w:ascii="仿宋_GB2312" w:hAnsi="微软雅黑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要做好流转收储纸质资料复印件和电子文档的留存,规范建立林地流转、林木收储档案。</w:t>
      </w:r>
    </w:p>
    <w:sectPr>
      <w:footerReference r:id="rId3" w:type="default"/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139700"/>
              <wp:effectExtent l="0" t="0" r="11430" b="635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pt;width:4.6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O9sZGvRAAAAAgEAAA8AAAAAAAAAAQAgAAAAIgAAAGRycy9kb3ducmV2LnhtbFBLAQIUABQAAAAI&#10;AIdO4kAD09VxLQIAAFIEAAAOAAAAAAAAAAEAIAAAACABAABkcnMvZTJvRG9jLnhtbFBLBQYAAAAA&#10;BgAGAFkBAAC/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hNGE0NzkyNDdmNTIwNjVlNTc2NWNmMTgyMjkxYWIifQ=="/>
  </w:docVars>
  <w:rsids>
    <w:rsidRoot w:val="00BB784A"/>
    <w:rsid w:val="00025B5E"/>
    <w:rsid w:val="00041C47"/>
    <w:rsid w:val="00062B3A"/>
    <w:rsid w:val="00085C4B"/>
    <w:rsid w:val="0010250A"/>
    <w:rsid w:val="00105DAE"/>
    <w:rsid w:val="0012122B"/>
    <w:rsid w:val="00134797"/>
    <w:rsid w:val="00185484"/>
    <w:rsid w:val="001859E5"/>
    <w:rsid w:val="00193474"/>
    <w:rsid w:val="001A4B9C"/>
    <w:rsid w:val="001A5AB1"/>
    <w:rsid w:val="00244CE6"/>
    <w:rsid w:val="002576C8"/>
    <w:rsid w:val="00281B87"/>
    <w:rsid w:val="00283559"/>
    <w:rsid w:val="0029202E"/>
    <w:rsid w:val="0031245C"/>
    <w:rsid w:val="00317A2F"/>
    <w:rsid w:val="0032314F"/>
    <w:rsid w:val="0038348F"/>
    <w:rsid w:val="00387F54"/>
    <w:rsid w:val="00392BB7"/>
    <w:rsid w:val="003E2B19"/>
    <w:rsid w:val="00415A3A"/>
    <w:rsid w:val="00457B5E"/>
    <w:rsid w:val="00474709"/>
    <w:rsid w:val="00477367"/>
    <w:rsid w:val="004865D9"/>
    <w:rsid w:val="004D6102"/>
    <w:rsid w:val="004E59B0"/>
    <w:rsid w:val="004E6ADB"/>
    <w:rsid w:val="00503718"/>
    <w:rsid w:val="0054103B"/>
    <w:rsid w:val="005424BE"/>
    <w:rsid w:val="00547A87"/>
    <w:rsid w:val="00561055"/>
    <w:rsid w:val="00566B20"/>
    <w:rsid w:val="00576440"/>
    <w:rsid w:val="00582FC8"/>
    <w:rsid w:val="005844C7"/>
    <w:rsid w:val="005C22B7"/>
    <w:rsid w:val="005E1939"/>
    <w:rsid w:val="005E3D46"/>
    <w:rsid w:val="00601E07"/>
    <w:rsid w:val="00634143"/>
    <w:rsid w:val="006476F0"/>
    <w:rsid w:val="006538DA"/>
    <w:rsid w:val="00677675"/>
    <w:rsid w:val="00683395"/>
    <w:rsid w:val="00724B4C"/>
    <w:rsid w:val="00773D71"/>
    <w:rsid w:val="00796252"/>
    <w:rsid w:val="007C2C3C"/>
    <w:rsid w:val="0083106E"/>
    <w:rsid w:val="008330C6"/>
    <w:rsid w:val="00834DBC"/>
    <w:rsid w:val="00836098"/>
    <w:rsid w:val="0085061C"/>
    <w:rsid w:val="00882C26"/>
    <w:rsid w:val="00882E7E"/>
    <w:rsid w:val="0088577D"/>
    <w:rsid w:val="008B62A7"/>
    <w:rsid w:val="008C20D0"/>
    <w:rsid w:val="0090162B"/>
    <w:rsid w:val="009030AA"/>
    <w:rsid w:val="009109A4"/>
    <w:rsid w:val="00923E04"/>
    <w:rsid w:val="00924E8A"/>
    <w:rsid w:val="00926AD4"/>
    <w:rsid w:val="009411B4"/>
    <w:rsid w:val="009C611C"/>
    <w:rsid w:val="00A065D1"/>
    <w:rsid w:val="00A14C80"/>
    <w:rsid w:val="00A35D58"/>
    <w:rsid w:val="00A47A61"/>
    <w:rsid w:val="00A53714"/>
    <w:rsid w:val="00A55102"/>
    <w:rsid w:val="00A757E3"/>
    <w:rsid w:val="00A92E1B"/>
    <w:rsid w:val="00AA43C9"/>
    <w:rsid w:val="00AB1016"/>
    <w:rsid w:val="00AC455B"/>
    <w:rsid w:val="00AD0A8E"/>
    <w:rsid w:val="00AD0D72"/>
    <w:rsid w:val="00AF022E"/>
    <w:rsid w:val="00B10C51"/>
    <w:rsid w:val="00B27DF6"/>
    <w:rsid w:val="00BA008F"/>
    <w:rsid w:val="00BA6051"/>
    <w:rsid w:val="00BB784A"/>
    <w:rsid w:val="00BC605F"/>
    <w:rsid w:val="00BC6334"/>
    <w:rsid w:val="00BD1F02"/>
    <w:rsid w:val="00BF48A4"/>
    <w:rsid w:val="00C149E8"/>
    <w:rsid w:val="00C30E59"/>
    <w:rsid w:val="00CC062C"/>
    <w:rsid w:val="00CC42E1"/>
    <w:rsid w:val="00CD563A"/>
    <w:rsid w:val="00CD70F1"/>
    <w:rsid w:val="00CE0CB8"/>
    <w:rsid w:val="00D603B5"/>
    <w:rsid w:val="00D72A40"/>
    <w:rsid w:val="00D76336"/>
    <w:rsid w:val="00D94928"/>
    <w:rsid w:val="00DB7D53"/>
    <w:rsid w:val="00DC18EE"/>
    <w:rsid w:val="00DC217E"/>
    <w:rsid w:val="00DC5DF1"/>
    <w:rsid w:val="00DD16BE"/>
    <w:rsid w:val="00E06B26"/>
    <w:rsid w:val="00E50AD5"/>
    <w:rsid w:val="00E56BB1"/>
    <w:rsid w:val="00E72B6B"/>
    <w:rsid w:val="00E73289"/>
    <w:rsid w:val="00E85BA9"/>
    <w:rsid w:val="00EA1E0F"/>
    <w:rsid w:val="00EA2874"/>
    <w:rsid w:val="00EC1E63"/>
    <w:rsid w:val="00ED1FEB"/>
    <w:rsid w:val="00ED634C"/>
    <w:rsid w:val="00ED736F"/>
    <w:rsid w:val="00EE0D79"/>
    <w:rsid w:val="00EE16CA"/>
    <w:rsid w:val="00EF7468"/>
    <w:rsid w:val="00F0134E"/>
    <w:rsid w:val="00F231BA"/>
    <w:rsid w:val="00F2696B"/>
    <w:rsid w:val="00F359DF"/>
    <w:rsid w:val="00F45F36"/>
    <w:rsid w:val="00F530B0"/>
    <w:rsid w:val="00F63199"/>
    <w:rsid w:val="00FE2BA7"/>
    <w:rsid w:val="03740291"/>
    <w:rsid w:val="05B11EA4"/>
    <w:rsid w:val="072236EB"/>
    <w:rsid w:val="079A1948"/>
    <w:rsid w:val="07A204D4"/>
    <w:rsid w:val="08813ADF"/>
    <w:rsid w:val="090715AF"/>
    <w:rsid w:val="0AFB0308"/>
    <w:rsid w:val="0F7557DF"/>
    <w:rsid w:val="113438B1"/>
    <w:rsid w:val="11AF71AA"/>
    <w:rsid w:val="14413899"/>
    <w:rsid w:val="15216568"/>
    <w:rsid w:val="1583372E"/>
    <w:rsid w:val="18E45B57"/>
    <w:rsid w:val="1A0155E6"/>
    <w:rsid w:val="1A8C5DB8"/>
    <w:rsid w:val="1D421FB2"/>
    <w:rsid w:val="1E3D7AF5"/>
    <w:rsid w:val="1E7D7EE0"/>
    <w:rsid w:val="200D721D"/>
    <w:rsid w:val="20407429"/>
    <w:rsid w:val="21676C37"/>
    <w:rsid w:val="2BB807BB"/>
    <w:rsid w:val="34305B27"/>
    <w:rsid w:val="36AB0F97"/>
    <w:rsid w:val="380D5456"/>
    <w:rsid w:val="3F7F7D6C"/>
    <w:rsid w:val="40320CDB"/>
    <w:rsid w:val="4308225E"/>
    <w:rsid w:val="43120CA1"/>
    <w:rsid w:val="440303B8"/>
    <w:rsid w:val="442B4AAF"/>
    <w:rsid w:val="4507584A"/>
    <w:rsid w:val="46824641"/>
    <w:rsid w:val="47CC109A"/>
    <w:rsid w:val="47E4626E"/>
    <w:rsid w:val="49A92FC8"/>
    <w:rsid w:val="4AB024C8"/>
    <w:rsid w:val="4E7C66BD"/>
    <w:rsid w:val="4EA604F0"/>
    <w:rsid w:val="546E5487"/>
    <w:rsid w:val="54D27595"/>
    <w:rsid w:val="5A8702C8"/>
    <w:rsid w:val="5D031796"/>
    <w:rsid w:val="601F5660"/>
    <w:rsid w:val="6BA62896"/>
    <w:rsid w:val="6C9205D9"/>
    <w:rsid w:val="6F1F6253"/>
    <w:rsid w:val="709818DC"/>
    <w:rsid w:val="73C44343"/>
    <w:rsid w:val="787D213D"/>
    <w:rsid w:val="78F202E4"/>
    <w:rsid w:val="7A7F5B5E"/>
    <w:rsid w:val="7C947033"/>
    <w:rsid w:val="7E4F11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ind w:firstLine="602" w:firstLineChars="200"/>
      <w:outlineLvl w:val="1"/>
    </w:pPr>
    <w:rPr>
      <w:b/>
      <w:bCs/>
      <w:kern w:val="0"/>
      <w:sz w:val="30"/>
      <w:szCs w:val="3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4">
    <w:name w:val="annotation text"/>
    <w:basedOn w:val="1"/>
    <w:link w:val="14"/>
    <w:uiPriority w:val="0"/>
    <w:pPr>
      <w:jc w:val="left"/>
    </w:pPr>
  </w:style>
  <w:style w:type="paragraph" w:styleId="5">
    <w:name w:val="Balloon Text"/>
    <w:basedOn w:val="1"/>
    <w:link w:val="16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Normal (Web)"/>
    <w:basedOn w:val="1"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9">
    <w:name w:val="annotation subject"/>
    <w:basedOn w:val="4"/>
    <w:next w:val="4"/>
    <w:link w:val="15"/>
    <w:qFormat/>
    <w:uiPriority w:val="0"/>
    <w:rPr>
      <w:b/>
      <w:bCs/>
    </w:r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annotation reference"/>
    <w:basedOn w:val="11"/>
    <w:qFormat/>
    <w:uiPriority w:val="0"/>
    <w:rPr>
      <w:sz w:val="21"/>
      <w:szCs w:val="21"/>
    </w:rPr>
  </w:style>
  <w:style w:type="character" w:customStyle="1" w:styleId="14">
    <w:name w:val="批注文字 Char"/>
    <w:basedOn w:val="11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5">
    <w:name w:val="批注主题 Char"/>
    <w:basedOn w:val="14"/>
    <w:link w:val="9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6">
    <w:name w:val="批注框文本 Char"/>
    <w:basedOn w:val="11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3054</Words>
  <Characters>3120</Characters>
  <Lines>22</Lines>
  <Paragraphs>6</Paragraphs>
  <TotalTime>3</TotalTime>
  <ScaleCrop>false</ScaleCrop>
  <LinksUpToDate>false</LinksUpToDate>
  <CharactersWithSpaces>3122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2023-01-03T01:39:00Z</dcterms:created>
  <dc:creator>IMGRS</dc:creator>
  <cp:lastModifiedBy>Administrator</cp:lastModifiedBy>
  <dcterms:modified xsi:type="dcterms:W3CDTF">2023-01-03T03:30:02Z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EB02BF21109A4EBD9BD1DC4AECA82E5D</vt:lpwstr>
  </property>
</Properties>
</file>