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6"/>
          <w:szCs w:val="36"/>
        </w:rPr>
      </w:pPr>
    </w:p>
    <w:p>
      <w:pPr>
        <w:jc w:val="center"/>
        <w:rPr>
          <w:b/>
          <w:bCs/>
          <w:sz w:val="36"/>
          <w:szCs w:val="36"/>
        </w:rPr>
      </w:pPr>
    </w:p>
    <w:p>
      <w:pPr>
        <w:jc w:val="center"/>
        <w:rPr>
          <w:b/>
          <w:bCs/>
          <w:sz w:val="36"/>
          <w:szCs w:val="36"/>
        </w:rPr>
      </w:pPr>
    </w:p>
    <w:p>
      <w:pPr>
        <w:jc w:val="center"/>
        <w:rPr>
          <w:b/>
          <w:bCs/>
          <w:sz w:val="36"/>
          <w:szCs w:val="36"/>
        </w:rPr>
      </w:pPr>
    </w:p>
    <w:p>
      <w:pPr>
        <w:jc w:val="center"/>
        <w:rPr>
          <w:b/>
          <w:bCs/>
          <w:sz w:val="48"/>
          <w:szCs w:val="36"/>
        </w:rPr>
      </w:pPr>
    </w:p>
    <w:p>
      <w:pPr>
        <w:jc w:val="center"/>
        <w:rPr>
          <w:rFonts w:ascii="宋体" w:hAnsi="宋体" w:eastAsia="宋体"/>
          <w:b/>
          <w:bCs/>
          <w:sz w:val="52"/>
          <w:szCs w:val="40"/>
        </w:rPr>
      </w:pPr>
      <w:r>
        <w:rPr>
          <w:rFonts w:hint="eastAsia" w:ascii="宋体" w:hAnsi="宋体" w:eastAsia="宋体"/>
          <w:b/>
          <w:bCs/>
          <w:sz w:val="52"/>
          <w:szCs w:val="40"/>
        </w:rPr>
        <w:t>东至县住房和城乡建设事业</w:t>
      </w:r>
    </w:p>
    <w:p>
      <w:pPr>
        <w:jc w:val="center"/>
        <w:rPr>
          <w:rFonts w:ascii="宋体" w:hAnsi="宋体" w:eastAsia="宋体"/>
          <w:sz w:val="52"/>
          <w:szCs w:val="40"/>
        </w:rPr>
      </w:pPr>
      <w:r>
        <w:rPr>
          <w:rFonts w:hint="eastAsia" w:ascii="宋体" w:hAnsi="宋体" w:eastAsia="宋体"/>
          <w:b/>
          <w:bCs/>
          <w:sz w:val="52"/>
          <w:szCs w:val="40"/>
        </w:rPr>
        <w:t>“十四五”规划</w:t>
      </w:r>
    </w:p>
    <w:p>
      <w:pPr>
        <w:jc w:val="center"/>
        <w:rPr>
          <w:rFonts w:ascii="宋体" w:hAnsi="宋体" w:eastAsia="宋体"/>
          <w:b/>
          <w:bCs/>
          <w:sz w:val="32"/>
          <w:szCs w:val="40"/>
        </w:rPr>
      </w:pPr>
      <w:r>
        <w:rPr>
          <w:rFonts w:hint="eastAsia" w:ascii="宋体" w:hAnsi="宋体" w:eastAsia="宋体"/>
          <w:b/>
          <w:bCs/>
          <w:sz w:val="32"/>
          <w:szCs w:val="40"/>
        </w:rPr>
        <w:t>（公开征求意见稿）</w:t>
      </w:r>
    </w:p>
    <w:p>
      <w:pPr>
        <w:jc w:val="center"/>
        <w:rPr>
          <w:b/>
          <w:bCs/>
          <w:sz w:val="36"/>
          <w:szCs w:val="36"/>
        </w:rPr>
      </w:pPr>
    </w:p>
    <w:p>
      <w:pPr>
        <w:jc w:val="center"/>
        <w:rPr>
          <w:b/>
          <w:bCs/>
          <w:sz w:val="36"/>
          <w:szCs w:val="36"/>
        </w:rPr>
      </w:pPr>
    </w:p>
    <w:p>
      <w:pPr>
        <w:jc w:val="center"/>
        <w:rPr>
          <w:b/>
          <w:bCs/>
          <w:sz w:val="36"/>
          <w:szCs w:val="36"/>
        </w:rPr>
      </w:pPr>
    </w:p>
    <w:p>
      <w:pPr>
        <w:jc w:val="center"/>
        <w:rPr>
          <w:b/>
          <w:bCs/>
          <w:sz w:val="36"/>
          <w:szCs w:val="36"/>
        </w:rPr>
      </w:pPr>
    </w:p>
    <w:p>
      <w:pPr>
        <w:jc w:val="center"/>
        <w:rPr>
          <w:b/>
          <w:bCs/>
          <w:sz w:val="36"/>
          <w:szCs w:val="36"/>
        </w:rPr>
      </w:pPr>
    </w:p>
    <w:p>
      <w:pPr>
        <w:jc w:val="center"/>
        <w:rPr>
          <w:b/>
          <w:bCs/>
          <w:sz w:val="36"/>
          <w:szCs w:val="36"/>
        </w:rPr>
      </w:pPr>
    </w:p>
    <w:p>
      <w:pPr>
        <w:jc w:val="center"/>
        <w:rPr>
          <w:b/>
          <w:bCs/>
          <w:sz w:val="36"/>
          <w:szCs w:val="36"/>
        </w:rPr>
      </w:pPr>
    </w:p>
    <w:p>
      <w:pPr>
        <w:jc w:val="center"/>
        <w:rPr>
          <w:b/>
          <w:bCs/>
          <w:sz w:val="36"/>
          <w:szCs w:val="36"/>
        </w:rPr>
      </w:pPr>
    </w:p>
    <w:p>
      <w:pPr>
        <w:jc w:val="center"/>
        <w:rPr>
          <w:rFonts w:ascii="宋体" w:hAnsi="宋体" w:eastAsia="宋体"/>
          <w:b/>
          <w:bCs/>
          <w:sz w:val="28"/>
          <w:szCs w:val="28"/>
        </w:rPr>
      </w:pPr>
    </w:p>
    <w:p>
      <w:pPr>
        <w:jc w:val="center"/>
        <w:rPr>
          <w:rFonts w:ascii="宋体" w:hAnsi="宋体" w:eastAsia="宋体"/>
          <w:b/>
          <w:bCs/>
          <w:sz w:val="28"/>
          <w:szCs w:val="28"/>
        </w:rPr>
      </w:pPr>
      <w:r>
        <w:rPr>
          <w:rFonts w:hint="eastAsia" w:ascii="宋体" w:hAnsi="宋体" w:eastAsia="宋体"/>
          <w:b/>
          <w:bCs/>
          <w:sz w:val="28"/>
          <w:szCs w:val="28"/>
        </w:rPr>
        <w:t>202</w:t>
      </w:r>
      <w:r>
        <w:rPr>
          <w:rFonts w:ascii="宋体" w:hAnsi="宋体" w:eastAsia="宋体"/>
          <w:b/>
          <w:bCs/>
          <w:sz w:val="28"/>
          <w:szCs w:val="28"/>
        </w:rPr>
        <w:t>1</w:t>
      </w:r>
      <w:r>
        <w:rPr>
          <w:rFonts w:hint="eastAsia" w:ascii="宋体" w:hAnsi="宋体" w:eastAsia="宋体"/>
          <w:b/>
          <w:bCs/>
          <w:sz w:val="28"/>
          <w:szCs w:val="28"/>
        </w:rPr>
        <w:t>年</w:t>
      </w:r>
      <w:r>
        <w:rPr>
          <w:rFonts w:ascii="宋体" w:hAnsi="宋体" w:eastAsia="宋体"/>
          <w:b/>
          <w:bCs/>
          <w:sz w:val="28"/>
          <w:szCs w:val="28"/>
        </w:rPr>
        <w:t>11</w:t>
      </w:r>
      <w:r>
        <w:rPr>
          <w:rFonts w:hint="eastAsia" w:ascii="宋体" w:hAnsi="宋体" w:eastAsia="宋体"/>
          <w:b/>
          <w:bCs/>
          <w:sz w:val="28"/>
          <w:szCs w:val="28"/>
        </w:rPr>
        <w:t>月</w:t>
      </w:r>
    </w:p>
    <w:p>
      <w:pPr>
        <w:jc w:val="center"/>
        <w:rPr>
          <w:rFonts w:ascii="宋体" w:hAnsi="宋体" w:eastAsia="宋体"/>
          <w:b/>
          <w:bCs/>
          <w:sz w:val="28"/>
          <w:szCs w:val="28"/>
        </w:rPr>
      </w:pPr>
    </w:p>
    <w:sdt>
      <w:sdtPr>
        <w:rPr>
          <w:rFonts w:asciiTheme="minorHAnsi" w:hAnsiTheme="minorHAnsi" w:eastAsiaTheme="minorEastAsia" w:cstheme="minorBidi"/>
          <w:color w:val="auto"/>
          <w:kern w:val="2"/>
          <w:sz w:val="21"/>
          <w:szCs w:val="22"/>
          <w:lang w:val="zh-CN"/>
        </w:rPr>
        <w:id w:val="-1248646221"/>
        <w:docPartObj>
          <w:docPartGallery w:val="Table of Contents"/>
          <w:docPartUnique/>
        </w:docPartObj>
      </w:sdtPr>
      <w:sdtEndPr>
        <w:rPr>
          <w:rFonts w:ascii="宋体" w:hAnsi="宋体" w:eastAsia="宋体" w:cstheme="minorBidi"/>
          <w:b/>
          <w:bCs/>
          <w:color w:val="auto"/>
          <w:kern w:val="2"/>
          <w:sz w:val="21"/>
          <w:szCs w:val="22"/>
          <w:lang w:val="zh-CN"/>
        </w:rPr>
      </w:sdtEndPr>
      <w:sdtContent>
        <w:p>
          <w:pPr>
            <w:pStyle w:val="30"/>
            <w:jc w:val="center"/>
            <w:rPr>
              <w:rFonts w:ascii="宋体" w:hAnsi="宋体" w:eastAsia="宋体"/>
              <w:b/>
              <w:bCs/>
              <w:color w:val="auto"/>
              <w:sz w:val="36"/>
              <w:szCs w:val="36"/>
            </w:rPr>
          </w:pPr>
          <w:r>
            <w:rPr>
              <w:rFonts w:ascii="宋体" w:hAnsi="宋体" w:eastAsia="宋体"/>
              <w:b/>
              <w:bCs/>
              <w:color w:val="auto"/>
              <w:sz w:val="36"/>
              <w:szCs w:val="36"/>
              <w:lang w:val="zh-CN"/>
            </w:rPr>
            <w:t>目</w:t>
          </w:r>
          <w:r>
            <w:rPr>
              <w:rFonts w:hint="eastAsia" w:ascii="宋体" w:hAnsi="宋体" w:eastAsia="宋体"/>
              <w:b/>
              <w:bCs/>
              <w:color w:val="auto"/>
              <w:sz w:val="36"/>
              <w:szCs w:val="36"/>
              <w:lang w:val="zh-CN"/>
            </w:rPr>
            <w:t xml:space="preserve"> </w:t>
          </w:r>
          <w:r>
            <w:rPr>
              <w:rFonts w:ascii="宋体" w:hAnsi="宋体" w:eastAsia="宋体"/>
              <w:b/>
              <w:bCs/>
              <w:color w:val="auto"/>
              <w:sz w:val="36"/>
              <w:szCs w:val="36"/>
              <w:lang w:val="zh-CN"/>
            </w:rPr>
            <w:t>录</w:t>
          </w:r>
        </w:p>
        <w:p>
          <w:pPr>
            <w:pStyle w:val="12"/>
            <w:tabs>
              <w:tab w:val="right" w:leader="dot" w:pos="8296"/>
            </w:tabs>
            <w:spacing w:line="440" w:lineRule="exact"/>
            <w:rPr>
              <w:rFonts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 TOC \o "1-3" \h \z \u </w:instrText>
          </w:r>
          <w:r>
            <w:rPr>
              <w:rFonts w:ascii="仿宋" w:hAnsi="仿宋" w:eastAsia="仿宋"/>
              <w:sz w:val="24"/>
              <w:szCs w:val="24"/>
            </w:rPr>
            <w:fldChar w:fldCharType="separate"/>
          </w:r>
          <w:r>
            <w:fldChar w:fldCharType="begin"/>
          </w:r>
          <w:r>
            <w:instrText xml:space="preserve"> HYPERLINK \l "_Toc69314772" </w:instrText>
          </w:r>
          <w:r>
            <w:fldChar w:fldCharType="separate"/>
          </w:r>
          <w:r>
            <w:rPr>
              <w:rStyle w:val="21"/>
              <w:rFonts w:ascii="仿宋" w:hAnsi="仿宋" w:eastAsia="仿宋"/>
              <w:sz w:val="24"/>
              <w:szCs w:val="24"/>
            </w:rPr>
            <w:t>一、“十三五”发展成就回顾</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_Toc69314772 \h </w:instrText>
          </w:r>
          <w:r>
            <w:rPr>
              <w:rFonts w:ascii="仿宋" w:hAnsi="仿宋" w:eastAsia="仿宋"/>
              <w:sz w:val="24"/>
              <w:szCs w:val="24"/>
            </w:rPr>
            <w:fldChar w:fldCharType="separate"/>
          </w:r>
          <w:r>
            <w:rPr>
              <w:rFonts w:ascii="仿宋" w:hAnsi="仿宋" w:eastAsia="仿宋"/>
              <w:sz w:val="24"/>
              <w:szCs w:val="24"/>
            </w:rPr>
            <w:t>1</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"_Toc69314773" </w:instrText>
          </w:r>
          <w:r>
            <w:fldChar w:fldCharType="separate"/>
          </w:r>
          <w:r>
            <w:rPr>
              <w:rStyle w:val="21"/>
              <w:rFonts w:ascii="仿宋" w:hAnsi="仿宋" w:eastAsia="仿宋"/>
              <w:sz w:val="24"/>
              <w:szCs w:val="24"/>
            </w:rPr>
            <w:t>（一）城乡建设规划引领城镇化有效推进</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_Toc69314773 \h </w:instrText>
          </w:r>
          <w:r>
            <w:rPr>
              <w:rFonts w:ascii="仿宋" w:hAnsi="仿宋" w:eastAsia="仿宋"/>
              <w:sz w:val="24"/>
              <w:szCs w:val="24"/>
            </w:rPr>
            <w:fldChar w:fldCharType="separate"/>
          </w:r>
          <w:r>
            <w:rPr>
              <w:rFonts w:ascii="仿宋" w:hAnsi="仿宋" w:eastAsia="仿宋"/>
              <w:sz w:val="24"/>
              <w:szCs w:val="24"/>
            </w:rPr>
            <w:t>1</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"_Toc69314774" </w:instrText>
          </w:r>
          <w:r>
            <w:fldChar w:fldCharType="separate"/>
          </w:r>
          <w:r>
            <w:rPr>
              <w:rStyle w:val="21"/>
              <w:rFonts w:ascii="仿宋" w:hAnsi="仿宋" w:eastAsia="仿宋"/>
              <w:sz w:val="24"/>
              <w:szCs w:val="24"/>
            </w:rPr>
            <w:t>（二）城乡建设发展迈出新步伐</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_Toc69314774 \h </w:instrText>
          </w:r>
          <w:r>
            <w:rPr>
              <w:rFonts w:ascii="仿宋" w:hAnsi="仿宋" w:eastAsia="仿宋"/>
              <w:sz w:val="24"/>
              <w:szCs w:val="24"/>
            </w:rPr>
            <w:fldChar w:fldCharType="separate"/>
          </w:r>
          <w:r>
            <w:rPr>
              <w:rFonts w:ascii="仿宋" w:hAnsi="仿宋" w:eastAsia="仿宋"/>
              <w:sz w:val="24"/>
              <w:szCs w:val="24"/>
            </w:rPr>
            <w:t>2</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"_Toc69314775" </w:instrText>
          </w:r>
          <w:r>
            <w:fldChar w:fldCharType="separate"/>
          </w:r>
          <w:r>
            <w:rPr>
              <w:rStyle w:val="21"/>
              <w:rFonts w:ascii="仿宋" w:hAnsi="仿宋" w:eastAsia="仿宋"/>
              <w:sz w:val="24"/>
              <w:szCs w:val="24"/>
            </w:rPr>
            <w:t>（三）城乡居住品质持续改善</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_Toc69314775 \h </w:instrText>
          </w:r>
          <w:r>
            <w:rPr>
              <w:rFonts w:ascii="仿宋" w:hAnsi="仿宋" w:eastAsia="仿宋"/>
              <w:sz w:val="24"/>
              <w:szCs w:val="24"/>
            </w:rPr>
            <w:fldChar w:fldCharType="separate"/>
          </w:r>
          <w:r>
            <w:rPr>
              <w:rFonts w:ascii="仿宋" w:hAnsi="仿宋" w:eastAsia="仿宋"/>
              <w:sz w:val="24"/>
              <w:szCs w:val="24"/>
            </w:rPr>
            <w:t>5</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"_Toc69314776" </w:instrText>
          </w:r>
          <w:r>
            <w:fldChar w:fldCharType="separate"/>
          </w:r>
          <w:r>
            <w:rPr>
              <w:rStyle w:val="21"/>
              <w:rFonts w:ascii="仿宋" w:hAnsi="仿宋" w:eastAsia="仿宋"/>
              <w:sz w:val="24"/>
              <w:szCs w:val="24"/>
            </w:rPr>
            <w:t>（四）城乡建筑业转型成效明显</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_Toc69314776 \h </w:instrText>
          </w:r>
          <w:r>
            <w:rPr>
              <w:rFonts w:ascii="仿宋" w:hAnsi="仿宋" w:eastAsia="仿宋"/>
              <w:sz w:val="24"/>
              <w:szCs w:val="24"/>
            </w:rPr>
            <w:fldChar w:fldCharType="separate"/>
          </w:r>
          <w:r>
            <w:rPr>
              <w:rFonts w:ascii="仿宋" w:hAnsi="仿宋" w:eastAsia="仿宋"/>
              <w:sz w:val="24"/>
              <w:szCs w:val="24"/>
            </w:rPr>
            <w:t>7</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"_Toc69314777" </w:instrText>
          </w:r>
          <w:r>
            <w:fldChar w:fldCharType="separate"/>
          </w:r>
          <w:r>
            <w:rPr>
              <w:rStyle w:val="21"/>
              <w:rFonts w:ascii="仿宋" w:hAnsi="仿宋" w:eastAsia="仿宋"/>
              <w:sz w:val="24"/>
              <w:szCs w:val="24"/>
            </w:rPr>
            <w:t>（五）城乡基层治理水平显著提升</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_Toc69314777 \h </w:instrText>
          </w:r>
          <w:r>
            <w:rPr>
              <w:rFonts w:ascii="仿宋" w:hAnsi="仿宋" w:eastAsia="仿宋"/>
              <w:sz w:val="24"/>
              <w:szCs w:val="24"/>
            </w:rPr>
            <w:fldChar w:fldCharType="separate"/>
          </w:r>
          <w:r>
            <w:rPr>
              <w:rFonts w:ascii="仿宋" w:hAnsi="仿宋" w:eastAsia="仿宋"/>
              <w:sz w:val="24"/>
              <w:szCs w:val="24"/>
            </w:rPr>
            <w:t>8</w:t>
          </w:r>
          <w:r>
            <w:rPr>
              <w:rFonts w:ascii="仿宋" w:hAnsi="仿宋" w:eastAsia="仿宋"/>
              <w:sz w:val="24"/>
              <w:szCs w:val="24"/>
            </w:rPr>
            <w:fldChar w:fldCharType="end"/>
          </w:r>
          <w:r>
            <w:rPr>
              <w:rFonts w:ascii="仿宋" w:hAnsi="仿宋" w:eastAsia="仿宋"/>
              <w:sz w:val="24"/>
              <w:szCs w:val="24"/>
            </w:rPr>
            <w:fldChar w:fldCharType="end"/>
          </w:r>
        </w:p>
        <w:p>
          <w:pPr>
            <w:pStyle w:val="12"/>
            <w:tabs>
              <w:tab w:val="right" w:leader="dot" w:pos="8296"/>
            </w:tabs>
            <w:spacing w:line="440" w:lineRule="exact"/>
            <w:rPr>
              <w:rFonts w:ascii="仿宋" w:hAnsi="仿宋" w:eastAsia="仿宋"/>
              <w:sz w:val="24"/>
              <w:szCs w:val="24"/>
            </w:rPr>
          </w:pPr>
          <w:r>
            <w:fldChar w:fldCharType="begin"/>
          </w:r>
          <w:r>
            <w:instrText xml:space="preserve"> HYPERLINK \l "_Toc69314778" </w:instrText>
          </w:r>
          <w:r>
            <w:fldChar w:fldCharType="separate"/>
          </w:r>
          <w:r>
            <w:rPr>
              <w:rStyle w:val="21"/>
              <w:rFonts w:ascii="仿宋" w:hAnsi="仿宋" w:eastAsia="仿宋"/>
              <w:sz w:val="24"/>
              <w:szCs w:val="24"/>
            </w:rPr>
            <w:t>二、“十四五”战略环境研判</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_Toc69314778 \h </w:instrText>
          </w:r>
          <w:r>
            <w:rPr>
              <w:rFonts w:ascii="仿宋" w:hAnsi="仿宋" w:eastAsia="仿宋"/>
              <w:sz w:val="24"/>
              <w:szCs w:val="24"/>
            </w:rPr>
            <w:fldChar w:fldCharType="separate"/>
          </w:r>
          <w:r>
            <w:rPr>
              <w:rFonts w:ascii="仿宋" w:hAnsi="仿宋" w:eastAsia="仿宋"/>
              <w:sz w:val="24"/>
              <w:szCs w:val="24"/>
            </w:rPr>
            <w:t>9</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"_Toc69314779" </w:instrText>
          </w:r>
          <w:r>
            <w:fldChar w:fldCharType="separate"/>
          </w:r>
          <w:r>
            <w:rPr>
              <w:rStyle w:val="21"/>
              <w:rFonts w:ascii="仿宋" w:hAnsi="仿宋" w:eastAsia="仿宋"/>
              <w:sz w:val="24"/>
              <w:szCs w:val="24"/>
            </w:rPr>
            <w:t>（一）国家战略</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_Toc69314779 \h </w:instrText>
          </w:r>
          <w:r>
            <w:rPr>
              <w:rFonts w:ascii="仿宋" w:hAnsi="仿宋" w:eastAsia="仿宋"/>
              <w:sz w:val="24"/>
              <w:szCs w:val="24"/>
            </w:rPr>
            <w:fldChar w:fldCharType="separate"/>
          </w:r>
          <w:r>
            <w:rPr>
              <w:rFonts w:ascii="仿宋" w:hAnsi="仿宋" w:eastAsia="仿宋"/>
              <w:sz w:val="24"/>
              <w:szCs w:val="24"/>
            </w:rPr>
            <w:t>9</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"_Toc69314780" </w:instrText>
          </w:r>
          <w:r>
            <w:fldChar w:fldCharType="separate"/>
          </w:r>
          <w:r>
            <w:rPr>
              <w:rStyle w:val="21"/>
              <w:rFonts w:ascii="仿宋" w:hAnsi="仿宋" w:eastAsia="仿宋"/>
              <w:sz w:val="24"/>
              <w:szCs w:val="24"/>
            </w:rPr>
            <w:t>（二）区域战略</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_Toc69314780 \h </w:instrText>
          </w:r>
          <w:r>
            <w:rPr>
              <w:rFonts w:ascii="仿宋" w:hAnsi="仿宋" w:eastAsia="仿宋"/>
              <w:sz w:val="24"/>
              <w:szCs w:val="24"/>
            </w:rPr>
            <w:fldChar w:fldCharType="separate"/>
          </w:r>
          <w:r>
            <w:rPr>
              <w:rFonts w:ascii="仿宋" w:hAnsi="仿宋" w:eastAsia="仿宋"/>
              <w:sz w:val="24"/>
              <w:szCs w:val="24"/>
            </w:rPr>
            <w:t>10</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"_Toc69314781" </w:instrText>
          </w:r>
          <w:r>
            <w:fldChar w:fldCharType="separate"/>
          </w:r>
          <w:r>
            <w:rPr>
              <w:rStyle w:val="21"/>
              <w:rFonts w:ascii="仿宋" w:hAnsi="仿宋" w:eastAsia="仿宋"/>
              <w:sz w:val="24"/>
              <w:szCs w:val="24"/>
            </w:rPr>
            <w:t>（三）安徽战略</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_Toc69314781 \h </w:instrText>
          </w:r>
          <w:r>
            <w:rPr>
              <w:rFonts w:ascii="仿宋" w:hAnsi="仿宋" w:eastAsia="仿宋"/>
              <w:sz w:val="24"/>
              <w:szCs w:val="24"/>
            </w:rPr>
            <w:fldChar w:fldCharType="separate"/>
          </w:r>
          <w:r>
            <w:rPr>
              <w:rFonts w:ascii="仿宋" w:hAnsi="仿宋" w:eastAsia="仿宋"/>
              <w:sz w:val="24"/>
              <w:szCs w:val="24"/>
            </w:rPr>
            <w:t>11</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"_Toc69314782" </w:instrText>
          </w:r>
          <w:r>
            <w:fldChar w:fldCharType="separate"/>
          </w:r>
          <w:r>
            <w:rPr>
              <w:rStyle w:val="21"/>
              <w:rFonts w:ascii="仿宋" w:hAnsi="仿宋" w:eastAsia="仿宋"/>
              <w:sz w:val="24"/>
              <w:szCs w:val="24"/>
            </w:rPr>
            <w:t>（四）池州战略</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_Toc69314782 \h </w:instrText>
          </w:r>
          <w:r>
            <w:rPr>
              <w:rFonts w:ascii="仿宋" w:hAnsi="仿宋" w:eastAsia="仿宋"/>
              <w:sz w:val="24"/>
              <w:szCs w:val="24"/>
            </w:rPr>
            <w:fldChar w:fldCharType="separate"/>
          </w:r>
          <w:r>
            <w:rPr>
              <w:rFonts w:ascii="仿宋" w:hAnsi="仿宋" w:eastAsia="仿宋"/>
              <w:sz w:val="24"/>
              <w:szCs w:val="24"/>
            </w:rPr>
            <w:t>13</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"_Toc69314783" </w:instrText>
          </w:r>
          <w:r>
            <w:fldChar w:fldCharType="separate"/>
          </w:r>
          <w:r>
            <w:rPr>
              <w:rStyle w:val="21"/>
              <w:rFonts w:ascii="仿宋" w:hAnsi="仿宋" w:eastAsia="仿宋"/>
              <w:sz w:val="24"/>
              <w:szCs w:val="24"/>
            </w:rPr>
            <w:t>（五）东至战略</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_Toc69314783 \h </w:instrText>
          </w:r>
          <w:r>
            <w:rPr>
              <w:rFonts w:ascii="仿宋" w:hAnsi="仿宋" w:eastAsia="仿宋"/>
              <w:sz w:val="24"/>
              <w:szCs w:val="24"/>
            </w:rPr>
            <w:fldChar w:fldCharType="separate"/>
          </w:r>
          <w:r>
            <w:rPr>
              <w:rFonts w:ascii="仿宋" w:hAnsi="仿宋" w:eastAsia="仿宋"/>
              <w:sz w:val="24"/>
              <w:szCs w:val="24"/>
            </w:rPr>
            <w:t>14</w:t>
          </w:r>
          <w:r>
            <w:rPr>
              <w:rFonts w:ascii="仿宋" w:hAnsi="仿宋" w:eastAsia="仿宋"/>
              <w:sz w:val="24"/>
              <w:szCs w:val="24"/>
            </w:rPr>
            <w:fldChar w:fldCharType="end"/>
          </w:r>
          <w:r>
            <w:rPr>
              <w:rFonts w:ascii="仿宋" w:hAnsi="仿宋" w:eastAsia="仿宋"/>
              <w:sz w:val="24"/>
              <w:szCs w:val="24"/>
            </w:rPr>
            <w:fldChar w:fldCharType="end"/>
          </w:r>
        </w:p>
        <w:p>
          <w:pPr>
            <w:pStyle w:val="12"/>
            <w:tabs>
              <w:tab w:val="right" w:leader="dot" w:pos="8296"/>
            </w:tabs>
            <w:spacing w:line="440" w:lineRule="exact"/>
            <w:rPr>
              <w:rFonts w:ascii="仿宋" w:hAnsi="仿宋" w:eastAsia="仿宋"/>
              <w:sz w:val="24"/>
              <w:szCs w:val="24"/>
            </w:rPr>
          </w:pPr>
          <w:r>
            <w:fldChar w:fldCharType="begin"/>
          </w:r>
          <w:r>
            <w:instrText xml:space="preserve"> HYPERLINK \l "_Toc69314784" </w:instrText>
          </w:r>
          <w:r>
            <w:fldChar w:fldCharType="separate"/>
          </w:r>
          <w:r>
            <w:rPr>
              <w:rStyle w:val="21"/>
              <w:rFonts w:ascii="仿宋" w:hAnsi="仿宋" w:eastAsia="仿宋"/>
              <w:sz w:val="24"/>
              <w:szCs w:val="24"/>
            </w:rPr>
            <w:t>三、“十四五”指导思想与发展目标</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_Toc69314784 \h </w:instrText>
          </w:r>
          <w:r>
            <w:rPr>
              <w:rFonts w:ascii="仿宋" w:hAnsi="仿宋" w:eastAsia="仿宋"/>
              <w:sz w:val="24"/>
              <w:szCs w:val="24"/>
            </w:rPr>
            <w:fldChar w:fldCharType="separate"/>
          </w:r>
          <w:r>
            <w:rPr>
              <w:rFonts w:ascii="仿宋" w:hAnsi="仿宋" w:eastAsia="仿宋"/>
              <w:sz w:val="24"/>
              <w:szCs w:val="24"/>
            </w:rPr>
            <w:t>15</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"_Toc69314785" </w:instrText>
          </w:r>
          <w:r>
            <w:fldChar w:fldCharType="separate"/>
          </w:r>
          <w:r>
            <w:rPr>
              <w:rStyle w:val="21"/>
              <w:rFonts w:ascii="仿宋" w:hAnsi="仿宋" w:eastAsia="仿宋"/>
              <w:sz w:val="24"/>
              <w:szCs w:val="24"/>
            </w:rPr>
            <w:t>（一）指导思想</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_Toc69314785 \h </w:instrText>
          </w:r>
          <w:r>
            <w:rPr>
              <w:rFonts w:ascii="仿宋" w:hAnsi="仿宋" w:eastAsia="仿宋"/>
              <w:sz w:val="24"/>
              <w:szCs w:val="24"/>
            </w:rPr>
            <w:fldChar w:fldCharType="separate"/>
          </w:r>
          <w:r>
            <w:rPr>
              <w:rFonts w:ascii="仿宋" w:hAnsi="仿宋" w:eastAsia="仿宋"/>
              <w:sz w:val="24"/>
              <w:szCs w:val="24"/>
            </w:rPr>
            <w:t>15</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"_Toc69314786" </w:instrText>
          </w:r>
          <w:r>
            <w:fldChar w:fldCharType="separate"/>
          </w:r>
          <w:r>
            <w:rPr>
              <w:rStyle w:val="21"/>
              <w:rFonts w:ascii="仿宋" w:hAnsi="仿宋" w:eastAsia="仿宋"/>
              <w:sz w:val="24"/>
              <w:szCs w:val="24"/>
            </w:rPr>
            <w:t>（二）发展思路</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_Toc69314786 \h </w:instrText>
          </w:r>
          <w:r>
            <w:rPr>
              <w:rFonts w:ascii="仿宋" w:hAnsi="仿宋" w:eastAsia="仿宋"/>
              <w:sz w:val="24"/>
              <w:szCs w:val="24"/>
            </w:rPr>
            <w:fldChar w:fldCharType="separate"/>
          </w:r>
          <w:r>
            <w:rPr>
              <w:rFonts w:ascii="仿宋" w:hAnsi="仿宋" w:eastAsia="仿宋"/>
              <w:sz w:val="24"/>
              <w:szCs w:val="24"/>
            </w:rPr>
            <w:t>16</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"_Toc69314787" </w:instrText>
          </w:r>
          <w:r>
            <w:fldChar w:fldCharType="separate"/>
          </w:r>
          <w:r>
            <w:rPr>
              <w:rStyle w:val="21"/>
              <w:rFonts w:ascii="仿宋" w:hAnsi="仿宋" w:eastAsia="仿宋"/>
              <w:sz w:val="24"/>
              <w:szCs w:val="24"/>
            </w:rPr>
            <w:t>（三）基本原则</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_Toc69314787 \h </w:instrText>
          </w:r>
          <w:r>
            <w:rPr>
              <w:rFonts w:ascii="仿宋" w:hAnsi="仿宋" w:eastAsia="仿宋"/>
              <w:sz w:val="24"/>
              <w:szCs w:val="24"/>
            </w:rPr>
            <w:fldChar w:fldCharType="separate"/>
          </w:r>
          <w:r>
            <w:rPr>
              <w:rFonts w:ascii="仿宋" w:hAnsi="仿宋" w:eastAsia="仿宋"/>
              <w:sz w:val="24"/>
              <w:szCs w:val="24"/>
            </w:rPr>
            <w:t>16</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"_Toc69314788" </w:instrText>
          </w:r>
          <w:r>
            <w:fldChar w:fldCharType="separate"/>
          </w:r>
          <w:r>
            <w:rPr>
              <w:rStyle w:val="21"/>
              <w:rFonts w:ascii="仿宋" w:hAnsi="仿宋" w:eastAsia="仿宋"/>
              <w:sz w:val="24"/>
              <w:szCs w:val="24"/>
            </w:rPr>
            <w:t>（四）发展目标</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_Toc69314788 \h </w:instrText>
          </w:r>
          <w:r>
            <w:rPr>
              <w:rFonts w:ascii="仿宋" w:hAnsi="仿宋" w:eastAsia="仿宋"/>
              <w:sz w:val="24"/>
              <w:szCs w:val="24"/>
            </w:rPr>
            <w:fldChar w:fldCharType="separate"/>
          </w:r>
          <w:r>
            <w:rPr>
              <w:rFonts w:ascii="仿宋" w:hAnsi="仿宋" w:eastAsia="仿宋"/>
              <w:sz w:val="24"/>
              <w:szCs w:val="24"/>
            </w:rPr>
            <w:t>17</w:t>
          </w:r>
          <w:r>
            <w:rPr>
              <w:rFonts w:ascii="仿宋" w:hAnsi="仿宋" w:eastAsia="仿宋"/>
              <w:sz w:val="24"/>
              <w:szCs w:val="24"/>
            </w:rPr>
            <w:fldChar w:fldCharType="end"/>
          </w:r>
          <w:r>
            <w:rPr>
              <w:rFonts w:ascii="仿宋" w:hAnsi="仿宋" w:eastAsia="仿宋"/>
              <w:sz w:val="24"/>
              <w:szCs w:val="24"/>
            </w:rPr>
            <w:fldChar w:fldCharType="end"/>
          </w:r>
        </w:p>
        <w:p>
          <w:pPr>
            <w:pStyle w:val="12"/>
            <w:tabs>
              <w:tab w:val="right" w:leader="dot" w:pos="8296"/>
            </w:tabs>
            <w:spacing w:line="440" w:lineRule="exact"/>
            <w:rPr>
              <w:rFonts w:ascii="仿宋" w:hAnsi="仿宋" w:eastAsia="仿宋"/>
              <w:sz w:val="24"/>
              <w:szCs w:val="24"/>
            </w:rPr>
          </w:pPr>
          <w:r>
            <w:fldChar w:fldCharType="begin"/>
          </w:r>
          <w:r>
            <w:instrText xml:space="preserve"> HYPERLINK \l "_Toc69314789" </w:instrText>
          </w:r>
          <w:r>
            <w:fldChar w:fldCharType="separate"/>
          </w:r>
          <w:r>
            <w:rPr>
              <w:rStyle w:val="21"/>
              <w:rFonts w:ascii="仿宋" w:hAnsi="仿宋" w:eastAsia="仿宋"/>
              <w:sz w:val="24"/>
              <w:szCs w:val="24"/>
            </w:rPr>
            <w:t>四、“十四五”重点行动</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_Toc69314789 \h </w:instrText>
          </w:r>
          <w:r>
            <w:rPr>
              <w:rFonts w:ascii="仿宋" w:hAnsi="仿宋" w:eastAsia="仿宋"/>
              <w:sz w:val="24"/>
              <w:szCs w:val="24"/>
            </w:rPr>
            <w:fldChar w:fldCharType="separate"/>
          </w:r>
          <w:r>
            <w:rPr>
              <w:rFonts w:ascii="仿宋" w:hAnsi="仿宋" w:eastAsia="仿宋"/>
              <w:sz w:val="24"/>
              <w:szCs w:val="24"/>
            </w:rPr>
            <w:t>19</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"_Toc69314790" </w:instrText>
          </w:r>
          <w:r>
            <w:fldChar w:fldCharType="separate"/>
          </w:r>
          <w:r>
            <w:rPr>
              <w:rStyle w:val="21"/>
              <w:rFonts w:ascii="仿宋" w:hAnsi="仿宋" w:eastAsia="仿宋"/>
              <w:sz w:val="24"/>
              <w:szCs w:val="24"/>
            </w:rPr>
            <w:t>（一）高质量构建东至“双循环”新格局</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_Toc69314790 \h </w:instrText>
          </w:r>
          <w:r>
            <w:rPr>
              <w:rFonts w:ascii="仿宋" w:hAnsi="仿宋" w:eastAsia="仿宋"/>
              <w:sz w:val="24"/>
              <w:szCs w:val="24"/>
            </w:rPr>
            <w:fldChar w:fldCharType="separate"/>
          </w:r>
          <w:r>
            <w:rPr>
              <w:rFonts w:ascii="仿宋" w:hAnsi="仿宋" w:eastAsia="仿宋"/>
              <w:sz w:val="24"/>
              <w:szCs w:val="24"/>
            </w:rPr>
            <w:t>19</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"_Toc69314791" </w:instrText>
          </w:r>
          <w:r>
            <w:fldChar w:fldCharType="separate"/>
          </w:r>
          <w:r>
            <w:rPr>
              <w:rStyle w:val="21"/>
              <w:rFonts w:ascii="仿宋" w:hAnsi="仿宋" w:eastAsia="仿宋" w:cs="Times New Roman"/>
              <w:sz w:val="24"/>
              <w:szCs w:val="24"/>
            </w:rPr>
            <w:t>1、聚焦建筑产业发展联通</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_Toc69314791 \h </w:instrText>
          </w:r>
          <w:r>
            <w:rPr>
              <w:rFonts w:ascii="仿宋" w:hAnsi="仿宋" w:eastAsia="仿宋"/>
              <w:sz w:val="24"/>
              <w:szCs w:val="24"/>
            </w:rPr>
            <w:fldChar w:fldCharType="separate"/>
          </w:r>
          <w:r>
            <w:rPr>
              <w:rFonts w:ascii="仿宋" w:hAnsi="仿宋" w:eastAsia="仿宋"/>
              <w:sz w:val="24"/>
              <w:szCs w:val="24"/>
            </w:rPr>
            <w:t>19</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"_Toc69314792" </w:instrText>
          </w:r>
          <w:r>
            <w:fldChar w:fldCharType="separate"/>
          </w:r>
          <w:r>
            <w:rPr>
              <w:rStyle w:val="21"/>
              <w:rFonts w:ascii="仿宋" w:hAnsi="仿宋" w:eastAsia="仿宋" w:cs="Times New Roman"/>
              <w:sz w:val="24"/>
              <w:szCs w:val="24"/>
            </w:rPr>
            <w:t>2、保障房地产市场平稳顺通</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_Toc69314792 \h </w:instrText>
          </w:r>
          <w:r>
            <w:rPr>
              <w:rFonts w:ascii="仿宋" w:hAnsi="仿宋" w:eastAsia="仿宋"/>
              <w:sz w:val="24"/>
              <w:szCs w:val="24"/>
            </w:rPr>
            <w:fldChar w:fldCharType="separate"/>
          </w:r>
          <w:r>
            <w:rPr>
              <w:rFonts w:ascii="仿宋" w:hAnsi="仿宋" w:eastAsia="仿宋"/>
              <w:sz w:val="24"/>
              <w:szCs w:val="24"/>
            </w:rPr>
            <w:t>20</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"_Toc69314793" </w:instrText>
          </w:r>
          <w:r>
            <w:fldChar w:fldCharType="separate"/>
          </w:r>
          <w:r>
            <w:rPr>
              <w:rStyle w:val="21"/>
              <w:rFonts w:ascii="仿宋" w:hAnsi="仿宋" w:eastAsia="仿宋" w:cs="Times New Roman"/>
              <w:sz w:val="24"/>
              <w:szCs w:val="24"/>
            </w:rPr>
            <w:t>3、实现内外交通联系畅通</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_Toc69314793 \h </w:instrText>
          </w:r>
          <w:r>
            <w:rPr>
              <w:rFonts w:ascii="仿宋" w:hAnsi="仿宋" w:eastAsia="仿宋"/>
              <w:sz w:val="24"/>
              <w:szCs w:val="24"/>
            </w:rPr>
            <w:fldChar w:fldCharType="separate"/>
          </w:r>
          <w:r>
            <w:rPr>
              <w:rFonts w:ascii="仿宋" w:hAnsi="仿宋" w:eastAsia="仿宋"/>
              <w:sz w:val="24"/>
              <w:szCs w:val="24"/>
            </w:rPr>
            <w:t>21</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"_Toc69314794" </w:instrText>
          </w:r>
          <w:r>
            <w:fldChar w:fldCharType="separate"/>
          </w:r>
          <w:r>
            <w:rPr>
              <w:rStyle w:val="21"/>
              <w:rFonts w:ascii="仿宋" w:hAnsi="仿宋" w:eastAsia="仿宋"/>
              <w:sz w:val="24"/>
              <w:szCs w:val="24"/>
            </w:rPr>
            <w:t>（二）高水平推动尧东一体化建设</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_Toc69314794 \h </w:instrText>
          </w:r>
          <w:r>
            <w:rPr>
              <w:rFonts w:ascii="仿宋" w:hAnsi="仿宋" w:eastAsia="仿宋"/>
              <w:sz w:val="24"/>
              <w:szCs w:val="24"/>
            </w:rPr>
            <w:fldChar w:fldCharType="separate"/>
          </w:r>
          <w:r>
            <w:rPr>
              <w:rFonts w:ascii="仿宋" w:hAnsi="仿宋" w:eastAsia="仿宋"/>
              <w:sz w:val="24"/>
              <w:szCs w:val="24"/>
            </w:rPr>
            <w:t>22</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"_Toc69314795" </w:instrText>
          </w:r>
          <w:r>
            <w:fldChar w:fldCharType="separate"/>
          </w:r>
          <w:r>
            <w:rPr>
              <w:rStyle w:val="21"/>
              <w:rFonts w:ascii="仿宋" w:hAnsi="仿宋" w:eastAsia="仿宋" w:cs="Times New Roman"/>
              <w:sz w:val="24"/>
              <w:szCs w:val="24"/>
            </w:rPr>
            <w:t>1、加强规划引领作用</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_Toc69314795 \h </w:instrText>
          </w:r>
          <w:r>
            <w:rPr>
              <w:rFonts w:ascii="仿宋" w:hAnsi="仿宋" w:eastAsia="仿宋"/>
              <w:sz w:val="24"/>
              <w:szCs w:val="24"/>
            </w:rPr>
            <w:fldChar w:fldCharType="separate"/>
          </w:r>
          <w:r>
            <w:rPr>
              <w:rFonts w:ascii="仿宋" w:hAnsi="仿宋" w:eastAsia="仿宋"/>
              <w:sz w:val="24"/>
              <w:szCs w:val="24"/>
            </w:rPr>
            <w:t>22</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"_Toc69314796" </w:instrText>
          </w:r>
          <w:r>
            <w:fldChar w:fldCharType="separate"/>
          </w:r>
          <w:r>
            <w:rPr>
              <w:rStyle w:val="21"/>
              <w:rFonts w:ascii="仿宋" w:hAnsi="仿宋" w:eastAsia="仿宋" w:cs="Times New Roman"/>
              <w:sz w:val="24"/>
              <w:szCs w:val="24"/>
            </w:rPr>
            <w:t>2、合理拓展城镇化空间</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_Toc69314796 \h </w:instrText>
          </w:r>
          <w:r>
            <w:rPr>
              <w:rFonts w:ascii="仿宋" w:hAnsi="仿宋" w:eastAsia="仿宋"/>
              <w:sz w:val="24"/>
              <w:szCs w:val="24"/>
            </w:rPr>
            <w:fldChar w:fldCharType="separate"/>
          </w:r>
          <w:r>
            <w:rPr>
              <w:rFonts w:ascii="仿宋" w:hAnsi="仿宋" w:eastAsia="仿宋"/>
              <w:sz w:val="24"/>
              <w:szCs w:val="24"/>
            </w:rPr>
            <w:t>22</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"_Toc69314797" </w:instrText>
          </w:r>
          <w:r>
            <w:fldChar w:fldCharType="separate"/>
          </w:r>
          <w:r>
            <w:rPr>
              <w:rStyle w:val="21"/>
              <w:rFonts w:ascii="仿宋" w:hAnsi="仿宋" w:eastAsia="仿宋" w:cs="Times New Roman"/>
              <w:sz w:val="24"/>
              <w:szCs w:val="24"/>
            </w:rPr>
            <w:t>3、完善区域设施配套</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_Toc69314797 \h </w:instrText>
          </w:r>
          <w:r>
            <w:rPr>
              <w:rFonts w:ascii="仿宋" w:hAnsi="仿宋" w:eastAsia="仿宋"/>
              <w:sz w:val="24"/>
              <w:szCs w:val="24"/>
            </w:rPr>
            <w:fldChar w:fldCharType="separate"/>
          </w:r>
          <w:r>
            <w:rPr>
              <w:rFonts w:ascii="仿宋" w:hAnsi="仿宋" w:eastAsia="仿宋"/>
              <w:sz w:val="24"/>
              <w:szCs w:val="24"/>
            </w:rPr>
            <w:t>23</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"_Toc69314798" </w:instrText>
          </w:r>
          <w:r>
            <w:fldChar w:fldCharType="separate"/>
          </w:r>
          <w:r>
            <w:rPr>
              <w:rStyle w:val="21"/>
              <w:rFonts w:ascii="仿宋" w:hAnsi="仿宋" w:eastAsia="仿宋" w:cs="Times New Roman"/>
              <w:sz w:val="24"/>
              <w:szCs w:val="24"/>
            </w:rPr>
            <w:t>4、强化城市运营发展</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_Toc69314798 \h </w:instrText>
          </w:r>
          <w:r>
            <w:rPr>
              <w:rFonts w:ascii="仿宋" w:hAnsi="仿宋" w:eastAsia="仿宋"/>
              <w:sz w:val="24"/>
              <w:szCs w:val="24"/>
            </w:rPr>
            <w:fldChar w:fldCharType="separate"/>
          </w:r>
          <w:r>
            <w:rPr>
              <w:rFonts w:ascii="仿宋" w:hAnsi="仿宋" w:eastAsia="仿宋"/>
              <w:sz w:val="24"/>
              <w:szCs w:val="24"/>
            </w:rPr>
            <w:t>24</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"_Toc69314799" </w:instrText>
          </w:r>
          <w:r>
            <w:fldChar w:fldCharType="separate"/>
          </w:r>
          <w:r>
            <w:rPr>
              <w:rStyle w:val="21"/>
              <w:rFonts w:ascii="仿宋" w:hAnsi="仿宋" w:eastAsia="仿宋"/>
              <w:sz w:val="24"/>
              <w:szCs w:val="24"/>
            </w:rPr>
            <w:t>（三）高标准实现住房保障</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_Toc69314799 \h </w:instrText>
          </w:r>
          <w:r>
            <w:rPr>
              <w:rFonts w:ascii="仿宋" w:hAnsi="仿宋" w:eastAsia="仿宋"/>
              <w:sz w:val="24"/>
              <w:szCs w:val="24"/>
            </w:rPr>
            <w:fldChar w:fldCharType="separate"/>
          </w:r>
          <w:r>
            <w:rPr>
              <w:rFonts w:ascii="仿宋" w:hAnsi="仿宋" w:eastAsia="仿宋"/>
              <w:sz w:val="24"/>
              <w:szCs w:val="24"/>
            </w:rPr>
            <w:t>25</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"_Toc69314800" </w:instrText>
          </w:r>
          <w:r>
            <w:fldChar w:fldCharType="separate"/>
          </w:r>
          <w:r>
            <w:rPr>
              <w:rStyle w:val="21"/>
              <w:rFonts w:ascii="仿宋" w:hAnsi="仿宋" w:eastAsia="仿宋" w:cs="Times New Roman"/>
              <w:sz w:val="24"/>
              <w:szCs w:val="24"/>
            </w:rPr>
            <w:t>1、健全住房保障体系</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_Toc69314800 \h </w:instrText>
          </w:r>
          <w:r>
            <w:rPr>
              <w:rFonts w:ascii="仿宋" w:hAnsi="仿宋" w:eastAsia="仿宋"/>
              <w:sz w:val="24"/>
              <w:szCs w:val="24"/>
            </w:rPr>
            <w:fldChar w:fldCharType="separate"/>
          </w:r>
          <w:r>
            <w:rPr>
              <w:rFonts w:ascii="仿宋" w:hAnsi="仿宋" w:eastAsia="仿宋"/>
              <w:sz w:val="24"/>
              <w:szCs w:val="24"/>
            </w:rPr>
            <w:t>25</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"_Toc69314801" </w:instrText>
          </w:r>
          <w:r>
            <w:fldChar w:fldCharType="separate"/>
          </w:r>
          <w:r>
            <w:rPr>
              <w:rStyle w:val="21"/>
              <w:rFonts w:ascii="仿宋" w:hAnsi="仿宋" w:eastAsia="仿宋" w:cs="Times New Roman"/>
              <w:sz w:val="24"/>
              <w:szCs w:val="24"/>
            </w:rPr>
            <w:t>2、加快老旧小区改造</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_Toc69314801 \h </w:instrText>
          </w:r>
          <w:r>
            <w:rPr>
              <w:rFonts w:ascii="仿宋" w:hAnsi="仿宋" w:eastAsia="仿宋"/>
              <w:sz w:val="24"/>
              <w:szCs w:val="24"/>
            </w:rPr>
            <w:fldChar w:fldCharType="separate"/>
          </w:r>
          <w:r>
            <w:rPr>
              <w:rFonts w:ascii="仿宋" w:hAnsi="仿宋" w:eastAsia="仿宋"/>
              <w:sz w:val="24"/>
              <w:szCs w:val="24"/>
            </w:rPr>
            <w:t>25</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"_Toc69314802" </w:instrText>
          </w:r>
          <w:r>
            <w:fldChar w:fldCharType="separate"/>
          </w:r>
          <w:r>
            <w:rPr>
              <w:rStyle w:val="21"/>
              <w:rFonts w:ascii="仿宋" w:hAnsi="仿宋" w:eastAsia="仿宋" w:cs="Times New Roman"/>
              <w:sz w:val="24"/>
              <w:szCs w:val="24"/>
            </w:rPr>
            <w:t>3、提高物业服务质量</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_Toc69314802 \h </w:instrText>
          </w:r>
          <w:r>
            <w:rPr>
              <w:rFonts w:ascii="仿宋" w:hAnsi="仿宋" w:eastAsia="仿宋"/>
              <w:sz w:val="24"/>
              <w:szCs w:val="24"/>
            </w:rPr>
            <w:fldChar w:fldCharType="separate"/>
          </w:r>
          <w:r>
            <w:rPr>
              <w:rFonts w:ascii="仿宋" w:hAnsi="仿宋" w:eastAsia="仿宋"/>
              <w:sz w:val="24"/>
              <w:szCs w:val="24"/>
            </w:rPr>
            <w:t>26</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"_Toc69314803" </w:instrText>
          </w:r>
          <w:r>
            <w:fldChar w:fldCharType="separate"/>
          </w:r>
          <w:r>
            <w:rPr>
              <w:rStyle w:val="21"/>
              <w:rFonts w:ascii="仿宋" w:hAnsi="仿宋" w:eastAsia="仿宋" w:cs="Times New Roman"/>
              <w:sz w:val="24"/>
              <w:szCs w:val="24"/>
            </w:rPr>
            <w:t>4、强化农房质量监管</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_Toc69314803 \h </w:instrText>
          </w:r>
          <w:r>
            <w:rPr>
              <w:rFonts w:ascii="仿宋" w:hAnsi="仿宋" w:eastAsia="仿宋"/>
              <w:sz w:val="24"/>
              <w:szCs w:val="24"/>
            </w:rPr>
            <w:fldChar w:fldCharType="separate"/>
          </w:r>
          <w:r>
            <w:rPr>
              <w:rFonts w:ascii="仿宋" w:hAnsi="仿宋" w:eastAsia="仿宋"/>
              <w:sz w:val="24"/>
              <w:szCs w:val="24"/>
            </w:rPr>
            <w:t>27</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"_Toc69314804" </w:instrText>
          </w:r>
          <w:r>
            <w:fldChar w:fldCharType="separate"/>
          </w:r>
          <w:r>
            <w:rPr>
              <w:rStyle w:val="21"/>
              <w:rFonts w:ascii="仿宋" w:hAnsi="仿宋" w:eastAsia="仿宋"/>
              <w:sz w:val="24"/>
              <w:szCs w:val="24"/>
            </w:rPr>
            <w:t>（四）高起点推进基础设施建设</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_Toc69314804 \h </w:instrText>
          </w:r>
          <w:r>
            <w:rPr>
              <w:rFonts w:ascii="仿宋" w:hAnsi="仿宋" w:eastAsia="仿宋"/>
              <w:sz w:val="24"/>
              <w:szCs w:val="24"/>
            </w:rPr>
            <w:fldChar w:fldCharType="separate"/>
          </w:r>
          <w:r>
            <w:rPr>
              <w:rFonts w:ascii="仿宋" w:hAnsi="仿宋" w:eastAsia="仿宋"/>
              <w:sz w:val="24"/>
              <w:szCs w:val="24"/>
            </w:rPr>
            <w:t>27</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"_Toc69314805" </w:instrText>
          </w:r>
          <w:r>
            <w:fldChar w:fldCharType="separate"/>
          </w:r>
          <w:r>
            <w:rPr>
              <w:rStyle w:val="21"/>
              <w:rFonts w:ascii="仿宋" w:hAnsi="仿宋" w:eastAsia="仿宋" w:cs="Times New Roman"/>
              <w:sz w:val="24"/>
              <w:szCs w:val="24"/>
            </w:rPr>
            <w:t>1、提升公用设施承载能力</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_Toc69314805 \h </w:instrText>
          </w:r>
          <w:r>
            <w:rPr>
              <w:rFonts w:ascii="仿宋" w:hAnsi="仿宋" w:eastAsia="仿宋"/>
              <w:sz w:val="24"/>
              <w:szCs w:val="24"/>
            </w:rPr>
            <w:fldChar w:fldCharType="separate"/>
          </w:r>
          <w:r>
            <w:rPr>
              <w:rFonts w:ascii="仿宋" w:hAnsi="仿宋" w:eastAsia="仿宋"/>
              <w:sz w:val="24"/>
              <w:szCs w:val="24"/>
            </w:rPr>
            <w:t>27</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"_Toc69314806" </w:instrText>
          </w:r>
          <w:r>
            <w:fldChar w:fldCharType="separate"/>
          </w:r>
          <w:r>
            <w:rPr>
              <w:rStyle w:val="21"/>
              <w:rFonts w:ascii="仿宋" w:hAnsi="仿宋" w:eastAsia="仿宋" w:cs="Times New Roman"/>
              <w:sz w:val="24"/>
              <w:szCs w:val="24"/>
            </w:rPr>
            <w:t>2、增进交通系统畅通水平</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_Toc69314806 \h </w:instrText>
          </w:r>
          <w:r>
            <w:rPr>
              <w:rFonts w:ascii="仿宋" w:hAnsi="仿宋" w:eastAsia="仿宋"/>
              <w:sz w:val="24"/>
              <w:szCs w:val="24"/>
            </w:rPr>
            <w:fldChar w:fldCharType="separate"/>
          </w:r>
          <w:r>
            <w:rPr>
              <w:rFonts w:ascii="仿宋" w:hAnsi="仿宋" w:eastAsia="仿宋"/>
              <w:sz w:val="24"/>
              <w:szCs w:val="24"/>
            </w:rPr>
            <w:t>28</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"_Toc69314807" </w:instrText>
          </w:r>
          <w:r>
            <w:fldChar w:fldCharType="separate"/>
          </w:r>
          <w:r>
            <w:rPr>
              <w:rStyle w:val="21"/>
              <w:rFonts w:ascii="仿宋" w:hAnsi="仿宋" w:eastAsia="仿宋" w:cs="Times New Roman"/>
              <w:sz w:val="24"/>
              <w:szCs w:val="24"/>
            </w:rPr>
            <w:t>3、提高公共设施建设品质</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_Toc69314807 \h </w:instrText>
          </w:r>
          <w:r>
            <w:rPr>
              <w:rFonts w:ascii="仿宋" w:hAnsi="仿宋" w:eastAsia="仿宋"/>
              <w:sz w:val="24"/>
              <w:szCs w:val="24"/>
            </w:rPr>
            <w:fldChar w:fldCharType="separate"/>
          </w:r>
          <w:r>
            <w:rPr>
              <w:rFonts w:ascii="仿宋" w:hAnsi="仿宋" w:eastAsia="仿宋"/>
              <w:sz w:val="24"/>
              <w:szCs w:val="24"/>
            </w:rPr>
            <w:t>29</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"_Toc69314808" </w:instrText>
          </w:r>
          <w:r>
            <w:fldChar w:fldCharType="separate"/>
          </w:r>
          <w:r>
            <w:rPr>
              <w:rStyle w:val="21"/>
              <w:rFonts w:ascii="仿宋" w:hAnsi="仿宋" w:eastAsia="仿宋" w:cs="Times New Roman"/>
              <w:sz w:val="24"/>
              <w:szCs w:val="24"/>
            </w:rPr>
            <w:t>4、增强乡镇基础设施供给</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_Toc69314808 \h </w:instrText>
          </w:r>
          <w:r>
            <w:rPr>
              <w:rFonts w:ascii="仿宋" w:hAnsi="仿宋" w:eastAsia="仿宋"/>
              <w:sz w:val="24"/>
              <w:szCs w:val="24"/>
            </w:rPr>
            <w:fldChar w:fldCharType="separate"/>
          </w:r>
          <w:r>
            <w:rPr>
              <w:rFonts w:ascii="仿宋" w:hAnsi="仿宋" w:eastAsia="仿宋"/>
              <w:sz w:val="24"/>
              <w:szCs w:val="24"/>
            </w:rPr>
            <w:t>30</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"_Toc69314809" </w:instrText>
          </w:r>
          <w:r>
            <w:fldChar w:fldCharType="separate"/>
          </w:r>
          <w:r>
            <w:rPr>
              <w:rStyle w:val="21"/>
              <w:rFonts w:ascii="仿宋" w:hAnsi="仿宋" w:eastAsia="仿宋"/>
              <w:sz w:val="24"/>
              <w:szCs w:val="24"/>
            </w:rPr>
            <w:t>（五）高效率实现建筑业转型升级</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_Toc69314809 \h </w:instrText>
          </w:r>
          <w:r>
            <w:rPr>
              <w:rFonts w:ascii="仿宋" w:hAnsi="仿宋" w:eastAsia="仿宋"/>
              <w:sz w:val="24"/>
              <w:szCs w:val="24"/>
            </w:rPr>
            <w:fldChar w:fldCharType="separate"/>
          </w:r>
          <w:r>
            <w:rPr>
              <w:rFonts w:ascii="仿宋" w:hAnsi="仿宋" w:eastAsia="仿宋"/>
              <w:sz w:val="24"/>
              <w:szCs w:val="24"/>
            </w:rPr>
            <w:t>31</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"_Toc69314810" </w:instrText>
          </w:r>
          <w:r>
            <w:fldChar w:fldCharType="separate"/>
          </w:r>
          <w:r>
            <w:rPr>
              <w:rStyle w:val="21"/>
              <w:rFonts w:ascii="仿宋" w:hAnsi="仿宋" w:eastAsia="仿宋" w:cs="Times New Roman"/>
              <w:sz w:val="24"/>
              <w:szCs w:val="24"/>
            </w:rPr>
            <w:t>1、提升本地建筑企业竞争力</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_Toc69314810 \h </w:instrText>
          </w:r>
          <w:r>
            <w:rPr>
              <w:rFonts w:ascii="仿宋" w:hAnsi="仿宋" w:eastAsia="仿宋"/>
              <w:sz w:val="24"/>
              <w:szCs w:val="24"/>
            </w:rPr>
            <w:fldChar w:fldCharType="separate"/>
          </w:r>
          <w:r>
            <w:rPr>
              <w:rFonts w:ascii="仿宋" w:hAnsi="仿宋" w:eastAsia="仿宋"/>
              <w:sz w:val="24"/>
              <w:szCs w:val="24"/>
            </w:rPr>
            <w:t>31</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"_Toc69314811" </w:instrText>
          </w:r>
          <w:r>
            <w:fldChar w:fldCharType="separate"/>
          </w:r>
          <w:r>
            <w:rPr>
              <w:rStyle w:val="21"/>
              <w:rFonts w:ascii="仿宋" w:hAnsi="仿宋" w:eastAsia="仿宋" w:cs="Times New Roman"/>
              <w:sz w:val="24"/>
              <w:szCs w:val="24"/>
            </w:rPr>
            <w:t>2、推进建筑产业现代化</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_Toc69314811 \h </w:instrText>
          </w:r>
          <w:r>
            <w:rPr>
              <w:rFonts w:ascii="仿宋" w:hAnsi="仿宋" w:eastAsia="仿宋"/>
              <w:sz w:val="24"/>
              <w:szCs w:val="24"/>
            </w:rPr>
            <w:fldChar w:fldCharType="separate"/>
          </w:r>
          <w:r>
            <w:rPr>
              <w:rFonts w:ascii="仿宋" w:hAnsi="仿宋" w:eastAsia="仿宋"/>
              <w:sz w:val="24"/>
              <w:szCs w:val="24"/>
            </w:rPr>
            <w:t>31</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"_Toc69314812" </w:instrText>
          </w:r>
          <w:r>
            <w:fldChar w:fldCharType="separate"/>
          </w:r>
          <w:r>
            <w:rPr>
              <w:rStyle w:val="21"/>
              <w:rFonts w:ascii="仿宋" w:hAnsi="仿宋" w:eastAsia="仿宋" w:cs="Times New Roman"/>
              <w:sz w:val="24"/>
              <w:szCs w:val="24"/>
            </w:rPr>
            <w:t>3、加强建筑技术创新与信息化水平</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_Toc69314812 \h </w:instrText>
          </w:r>
          <w:r>
            <w:rPr>
              <w:rFonts w:ascii="仿宋" w:hAnsi="仿宋" w:eastAsia="仿宋"/>
              <w:sz w:val="24"/>
              <w:szCs w:val="24"/>
            </w:rPr>
            <w:fldChar w:fldCharType="separate"/>
          </w:r>
          <w:r>
            <w:rPr>
              <w:rFonts w:ascii="仿宋" w:hAnsi="仿宋" w:eastAsia="仿宋"/>
              <w:sz w:val="24"/>
              <w:szCs w:val="24"/>
            </w:rPr>
            <w:t>32</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"_Toc69314813" </w:instrText>
          </w:r>
          <w:r>
            <w:fldChar w:fldCharType="separate"/>
          </w:r>
          <w:r>
            <w:rPr>
              <w:rStyle w:val="21"/>
              <w:rFonts w:ascii="仿宋" w:hAnsi="仿宋" w:eastAsia="仿宋" w:cs="Times New Roman"/>
              <w:sz w:val="24"/>
              <w:szCs w:val="24"/>
            </w:rPr>
            <w:t>4、推行建筑绿色建造</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_Toc69314813 \h </w:instrText>
          </w:r>
          <w:r>
            <w:rPr>
              <w:rFonts w:ascii="仿宋" w:hAnsi="仿宋" w:eastAsia="仿宋"/>
              <w:sz w:val="24"/>
              <w:szCs w:val="24"/>
            </w:rPr>
            <w:fldChar w:fldCharType="separate"/>
          </w:r>
          <w:r>
            <w:rPr>
              <w:rFonts w:ascii="仿宋" w:hAnsi="仿宋" w:eastAsia="仿宋"/>
              <w:sz w:val="24"/>
              <w:szCs w:val="24"/>
            </w:rPr>
            <w:t>33</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"_Toc69314814" </w:instrText>
          </w:r>
          <w:r>
            <w:fldChar w:fldCharType="separate"/>
          </w:r>
          <w:r>
            <w:rPr>
              <w:rStyle w:val="21"/>
              <w:rFonts w:ascii="仿宋" w:hAnsi="仿宋" w:eastAsia="仿宋"/>
              <w:sz w:val="24"/>
              <w:szCs w:val="24"/>
            </w:rPr>
            <w:t>（六）高层次提升人防安全水平</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_Toc69314814 \h </w:instrText>
          </w:r>
          <w:r>
            <w:rPr>
              <w:rFonts w:ascii="仿宋" w:hAnsi="仿宋" w:eastAsia="仿宋"/>
              <w:sz w:val="24"/>
              <w:szCs w:val="24"/>
            </w:rPr>
            <w:fldChar w:fldCharType="separate"/>
          </w:r>
          <w:r>
            <w:rPr>
              <w:rFonts w:ascii="仿宋" w:hAnsi="仿宋" w:eastAsia="仿宋"/>
              <w:sz w:val="24"/>
              <w:szCs w:val="24"/>
            </w:rPr>
            <w:t>34</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"_Toc69314815" </w:instrText>
          </w:r>
          <w:r>
            <w:fldChar w:fldCharType="separate"/>
          </w:r>
          <w:r>
            <w:rPr>
              <w:rStyle w:val="21"/>
              <w:rFonts w:ascii="仿宋" w:hAnsi="仿宋" w:eastAsia="仿宋" w:cs="Times New Roman"/>
              <w:sz w:val="24"/>
              <w:szCs w:val="24"/>
            </w:rPr>
            <w:t>1、加大城镇人防设施保障</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_Toc69314815 \h </w:instrText>
          </w:r>
          <w:r>
            <w:rPr>
              <w:rFonts w:ascii="仿宋" w:hAnsi="仿宋" w:eastAsia="仿宋"/>
              <w:sz w:val="24"/>
              <w:szCs w:val="24"/>
            </w:rPr>
            <w:fldChar w:fldCharType="separate"/>
          </w:r>
          <w:r>
            <w:rPr>
              <w:rFonts w:ascii="仿宋" w:hAnsi="仿宋" w:eastAsia="仿宋"/>
              <w:sz w:val="24"/>
              <w:szCs w:val="24"/>
            </w:rPr>
            <w:t>34</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"_Toc69314816" </w:instrText>
          </w:r>
          <w:r>
            <w:fldChar w:fldCharType="separate"/>
          </w:r>
          <w:r>
            <w:rPr>
              <w:rStyle w:val="21"/>
              <w:rFonts w:ascii="仿宋" w:hAnsi="仿宋" w:eastAsia="仿宋" w:cs="Times New Roman"/>
              <w:sz w:val="24"/>
              <w:szCs w:val="24"/>
            </w:rPr>
            <w:t>2、推进城镇消防安全治理体系建设</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_Toc69314816 \h </w:instrText>
          </w:r>
          <w:r>
            <w:rPr>
              <w:rFonts w:ascii="仿宋" w:hAnsi="仿宋" w:eastAsia="仿宋"/>
              <w:sz w:val="24"/>
              <w:szCs w:val="24"/>
            </w:rPr>
            <w:fldChar w:fldCharType="separate"/>
          </w:r>
          <w:r>
            <w:rPr>
              <w:rFonts w:ascii="仿宋" w:hAnsi="仿宋" w:eastAsia="仿宋"/>
              <w:sz w:val="24"/>
              <w:szCs w:val="24"/>
            </w:rPr>
            <w:t>34</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"_Toc69314817" </w:instrText>
          </w:r>
          <w:r>
            <w:fldChar w:fldCharType="separate"/>
          </w:r>
          <w:r>
            <w:rPr>
              <w:rStyle w:val="21"/>
              <w:rFonts w:ascii="仿宋" w:hAnsi="仿宋" w:eastAsia="仿宋" w:cs="Times New Roman"/>
              <w:sz w:val="24"/>
              <w:szCs w:val="24"/>
            </w:rPr>
            <w:t>3、提高城镇应急防灾能力</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_Toc69314817 \h </w:instrText>
          </w:r>
          <w:r>
            <w:rPr>
              <w:rFonts w:ascii="仿宋" w:hAnsi="仿宋" w:eastAsia="仿宋"/>
              <w:sz w:val="24"/>
              <w:szCs w:val="24"/>
            </w:rPr>
            <w:fldChar w:fldCharType="separate"/>
          </w:r>
          <w:r>
            <w:rPr>
              <w:rFonts w:ascii="仿宋" w:hAnsi="仿宋" w:eastAsia="仿宋"/>
              <w:sz w:val="24"/>
              <w:szCs w:val="24"/>
            </w:rPr>
            <w:t>35</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"_Toc69314818" </w:instrText>
          </w:r>
          <w:r>
            <w:fldChar w:fldCharType="separate"/>
          </w:r>
          <w:r>
            <w:rPr>
              <w:rStyle w:val="21"/>
              <w:rFonts w:ascii="仿宋" w:hAnsi="仿宋" w:eastAsia="仿宋" w:cs="Times New Roman"/>
              <w:sz w:val="24"/>
              <w:szCs w:val="24"/>
            </w:rPr>
            <w:t>4、增强城镇公共安全技术防范水平</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_Toc69314818 \h </w:instrText>
          </w:r>
          <w:r>
            <w:rPr>
              <w:rFonts w:ascii="仿宋" w:hAnsi="仿宋" w:eastAsia="仿宋"/>
              <w:sz w:val="24"/>
              <w:szCs w:val="24"/>
            </w:rPr>
            <w:fldChar w:fldCharType="separate"/>
          </w:r>
          <w:r>
            <w:rPr>
              <w:rFonts w:ascii="仿宋" w:hAnsi="仿宋" w:eastAsia="仿宋"/>
              <w:sz w:val="24"/>
              <w:szCs w:val="24"/>
            </w:rPr>
            <w:t>36</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"_Toc69314819" </w:instrText>
          </w:r>
          <w:r>
            <w:fldChar w:fldCharType="separate"/>
          </w:r>
          <w:r>
            <w:rPr>
              <w:rStyle w:val="21"/>
              <w:rFonts w:ascii="仿宋" w:hAnsi="仿宋" w:eastAsia="仿宋" w:cs="Times New Roman"/>
              <w:sz w:val="24"/>
              <w:szCs w:val="24"/>
            </w:rPr>
            <w:t>5、完善城镇地下空间建设</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_Toc69314819 \h </w:instrText>
          </w:r>
          <w:r>
            <w:rPr>
              <w:rFonts w:ascii="仿宋" w:hAnsi="仿宋" w:eastAsia="仿宋"/>
              <w:sz w:val="24"/>
              <w:szCs w:val="24"/>
            </w:rPr>
            <w:fldChar w:fldCharType="separate"/>
          </w:r>
          <w:r>
            <w:rPr>
              <w:rFonts w:ascii="仿宋" w:hAnsi="仿宋" w:eastAsia="仿宋"/>
              <w:sz w:val="24"/>
              <w:szCs w:val="24"/>
            </w:rPr>
            <w:t>36</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"_Toc69314820" </w:instrText>
          </w:r>
          <w:r>
            <w:fldChar w:fldCharType="separate"/>
          </w:r>
          <w:r>
            <w:rPr>
              <w:rStyle w:val="21"/>
              <w:rFonts w:ascii="仿宋" w:hAnsi="仿宋" w:eastAsia="仿宋"/>
              <w:sz w:val="24"/>
              <w:szCs w:val="24"/>
            </w:rPr>
            <w:t>（七）高品质实现城乡特色塑造</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_Toc69314820 \h </w:instrText>
          </w:r>
          <w:r>
            <w:rPr>
              <w:rFonts w:ascii="仿宋" w:hAnsi="仿宋" w:eastAsia="仿宋"/>
              <w:sz w:val="24"/>
              <w:szCs w:val="24"/>
            </w:rPr>
            <w:fldChar w:fldCharType="separate"/>
          </w:r>
          <w:r>
            <w:rPr>
              <w:rFonts w:ascii="仿宋" w:hAnsi="仿宋" w:eastAsia="仿宋"/>
              <w:sz w:val="24"/>
              <w:szCs w:val="24"/>
            </w:rPr>
            <w:t>36</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"_Toc69314821" </w:instrText>
          </w:r>
          <w:r>
            <w:fldChar w:fldCharType="separate"/>
          </w:r>
          <w:r>
            <w:rPr>
              <w:rStyle w:val="21"/>
              <w:rFonts w:ascii="仿宋" w:hAnsi="仿宋" w:eastAsia="仿宋" w:cs="Times New Roman"/>
              <w:sz w:val="24"/>
              <w:szCs w:val="24"/>
            </w:rPr>
            <w:t>1、加快城镇绿化建设</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_Toc69314821 \h </w:instrText>
          </w:r>
          <w:r>
            <w:rPr>
              <w:rFonts w:ascii="仿宋" w:hAnsi="仿宋" w:eastAsia="仿宋"/>
              <w:sz w:val="24"/>
              <w:szCs w:val="24"/>
            </w:rPr>
            <w:fldChar w:fldCharType="separate"/>
          </w:r>
          <w:r>
            <w:rPr>
              <w:rFonts w:ascii="仿宋" w:hAnsi="仿宋" w:eastAsia="仿宋"/>
              <w:sz w:val="24"/>
              <w:szCs w:val="24"/>
            </w:rPr>
            <w:t>36</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"_Toc69314822" </w:instrText>
          </w:r>
          <w:r>
            <w:fldChar w:fldCharType="separate"/>
          </w:r>
          <w:r>
            <w:rPr>
              <w:rStyle w:val="21"/>
              <w:rFonts w:ascii="仿宋" w:hAnsi="仿宋" w:eastAsia="仿宋" w:cs="Times New Roman"/>
              <w:sz w:val="24"/>
              <w:szCs w:val="24"/>
            </w:rPr>
            <w:t>2、强化城乡特色风貌塑造</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_Toc69314822 \h </w:instrText>
          </w:r>
          <w:r>
            <w:rPr>
              <w:rFonts w:ascii="仿宋" w:hAnsi="仿宋" w:eastAsia="仿宋"/>
              <w:sz w:val="24"/>
              <w:szCs w:val="24"/>
            </w:rPr>
            <w:fldChar w:fldCharType="separate"/>
          </w:r>
          <w:r>
            <w:rPr>
              <w:rFonts w:ascii="仿宋" w:hAnsi="仿宋" w:eastAsia="仿宋"/>
              <w:sz w:val="24"/>
              <w:szCs w:val="24"/>
            </w:rPr>
            <w:t>37</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"_Toc69314823" </w:instrText>
          </w:r>
          <w:r>
            <w:fldChar w:fldCharType="separate"/>
          </w:r>
          <w:r>
            <w:rPr>
              <w:rStyle w:val="21"/>
              <w:rFonts w:ascii="仿宋" w:hAnsi="仿宋" w:eastAsia="仿宋" w:cs="Times New Roman"/>
              <w:sz w:val="24"/>
              <w:szCs w:val="24"/>
            </w:rPr>
            <w:t>3、加大历史文化保护</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_Toc69314823 \h </w:instrText>
          </w:r>
          <w:r>
            <w:rPr>
              <w:rFonts w:ascii="仿宋" w:hAnsi="仿宋" w:eastAsia="仿宋"/>
              <w:sz w:val="24"/>
              <w:szCs w:val="24"/>
            </w:rPr>
            <w:fldChar w:fldCharType="separate"/>
          </w:r>
          <w:r>
            <w:rPr>
              <w:rFonts w:ascii="仿宋" w:hAnsi="仿宋" w:eastAsia="仿宋"/>
              <w:sz w:val="24"/>
              <w:szCs w:val="24"/>
            </w:rPr>
            <w:t>38</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"_Toc69314824" </w:instrText>
          </w:r>
          <w:r>
            <w:fldChar w:fldCharType="separate"/>
          </w:r>
          <w:r>
            <w:rPr>
              <w:rStyle w:val="21"/>
              <w:rFonts w:ascii="仿宋" w:hAnsi="仿宋" w:eastAsia="仿宋"/>
              <w:sz w:val="24"/>
              <w:szCs w:val="24"/>
            </w:rPr>
            <w:t>（八）高站位推进智慧管理</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_Toc69314824 \h </w:instrText>
          </w:r>
          <w:r>
            <w:rPr>
              <w:rFonts w:ascii="仿宋" w:hAnsi="仿宋" w:eastAsia="仿宋"/>
              <w:sz w:val="24"/>
              <w:szCs w:val="24"/>
            </w:rPr>
            <w:fldChar w:fldCharType="separate"/>
          </w:r>
          <w:r>
            <w:rPr>
              <w:rFonts w:ascii="仿宋" w:hAnsi="仿宋" w:eastAsia="仿宋"/>
              <w:sz w:val="24"/>
              <w:szCs w:val="24"/>
            </w:rPr>
            <w:t>38</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"_Toc69314825" </w:instrText>
          </w:r>
          <w:r>
            <w:fldChar w:fldCharType="separate"/>
          </w:r>
          <w:r>
            <w:rPr>
              <w:rStyle w:val="21"/>
              <w:rFonts w:ascii="仿宋" w:hAnsi="仿宋" w:eastAsia="仿宋" w:cs="Times New Roman"/>
              <w:sz w:val="24"/>
              <w:szCs w:val="24"/>
            </w:rPr>
            <w:t>1、推动智慧城市建设</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_Toc69314825 \h </w:instrText>
          </w:r>
          <w:r>
            <w:rPr>
              <w:rFonts w:ascii="仿宋" w:hAnsi="仿宋" w:eastAsia="仿宋"/>
              <w:sz w:val="24"/>
              <w:szCs w:val="24"/>
            </w:rPr>
            <w:fldChar w:fldCharType="separate"/>
          </w:r>
          <w:r>
            <w:rPr>
              <w:rFonts w:ascii="仿宋" w:hAnsi="仿宋" w:eastAsia="仿宋"/>
              <w:sz w:val="24"/>
              <w:szCs w:val="24"/>
            </w:rPr>
            <w:t>38</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"_Toc69314826" </w:instrText>
          </w:r>
          <w:r>
            <w:fldChar w:fldCharType="separate"/>
          </w:r>
          <w:r>
            <w:rPr>
              <w:rStyle w:val="21"/>
              <w:rFonts w:ascii="仿宋" w:hAnsi="仿宋" w:eastAsia="仿宋" w:cs="Times New Roman"/>
              <w:sz w:val="24"/>
              <w:szCs w:val="24"/>
            </w:rPr>
            <w:t>2、创新行业监管与服务模式</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_Toc69314826 \h </w:instrText>
          </w:r>
          <w:r>
            <w:rPr>
              <w:rFonts w:ascii="仿宋" w:hAnsi="仿宋" w:eastAsia="仿宋"/>
              <w:sz w:val="24"/>
              <w:szCs w:val="24"/>
            </w:rPr>
            <w:fldChar w:fldCharType="separate"/>
          </w:r>
          <w:r>
            <w:rPr>
              <w:rFonts w:ascii="仿宋" w:hAnsi="仿宋" w:eastAsia="仿宋"/>
              <w:sz w:val="24"/>
              <w:szCs w:val="24"/>
            </w:rPr>
            <w:t>39</w:t>
          </w:r>
          <w:r>
            <w:rPr>
              <w:rFonts w:ascii="仿宋" w:hAnsi="仿宋" w:eastAsia="仿宋"/>
              <w:sz w:val="24"/>
              <w:szCs w:val="24"/>
            </w:rPr>
            <w:fldChar w:fldCharType="end"/>
          </w:r>
          <w:r>
            <w:rPr>
              <w:rFonts w:ascii="仿宋" w:hAnsi="仿宋" w:eastAsia="仿宋"/>
              <w:sz w:val="24"/>
              <w:szCs w:val="24"/>
            </w:rPr>
            <w:fldChar w:fldCharType="end"/>
          </w:r>
        </w:p>
        <w:p>
          <w:pPr>
            <w:pStyle w:val="7"/>
            <w:tabs>
              <w:tab w:val="right" w:leader="dot" w:pos="8296"/>
            </w:tabs>
            <w:spacing w:line="440" w:lineRule="exact"/>
            <w:rPr>
              <w:rFonts w:ascii="仿宋" w:hAnsi="仿宋" w:eastAsia="仿宋"/>
              <w:sz w:val="24"/>
              <w:szCs w:val="24"/>
            </w:rPr>
          </w:pPr>
          <w:r>
            <w:fldChar w:fldCharType="begin"/>
          </w:r>
          <w:r>
            <w:instrText xml:space="preserve"> HYPERLINK \l "_Toc69314827" </w:instrText>
          </w:r>
          <w:r>
            <w:fldChar w:fldCharType="separate"/>
          </w:r>
          <w:r>
            <w:rPr>
              <w:rStyle w:val="21"/>
              <w:rFonts w:ascii="仿宋" w:hAnsi="仿宋" w:eastAsia="仿宋" w:cs="Times New Roman"/>
              <w:sz w:val="24"/>
              <w:szCs w:val="24"/>
            </w:rPr>
            <w:t>3、加强工程质量安全管理</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_Toc69314827 \h </w:instrText>
          </w:r>
          <w:r>
            <w:rPr>
              <w:rFonts w:ascii="仿宋" w:hAnsi="仿宋" w:eastAsia="仿宋"/>
              <w:sz w:val="24"/>
              <w:szCs w:val="24"/>
            </w:rPr>
            <w:fldChar w:fldCharType="separate"/>
          </w:r>
          <w:r>
            <w:rPr>
              <w:rFonts w:ascii="仿宋" w:hAnsi="仿宋" w:eastAsia="仿宋"/>
              <w:sz w:val="24"/>
              <w:szCs w:val="24"/>
            </w:rPr>
            <w:t>40</w:t>
          </w:r>
          <w:r>
            <w:rPr>
              <w:rFonts w:ascii="仿宋" w:hAnsi="仿宋" w:eastAsia="仿宋"/>
              <w:sz w:val="24"/>
              <w:szCs w:val="24"/>
            </w:rPr>
            <w:fldChar w:fldCharType="end"/>
          </w:r>
          <w:r>
            <w:rPr>
              <w:rFonts w:ascii="仿宋" w:hAnsi="仿宋" w:eastAsia="仿宋"/>
              <w:sz w:val="24"/>
              <w:szCs w:val="24"/>
            </w:rPr>
            <w:fldChar w:fldCharType="end"/>
          </w:r>
        </w:p>
        <w:p>
          <w:pPr>
            <w:pStyle w:val="12"/>
            <w:tabs>
              <w:tab w:val="right" w:leader="dot" w:pos="8296"/>
            </w:tabs>
            <w:spacing w:line="440" w:lineRule="exact"/>
            <w:rPr>
              <w:rFonts w:ascii="仿宋" w:hAnsi="仿宋" w:eastAsia="仿宋"/>
              <w:sz w:val="24"/>
              <w:szCs w:val="24"/>
            </w:rPr>
          </w:pPr>
          <w:r>
            <w:fldChar w:fldCharType="begin"/>
          </w:r>
          <w:r>
            <w:instrText xml:space="preserve"> HYPERLINK \l "_Toc69314828" </w:instrText>
          </w:r>
          <w:r>
            <w:fldChar w:fldCharType="separate"/>
          </w:r>
          <w:r>
            <w:rPr>
              <w:rStyle w:val="21"/>
              <w:rFonts w:ascii="仿宋" w:hAnsi="仿宋" w:eastAsia="仿宋"/>
              <w:sz w:val="24"/>
              <w:szCs w:val="24"/>
            </w:rPr>
            <w:t>五、保障措施</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_Toc69314828 \h </w:instrText>
          </w:r>
          <w:r>
            <w:rPr>
              <w:rFonts w:ascii="仿宋" w:hAnsi="仿宋" w:eastAsia="仿宋"/>
              <w:sz w:val="24"/>
              <w:szCs w:val="24"/>
            </w:rPr>
            <w:fldChar w:fldCharType="separate"/>
          </w:r>
          <w:r>
            <w:rPr>
              <w:rFonts w:ascii="仿宋" w:hAnsi="仿宋" w:eastAsia="仿宋"/>
              <w:sz w:val="24"/>
              <w:szCs w:val="24"/>
            </w:rPr>
            <w:t>40</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"_Toc69314829" </w:instrText>
          </w:r>
          <w:r>
            <w:fldChar w:fldCharType="separate"/>
          </w:r>
          <w:r>
            <w:rPr>
              <w:rStyle w:val="21"/>
              <w:rFonts w:ascii="仿宋" w:hAnsi="仿宋" w:eastAsia="仿宋"/>
              <w:sz w:val="24"/>
              <w:szCs w:val="24"/>
            </w:rPr>
            <w:t>（一）强化规划协调管理</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_Toc69314829 \h </w:instrText>
          </w:r>
          <w:r>
            <w:rPr>
              <w:rFonts w:ascii="仿宋" w:hAnsi="仿宋" w:eastAsia="仿宋"/>
              <w:sz w:val="24"/>
              <w:szCs w:val="24"/>
            </w:rPr>
            <w:fldChar w:fldCharType="separate"/>
          </w:r>
          <w:r>
            <w:rPr>
              <w:rFonts w:ascii="仿宋" w:hAnsi="仿宋" w:eastAsia="仿宋"/>
              <w:sz w:val="24"/>
              <w:szCs w:val="24"/>
            </w:rPr>
            <w:t>40</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"_Toc69314830" </w:instrText>
          </w:r>
          <w:r>
            <w:fldChar w:fldCharType="separate"/>
          </w:r>
          <w:r>
            <w:rPr>
              <w:rStyle w:val="21"/>
              <w:rFonts w:ascii="仿宋" w:hAnsi="仿宋" w:eastAsia="仿宋"/>
              <w:sz w:val="24"/>
              <w:szCs w:val="24"/>
            </w:rPr>
            <w:t>（二）加强人才队伍建设</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_Toc69314830 \h </w:instrText>
          </w:r>
          <w:r>
            <w:rPr>
              <w:rFonts w:ascii="仿宋" w:hAnsi="仿宋" w:eastAsia="仿宋"/>
              <w:sz w:val="24"/>
              <w:szCs w:val="24"/>
            </w:rPr>
            <w:fldChar w:fldCharType="separate"/>
          </w:r>
          <w:r>
            <w:rPr>
              <w:rFonts w:ascii="仿宋" w:hAnsi="仿宋" w:eastAsia="仿宋"/>
              <w:sz w:val="24"/>
              <w:szCs w:val="24"/>
            </w:rPr>
            <w:t>41</w:t>
          </w:r>
          <w:r>
            <w:rPr>
              <w:rFonts w:ascii="仿宋" w:hAnsi="仿宋" w:eastAsia="仿宋"/>
              <w:sz w:val="24"/>
              <w:szCs w:val="24"/>
            </w:rPr>
            <w:fldChar w:fldCharType="end"/>
          </w:r>
          <w:r>
            <w:rPr>
              <w:rFonts w:ascii="仿宋" w:hAnsi="仿宋" w:eastAsia="仿宋"/>
              <w:sz w:val="24"/>
              <w:szCs w:val="24"/>
            </w:rPr>
            <w:fldChar w:fldCharType="end"/>
          </w:r>
        </w:p>
        <w:p>
          <w:pPr>
            <w:pStyle w:val="13"/>
            <w:tabs>
              <w:tab w:val="right" w:leader="dot" w:pos="8296"/>
            </w:tabs>
            <w:spacing w:line="440" w:lineRule="exact"/>
            <w:rPr>
              <w:rFonts w:ascii="仿宋" w:hAnsi="仿宋" w:eastAsia="仿宋"/>
              <w:sz w:val="24"/>
              <w:szCs w:val="24"/>
            </w:rPr>
          </w:pPr>
          <w:r>
            <w:fldChar w:fldCharType="begin"/>
          </w:r>
          <w:r>
            <w:instrText xml:space="preserve"> HYPERLINK \l "_Toc69314831" </w:instrText>
          </w:r>
          <w:r>
            <w:fldChar w:fldCharType="separate"/>
          </w:r>
          <w:r>
            <w:rPr>
              <w:rStyle w:val="21"/>
              <w:rFonts w:ascii="仿宋" w:hAnsi="仿宋" w:eastAsia="仿宋"/>
              <w:sz w:val="24"/>
              <w:szCs w:val="24"/>
            </w:rPr>
            <w:t>（三）提高党的建设质量</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_Toc69314831 \h </w:instrText>
          </w:r>
          <w:r>
            <w:rPr>
              <w:rFonts w:ascii="仿宋" w:hAnsi="仿宋" w:eastAsia="仿宋"/>
              <w:sz w:val="24"/>
              <w:szCs w:val="24"/>
            </w:rPr>
            <w:fldChar w:fldCharType="separate"/>
          </w:r>
          <w:r>
            <w:rPr>
              <w:rFonts w:ascii="仿宋" w:hAnsi="仿宋" w:eastAsia="仿宋"/>
              <w:sz w:val="24"/>
              <w:szCs w:val="24"/>
            </w:rPr>
            <w:t>41</w:t>
          </w:r>
          <w:r>
            <w:rPr>
              <w:rFonts w:ascii="仿宋" w:hAnsi="仿宋" w:eastAsia="仿宋"/>
              <w:sz w:val="24"/>
              <w:szCs w:val="24"/>
            </w:rPr>
            <w:fldChar w:fldCharType="end"/>
          </w:r>
          <w:r>
            <w:rPr>
              <w:rFonts w:ascii="仿宋" w:hAnsi="仿宋" w:eastAsia="仿宋"/>
              <w:sz w:val="24"/>
              <w:szCs w:val="24"/>
            </w:rPr>
            <w:fldChar w:fldCharType="end"/>
          </w:r>
        </w:p>
        <w:p>
          <w:pPr>
            <w:spacing w:line="440" w:lineRule="exact"/>
            <w:rPr>
              <w:rFonts w:ascii="宋体" w:hAnsi="宋体" w:eastAsia="宋体"/>
              <w:b/>
              <w:bCs/>
              <w:szCs w:val="21"/>
              <w:lang w:val="zh-CN"/>
            </w:rPr>
            <w:sectPr>
              <w:footerReference r:id="rId3" w:type="default"/>
              <w:pgSz w:w="11906" w:h="16838"/>
              <w:pgMar w:top="1440" w:right="1800" w:bottom="1440" w:left="1800" w:header="851" w:footer="992" w:gutter="0"/>
              <w:cols w:space="425" w:num="1"/>
              <w:docGrid w:type="lines" w:linePitch="312" w:charSpace="0"/>
            </w:sectPr>
          </w:pPr>
          <w:r>
            <w:rPr>
              <w:rFonts w:ascii="仿宋" w:hAnsi="仿宋" w:eastAsia="仿宋"/>
              <w:b/>
              <w:bCs/>
              <w:sz w:val="24"/>
              <w:szCs w:val="24"/>
              <w:lang w:val="zh-CN"/>
            </w:rPr>
            <w:fldChar w:fldCharType="end"/>
          </w:r>
        </w:p>
      </w:sdtContent>
    </w:sdt>
    <w:p>
      <w:pPr>
        <w:spacing w:line="576"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十四五”时期是我国全面建成小康社会、实现第一个百年奋斗目标之后，乘势而上开启全面建设社会主义现代化国家新征程、向第二个百年奋斗目标进军的第一个五年。《东至县住房和城乡建设事业“十四五”规划》</w:t>
      </w:r>
      <w:r>
        <w:rPr>
          <w:rFonts w:ascii="仿宋_GB2312" w:hAnsi="Times New Roman" w:eastAsia="仿宋_GB2312" w:cs="Times New Roman"/>
          <w:sz w:val="28"/>
          <w:szCs w:val="28"/>
        </w:rPr>
        <w:t>根据《</w:t>
      </w:r>
      <w:r>
        <w:rPr>
          <w:rFonts w:hint="eastAsia" w:ascii="仿宋_GB2312" w:hAnsi="Times New Roman" w:eastAsia="仿宋_GB2312" w:cs="Times New Roman"/>
          <w:sz w:val="28"/>
          <w:szCs w:val="28"/>
        </w:rPr>
        <w:t>东至县</w:t>
      </w:r>
      <w:r>
        <w:rPr>
          <w:rFonts w:ascii="仿宋_GB2312" w:hAnsi="Times New Roman" w:eastAsia="仿宋_GB2312" w:cs="Times New Roman"/>
          <w:sz w:val="28"/>
          <w:szCs w:val="28"/>
        </w:rPr>
        <w:t>国民经济和社会发展第十</w:t>
      </w:r>
      <w:r>
        <w:rPr>
          <w:rFonts w:hint="eastAsia" w:ascii="仿宋_GB2312" w:hAnsi="Times New Roman" w:eastAsia="仿宋_GB2312" w:cs="Times New Roman"/>
          <w:sz w:val="28"/>
          <w:szCs w:val="28"/>
        </w:rPr>
        <w:t>四</w:t>
      </w:r>
      <w:r>
        <w:rPr>
          <w:rFonts w:ascii="仿宋_GB2312" w:hAnsi="Times New Roman" w:eastAsia="仿宋_GB2312" w:cs="Times New Roman"/>
          <w:sz w:val="28"/>
          <w:szCs w:val="28"/>
        </w:rPr>
        <w:t>个五年规划纲要》制定，主要总结“十</w:t>
      </w:r>
      <w:r>
        <w:rPr>
          <w:rFonts w:hint="eastAsia" w:ascii="仿宋_GB2312" w:hAnsi="Times New Roman" w:eastAsia="仿宋_GB2312" w:cs="Times New Roman"/>
          <w:sz w:val="28"/>
          <w:szCs w:val="28"/>
        </w:rPr>
        <w:t>三</w:t>
      </w:r>
      <w:r>
        <w:rPr>
          <w:rFonts w:ascii="仿宋_GB2312" w:hAnsi="Times New Roman" w:eastAsia="仿宋_GB2312" w:cs="Times New Roman"/>
          <w:sz w:val="28"/>
          <w:szCs w:val="28"/>
        </w:rPr>
        <w:t>五”期间</w:t>
      </w:r>
      <w:r>
        <w:rPr>
          <w:rFonts w:hint="eastAsia" w:ascii="仿宋_GB2312" w:hAnsi="Times New Roman" w:eastAsia="仿宋_GB2312" w:cs="Times New Roman"/>
          <w:sz w:val="28"/>
          <w:szCs w:val="28"/>
        </w:rPr>
        <w:t>东至县</w:t>
      </w:r>
      <w:r>
        <w:rPr>
          <w:rFonts w:ascii="仿宋_GB2312" w:hAnsi="Times New Roman" w:eastAsia="仿宋_GB2312" w:cs="Times New Roman"/>
          <w:sz w:val="28"/>
          <w:szCs w:val="28"/>
        </w:rPr>
        <w:t>住房和城乡建设事业</w:t>
      </w:r>
      <w:r>
        <w:rPr>
          <w:rFonts w:hint="eastAsia" w:ascii="仿宋_GB2312" w:hAnsi="Times New Roman" w:eastAsia="仿宋_GB2312" w:cs="Times New Roman"/>
          <w:sz w:val="28"/>
          <w:szCs w:val="28"/>
        </w:rPr>
        <w:t>领域</w:t>
      </w:r>
      <w:r>
        <w:rPr>
          <w:rFonts w:ascii="仿宋_GB2312" w:hAnsi="Times New Roman" w:eastAsia="仿宋_GB2312" w:cs="Times New Roman"/>
          <w:sz w:val="28"/>
          <w:szCs w:val="28"/>
        </w:rPr>
        <w:t>发展成就，分析“十</w:t>
      </w:r>
      <w:r>
        <w:rPr>
          <w:rFonts w:hint="eastAsia" w:ascii="仿宋_GB2312" w:hAnsi="Times New Roman" w:eastAsia="仿宋_GB2312" w:cs="Times New Roman"/>
          <w:sz w:val="28"/>
          <w:szCs w:val="28"/>
        </w:rPr>
        <w:t>四</w:t>
      </w:r>
      <w:r>
        <w:rPr>
          <w:rFonts w:ascii="仿宋_GB2312" w:hAnsi="Times New Roman" w:eastAsia="仿宋_GB2312" w:cs="Times New Roman"/>
          <w:sz w:val="28"/>
          <w:szCs w:val="28"/>
        </w:rPr>
        <w:t>五”期间发展形势，阐明“十</w:t>
      </w:r>
      <w:r>
        <w:rPr>
          <w:rFonts w:hint="eastAsia" w:ascii="仿宋_GB2312" w:hAnsi="Times New Roman" w:eastAsia="仿宋_GB2312" w:cs="Times New Roman"/>
          <w:sz w:val="28"/>
          <w:szCs w:val="28"/>
        </w:rPr>
        <w:t>四</w:t>
      </w:r>
      <w:r>
        <w:rPr>
          <w:rFonts w:ascii="仿宋_GB2312" w:hAnsi="Times New Roman" w:eastAsia="仿宋_GB2312" w:cs="Times New Roman"/>
          <w:sz w:val="28"/>
          <w:szCs w:val="28"/>
        </w:rPr>
        <w:t>五”时期</w:t>
      </w:r>
      <w:r>
        <w:rPr>
          <w:rFonts w:hint="eastAsia" w:ascii="仿宋_GB2312" w:hAnsi="Times New Roman" w:eastAsia="仿宋_GB2312" w:cs="Times New Roman"/>
          <w:sz w:val="28"/>
          <w:szCs w:val="28"/>
        </w:rPr>
        <w:t>东至县</w:t>
      </w:r>
      <w:r>
        <w:rPr>
          <w:rFonts w:ascii="仿宋_GB2312" w:hAnsi="Times New Roman" w:eastAsia="仿宋_GB2312" w:cs="Times New Roman"/>
          <w:sz w:val="28"/>
          <w:szCs w:val="28"/>
        </w:rPr>
        <w:t>住房和城乡建设事业持续健康发展的指导思想、主要目标、重点行动及保障措施，是</w:t>
      </w:r>
      <w:r>
        <w:rPr>
          <w:rFonts w:hint="eastAsia" w:ascii="仿宋_GB2312" w:hAnsi="Times New Roman" w:eastAsia="仿宋_GB2312" w:cs="Times New Roman"/>
          <w:sz w:val="28"/>
          <w:szCs w:val="28"/>
        </w:rPr>
        <w:t>指导</w:t>
      </w:r>
      <w:r>
        <w:rPr>
          <w:rFonts w:ascii="仿宋_GB2312" w:hAnsi="Times New Roman" w:eastAsia="仿宋_GB2312" w:cs="Times New Roman"/>
          <w:sz w:val="28"/>
          <w:szCs w:val="28"/>
        </w:rPr>
        <w:t>未来五年</w:t>
      </w:r>
      <w:r>
        <w:rPr>
          <w:rFonts w:hint="eastAsia" w:ascii="仿宋_GB2312" w:hAnsi="Times New Roman" w:eastAsia="仿宋_GB2312" w:cs="Times New Roman"/>
          <w:sz w:val="28"/>
          <w:szCs w:val="28"/>
        </w:rPr>
        <w:t>东至县</w:t>
      </w:r>
      <w:r>
        <w:rPr>
          <w:rFonts w:ascii="仿宋_GB2312" w:hAnsi="Times New Roman" w:eastAsia="仿宋_GB2312" w:cs="Times New Roman"/>
          <w:sz w:val="28"/>
          <w:szCs w:val="28"/>
        </w:rPr>
        <w:t>住房</w:t>
      </w:r>
      <w:r>
        <w:rPr>
          <w:rFonts w:hint="eastAsia" w:ascii="仿宋_GB2312" w:hAnsi="Times New Roman" w:eastAsia="仿宋_GB2312" w:cs="Times New Roman"/>
          <w:sz w:val="28"/>
          <w:szCs w:val="28"/>
        </w:rPr>
        <w:t>和</w:t>
      </w:r>
      <w:r>
        <w:rPr>
          <w:rFonts w:ascii="仿宋_GB2312" w:hAnsi="Times New Roman" w:eastAsia="仿宋_GB2312" w:cs="Times New Roman"/>
          <w:sz w:val="28"/>
          <w:szCs w:val="28"/>
        </w:rPr>
        <w:t>城乡建设事业改革与发展的全局性规划</w:t>
      </w:r>
      <w:r>
        <w:rPr>
          <w:rFonts w:hint="eastAsia" w:ascii="仿宋_GB2312" w:hAnsi="Times New Roman" w:eastAsia="仿宋_GB2312" w:cs="Times New Roman"/>
          <w:sz w:val="28"/>
          <w:szCs w:val="28"/>
        </w:rPr>
        <w:t>。</w:t>
      </w:r>
    </w:p>
    <w:p>
      <w:pPr>
        <w:pStyle w:val="2"/>
        <w:spacing w:before="156" w:beforeLines="50" w:after="156" w:afterLines="50"/>
        <w:rPr>
          <w:rFonts w:ascii="黑体" w:hAnsi="黑体" w:eastAsia="黑体"/>
          <w:sz w:val="32"/>
          <w:szCs w:val="32"/>
        </w:rPr>
      </w:pPr>
      <w:bookmarkStart w:id="0" w:name="_Toc69314772"/>
      <w:r>
        <w:rPr>
          <w:rFonts w:hint="eastAsia" w:ascii="黑体" w:hAnsi="黑体" w:eastAsia="黑体"/>
          <w:sz w:val="32"/>
          <w:szCs w:val="32"/>
        </w:rPr>
        <w:t>一、“十三五”发展成就回顾</w:t>
      </w:r>
      <w:bookmarkEnd w:id="0"/>
    </w:p>
    <w:p>
      <w:pPr>
        <w:pStyle w:val="3"/>
        <w:spacing w:before="120" w:after="120" w:line="240" w:lineRule="auto"/>
        <w:rPr>
          <w:rFonts w:ascii="宋体" w:hAnsi="宋体" w:eastAsia="宋体"/>
          <w:sz w:val="30"/>
          <w:szCs w:val="30"/>
        </w:rPr>
      </w:pPr>
      <w:bookmarkStart w:id="1" w:name="_Toc69314773"/>
      <w:r>
        <w:rPr>
          <w:rFonts w:hint="eastAsia" w:ascii="宋体" w:hAnsi="宋体" w:eastAsia="宋体"/>
          <w:sz w:val="30"/>
          <w:szCs w:val="30"/>
        </w:rPr>
        <w:t>（一）城乡建设规划引领城镇化有效推进</w:t>
      </w:r>
      <w:bookmarkEnd w:id="1"/>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城镇化格局持续优化。</w:t>
      </w:r>
      <w:r>
        <w:rPr>
          <w:rFonts w:hint="eastAsia" w:ascii="仿宋_GB2312" w:hAnsi="Times New Roman" w:eastAsia="仿宋_GB2312" w:cs="Times New Roman"/>
          <w:sz w:val="28"/>
          <w:szCs w:val="28"/>
        </w:rPr>
        <w:t>东至县常住人口城镇化率持续增长，至“十三五”末</w:t>
      </w:r>
      <w:r>
        <w:rPr>
          <w:rFonts w:ascii="仿宋_GB2312" w:hAnsi="Times New Roman" w:eastAsia="仿宋_GB2312" w:cs="Times New Roman"/>
          <w:sz w:val="28"/>
          <w:szCs w:val="28"/>
        </w:rPr>
        <w:t>约50%，低于全省平均水平。户籍人口城镇化率和常住人口城镇化率差值常年保持在15%-20%左右，</w:t>
      </w:r>
      <w:r>
        <w:rPr>
          <w:rFonts w:hint="eastAsia" w:ascii="仿宋_GB2312" w:hAnsi="Times New Roman" w:eastAsia="仿宋_GB2312" w:cs="Times New Roman"/>
          <w:sz w:val="28"/>
          <w:szCs w:val="28"/>
        </w:rPr>
        <w:t>至“十三五”末</w:t>
      </w:r>
      <w:r>
        <w:rPr>
          <w:rFonts w:ascii="仿宋_GB2312" w:hAnsi="Times New Roman" w:eastAsia="仿宋_GB2312" w:cs="Times New Roman"/>
          <w:sz w:val="28"/>
          <w:szCs w:val="28"/>
        </w:rPr>
        <w:t>约35%，</w:t>
      </w:r>
      <w:r>
        <w:rPr>
          <w:rFonts w:hint="eastAsia" w:ascii="仿宋_GB2312" w:hAnsi="Times New Roman" w:eastAsia="仿宋_GB2312" w:cs="Times New Roman"/>
          <w:sz w:val="28"/>
          <w:szCs w:val="28"/>
        </w:rPr>
        <w:t>已实现《东至县国民经济和社会发展第十三个五年规划纲要》提出</w:t>
      </w:r>
      <w:r>
        <w:rPr>
          <w:rFonts w:ascii="仿宋_GB2312" w:hAnsi="Times New Roman" w:eastAsia="仿宋_GB2312" w:cs="Times New Roman"/>
          <w:sz w:val="28"/>
          <w:szCs w:val="28"/>
        </w:rPr>
        <w:t>2020年户籍人口城镇化率</w:t>
      </w:r>
      <w:r>
        <w:rPr>
          <w:rFonts w:hint="eastAsia" w:ascii="仿宋_GB2312" w:hAnsi="Times New Roman" w:eastAsia="仿宋_GB2312" w:cs="Times New Roman"/>
          <w:sz w:val="28"/>
          <w:szCs w:val="28"/>
        </w:rPr>
        <w:t>大于</w:t>
      </w:r>
      <w:r>
        <w:rPr>
          <w:rFonts w:ascii="仿宋_GB2312" w:hAnsi="Times New Roman" w:eastAsia="仿宋_GB2312" w:cs="Times New Roman"/>
          <w:sz w:val="28"/>
          <w:szCs w:val="28"/>
        </w:rPr>
        <w:t>25%</w:t>
      </w:r>
      <w:r>
        <w:rPr>
          <w:rFonts w:hint="eastAsia" w:ascii="仿宋_GB2312" w:hAnsi="Times New Roman" w:eastAsia="仿宋_GB2312" w:cs="Times New Roman"/>
          <w:sz w:val="28"/>
          <w:szCs w:val="28"/>
        </w:rPr>
        <w:t>的目标。以“三治三增三提升”和六个专项行动为抓手，统筹推进县城规划、建设和管理。中心城区面积扩大至</w:t>
      </w:r>
      <w:r>
        <w:rPr>
          <w:rFonts w:ascii="仿宋_GB2312" w:hAnsi="Times New Roman" w:eastAsia="仿宋_GB2312" w:cs="Times New Roman"/>
          <w:sz w:val="28"/>
          <w:szCs w:val="28"/>
        </w:rPr>
        <w:t>9.5平方公里、人口达到10万人。</w:t>
      </w:r>
      <w:r>
        <w:rPr>
          <w:rFonts w:hint="eastAsia" w:ascii="仿宋_GB2312" w:hAnsi="Times New Roman" w:eastAsia="仿宋_GB2312" w:cs="Times New Roman"/>
          <w:sz w:val="28"/>
          <w:szCs w:val="28"/>
        </w:rPr>
        <w:t>县域人口空间分布呈现北多南少，沿江多山地少的态势。人口逐步向城区和重点乡镇集聚，未来持续城镇化的趋势较为明显。</w:t>
      </w:r>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城乡建设规划引领作用逐渐凸显。</w:t>
      </w:r>
      <w:r>
        <w:rPr>
          <w:rFonts w:hint="eastAsia" w:ascii="仿宋_GB2312" w:hAnsi="Times New Roman" w:eastAsia="仿宋_GB2312" w:cs="Times New Roman"/>
          <w:sz w:val="28"/>
          <w:szCs w:val="28"/>
        </w:rPr>
        <w:t>法定规划体系不断完善，《东至县城总体规划（</w:t>
      </w:r>
      <w:r>
        <w:rPr>
          <w:rFonts w:ascii="仿宋_GB2312" w:hAnsi="Times New Roman" w:eastAsia="仿宋_GB2312" w:cs="Times New Roman"/>
          <w:sz w:val="28"/>
          <w:szCs w:val="28"/>
        </w:rPr>
        <w:t>2016-2035</w:t>
      </w:r>
      <w:r>
        <w:rPr>
          <w:rFonts w:hint="eastAsia" w:ascii="仿宋_GB2312" w:hAnsi="Times New Roman" w:eastAsia="仿宋_GB2312" w:cs="Times New Roman"/>
          <w:sz w:val="28"/>
          <w:szCs w:val="28"/>
        </w:rPr>
        <w:t>）》已经过市政府审批，为规划体系变革时期的东至县城乡建设提供良好的法律保障。香隅镇等各乡镇总体规划已完成修编审批，为各乡镇的发展指明方向。先后启动完成了《东至县城市双修专项规划》、</w:t>
      </w:r>
      <w:r>
        <w:rPr>
          <w:rFonts w:hint="eastAsia" w:ascii="仿宋_GB2312" w:hAnsi="宋体" w:eastAsia="仿宋_GB2312"/>
          <w:sz w:val="28"/>
          <w:szCs w:val="28"/>
        </w:rPr>
        <w:t>《东至县城消防专项规划》、《东至县城区公用移动基站布点规划》、《东至县城电力专项规划》、《东至县城区景观特色风貌专项规划》等各类专项规划的编制审批工作，为东至县城建设提供有力的技术保障。</w:t>
      </w:r>
    </w:p>
    <w:p>
      <w:pPr>
        <w:spacing w:line="576" w:lineRule="exact"/>
        <w:ind w:firstLine="562" w:firstLineChars="200"/>
      </w:pPr>
      <w:r>
        <w:rPr>
          <w:rFonts w:hint="eastAsia" w:ascii="仿宋_GB2312" w:hAnsi="Times New Roman" w:eastAsia="仿宋_GB2312" w:cs="Times New Roman"/>
          <w:b/>
          <w:sz w:val="28"/>
          <w:szCs w:val="28"/>
        </w:rPr>
        <w:t>历史文化资源保护不断增强。</w:t>
      </w:r>
      <w:r>
        <w:rPr>
          <w:rFonts w:hint="eastAsia" w:ascii="仿宋_GB2312" w:hAnsi="Times New Roman" w:eastAsia="仿宋_GB2312" w:cs="Times New Roman"/>
          <w:sz w:val="28"/>
          <w:szCs w:val="28"/>
        </w:rPr>
        <w:t>东流镇列入第七批“中国历史文化名镇”。南溪古寨被省政府列为“安徽省第四批历史文化名村”，列入第一批中国传统村落名录。尧渡镇尚合村阳山村、高岭村胡村，木塔乡木塔村木塔口村列入第五批中国传统村落名录。历史建筑普查、保护和利用工作正有序开展，认定、公布并挂牌历史建筑10栋。新增国家、省级文保单位各</w:t>
      </w:r>
      <w:r>
        <w:rPr>
          <w:rFonts w:ascii="仿宋_GB2312" w:hAnsi="Times New Roman" w:eastAsia="仿宋_GB2312" w:cs="Times New Roman"/>
          <w:sz w:val="28"/>
          <w:szCs w:val="28"/>
        </w:rPr>
        <w:t>1个。周氏家族新建材（洋灰）建筑遗存列入国家建筑遗产名录。周氏家风文化在全省巡展引起强烈反响。</w:t>
      </w:r>
    </w:p>
    <w:p>
      <w:pPr>
        <w:pStyle w:val="3"/>
        <w:spacing w:before="120" w:after="120" w:line="240" w:lineRule="auto"/>
        <w:rPr>
          <w:rFonts w:ascii="宋体" w:hAnsi="宋体" w:eastAsia="宋体"/>
          <w:sz w:val="30"/>
          <w:szCs w:val="30"/>
        </w:rPr>
      </w:pPr>
      <w:bookmarkStart w:id="2" w:name="_Toc69314774"/>
      <w:r>
        <w:rPr>
          <w:rFonts w:ascii="宋体" w:hAnsi="宋体" w:eastAsia="宋体"/>
          <w:sz w:val="30"/>
          <w:szCs w:val="30"/>
        </w:rPr>
        <w:t>（</w:t>
      </w:r>
      <w:r>
        <w:rPr>
          <w:rFonts w:hint="eastAsia" w:ascii="宋体" w:hAnsi="宋体" w:eastAsia="宋体"/>
          <w:sz w:val="30"/>
          <w:szCs w:val="30"/>
        </w:rPr>
        <w:t>二</w:t>
      </w:r>
      <w:r>
        <w:rPr>
          <w:rFonts w:ascii="宋体" w:hAnsi="宋体" w:eastAsia="宋体"/>
          <w:sz w:val="30"/>
          <w:szCs w:val="30"/>
        </w:rPr>
        <w:t>）</w:t>
      </w:r>
      <w:r>
        <w:rPr>
          <w:rFonts w:hint="eastAsia" w:ascii="宋体" w:hAnsi="宋体" w:eastAsia="宋体"/>
          <w:sz w:val="30"/>
          <w:szCs w:val="30"/>
        </w:rPr>
        <w:t>城乡建设发展迈出新步伐</w:t>
      </w:r>
      <w:bookmarkEnd w:id="2"/>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城乡基础设施建设稳步推进。</w:t>
      </w:r>
      <w:r>
        <w:rPr>
          <w:rFonts w:hint="eastAsia" w:ascii="仿宋_GB2312" w:hAnsi="Times New Roman" w:eastAsia="仿宋_GB2312" w:cs="Times New Roman"/>
          <w:sz w:val="28"/>
          <w:szCs w:val="28"/>
        </w:rPr>
        <w:t>东至县主城区“十三五”期间，累计进行市政重点基础设施建设总投资1</w:t>
      </w:r>
      <w:r>
        <w:rPr>
          <w:rFonts w:ascii="仿宋_GB2312" w:hAnsi="Times New Roman" w:eastAsia="仿宋_GB2312" w:cs="Times New Roman"/>
          <w:sz w:val="28"/>
          <w:szCs w:val="28"/>
        </w:rPr>
        <w:t>5.87</w:t>
      </w:r>
      <w:r>
        <w:rPr>
          <w:rFonts w:hint="eastAsia" w:ascii="仿宋_GB2312" w:hAnsi="Times New Roman" w:eastAsia="仿宋_GB2312" w:cs="Times New Roman"/>
          <w:sz w:val="28"/>
          <w:szCs w:val="28"/>
        </w:rPr>
        <w:t>亿元，政务中心北广场、河西大道、高速下线连接线等50余项城乡重点工程竣工投入使用。新建和改造</w:t>
      </w:r>
      <w:r>
        <w:rPr>
          <w:rFonts w:hint="eastAsia" w:ascii="仿宋_GB2312" w:hAnsi="宋体" w:eastAsia="仿宋_GB2312"/>
          <w:sz w:val="28"/>
          <w:szCs w:val="28"/>
        </w:rPr>
        <w:t>城市</w:t>
      </w:r>
      <w:r>
        <w:rPr>
          <w:rFonts w:hint="eastAsia" w:ascii="仿宋_GB2312" w:hAnsi="Times New Roman" w:eastAsia="仿宋_GB2312" w:cs="Times New Roman"/>
          <w:sz w:val="28"/>
          <w:szCs w:val="28"/>
        </w:rPr>
        <w:t>道路</w:t>
      </w:r>
      <w:r>
        <w:rPr>
          <w:rFonts w:ascii="仿宋_GB2312" w:hAnsi="Times New Roman" w:eastAsia="仿宋_GB2312" w:cs="Times New Roman"/>
          <w:sz w:val="28"/>
          <w:szCs w:val="28"/>
        </w:rPr>
        <w:t>25</w:t>
      </w:r>
      <w:r>
        <w:rPr>
          <w:rFonts w:hint="eastAsia" w:ascii="仿宋_GB2312" w:hAnsi="Times New Roman" w:eastAsia="仿宋_GB2312" w:cs="Times New Roman"/>
          <w:sz w:val="28"/>
          <w:szCs w:val="28"/>
        </w:rPr>
        <w:t>条计</w:t>
      </w:r>
      <w:r>
        <w:rPr>
          <w:rFonts w:ascii="仿宋_GB2312" w:hAnsi="Times New Roman" w:eastAsia="仿宋_GB2312" w:cs="Times New Roman"/>
          <w:sz w:val="28"/>
          <w:szCs w:val="28"/>
        </w:rPr>
        <w:t>45</w:t>
      </w:r>
      <w:r>
        <w:rPr>
          <w:rFonts w:hint="eastAsia" w:ascii="仿宋_GB2312" w:hAnsi="Times New Roman" w:eastAsia="仿宋_GB2312" w:cs="Times New Roman"/>
          <w:sz w:val="28"/>
          <w:szCs w:val="28"/>
        </w:rPr>
        <w:t>千米，建成区城市道路网密度由</w:t>
      </w:r>
      <w:r>
        <w:rPr>
          <w:rFonts w:ascii="仿宋_GB2312" w:hAnsi="Times New Roman" w:eastAsia="仿宋_GB2312" w:cs="Times New Roman"/>
          <w:sz w:val="28"/>
          <w:szCs w:val="28"/>
        </w:rPr>
        <w:t>9.63</w:t>
      </w:r>
      <w:r>
        <w:rPr>
          <w:rFonts w:hint="eastAsia" w:ascii="仿宋_GB2312" w:hAnsi="Times New Roman" w:eastAsia="仿宋_GB2312" w:cs="Times New Roman"/>
          <w:sz w:val="28"/>
          <w:szCs w:val="28"/>
        </w:rPr>
        <w:t>千米</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平方公里增长至</w:t>
      </w:r>
      <w:r>
        <w:rPr>
          <w:rFonts w:ascii="仿宋_GB2312" w:hAnsi="Times New Roman" w:eastAsia="仿宋_GB2312" w:cs="Times New Roman"/>
          <w:sz w:val="28"/>
          <w:szCs w:val="28"/>
        </w:rPr>
        <w:t>10.48</w:t>
      </w:r>
      <w:r>
        <w:rPr>
          <w:rFonts w:hint="eastAsia" w:ascii="仿宋_GB2312" w:hAnsi="Times New Roman" w:eastAsia="仿宋_GB2312" w:cs="Times New Roman"/>
          <w:sz w:val="28"/>
          <w:szCs w:val="28"/>
        </w:rPr>
        <w:t>千米</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平方公里，人均道路面积19.</w:t>
      </w:r>
      <w:r>
        <w:rPr>
          <w:rFonts w:ascii="仿宋_GB2312" w:hAnsi="Times New Roman" w:eastAsia="仿宋_GB2312" w:cs="Times New Roman"/>
          <w:sz w:val="28"/>
          <w:szCs w:val="28"/>
        </w:rPr>
        <w:t>94</w:t>
      </w:r>
      <w:r>
        <w:rPr>
          <w:rFonts w:hint="eastAsia" w:ascii="仿宋_GB2312" w:hAnsi="Times New Roman" w:eastAsia="仿宋_GB2312" w:cs="Times New Roman"/>
          <w:sz w:val="28"/>
          <w:szCs w:val="28"/>
        </w:rPr>
        <w:t>平方米，新增停车位3000个。新增绿化面积</w:t>
      </w:r>
      <w:r>
        <w:rPr>
          <w:rFonts w:ascii="仿宋_GB2312" w:hAnsi="Times New Roman" w:eastAsia="仿宋_GB2312" w:cs="Times New Roman"/>
          <w:sz w:val="28"/>
          <w:szCs w:val="28"/>
        </w:rPr>
        <w:t>16.26</w:t>
      </w:r>
      <w:r>
        <w:rPr>
          <w:rFonts w:hint="eastAsia" w:ascii="仿宋_GB2312" w:hAnsi="Times New Roman" w:eastAsia="仿宋_GB2312" w:cs="Times New Roman"/>
          <w:sz w:val="28"/>
          <w:szCs w:val="28"/>
        </w:rPr>
        <w:t>万平方米，县城绿化覆盖率达47%，人均公园绿地面积增长至12.</w:t>
      </w:r>
      <w:r>
        <w:rPr>
          <w:rFonts w:ascii="仿宋_GB2312" w:hAnsi="Times New Roman" w:eastAsia="仿宋_GB2312" w:cs="Times New Roman"/>
          <w:sz w:val="28"/>
          <w:szCs w:val="28"/>
        </w:rPr>
        <w:t>53</w:t>
      </w:r>
      <w:r>
        <w:rPr>
          <w:rFonts w:hint="eastAsia" w:ascii="仿宋_GB2312" w:hAnsi="Times New Roman" w:eastAsia="仿宋_GB2312" w:cs="Times New Roman"/>
          <w:sz w:val="28"/>
          <w:szCs w:val="28"/>
        </w:rPr>
        <w:t>平方米/人。新建城市绿道</w:t>
      </w:r>
      <w:r>
        <w:rPr>
          <w:rFonts w:ascii="仿宋_GB2312" w:hAnsi="Times New Roman" w:eastAsia="仿宋_GB2312" w:cs="Times New Roman"/>
          <w:sz w:val="28"/>
          <w:szCs w:val="28"/>
        </w:rPr>
        <w:t>2</w:t>
      </w:r>
      <w:r>
        <w:rPr>
          <w:rFonts w:hint="eastAsia" w:ascii="仿宋_GB2312" w:hAnsi="Times New Roman" w:eastAsia="仿宋_GB2312" w:cs="Times New Roman"/>
          <w:sz w:val="28"/>
          <w:szCs w:val="28"/>
        </w:rPr>
        <w:t>0公里，尧渡新河绿道投入使用。建设完成东至县备用水源工程，全面保障城区及周边地区用水安全。</w:t>
      </w:r>
      <w:r>
        <w:rPr>
          <w:rFonts w:ascii="仿宋_GB2312" w:hAnsi="Times New Roman" w:eastAsia="仿宋_GB2312" w:cs="Times New Roman"/>
          <w:sz w:val="28"/>
          <w:szCs w:val="28"/>
        </w:rPr>
        <w:t>城区内新增供水管线44.59千米，雨水管线20.7千米，污水管线30.5千米。</w:t>
      </w:r>
      <w:r>
        <w:rPr>
          <w:rFonts w:hint="eastAsia" w:ascii="仿宋_GB2312" w:hAnsi="仿宋" w:eastAsia="仿宋_GB2312"/>
          <w:bCs/>
          <w:sz w:val="28"/>
          <w:szCs w:val="28"/>
        </w:rPr>
        <w:t>建设完成大渡口LNG综合站，河西、城南、东流LNG瓶组站3座，新建中低压管网93公里，</w:t>
      </w:r>
      <w:r>
        <w:rPr>
          <w:rFonts w:hint="eastAsia" w:ascii="仿宋_GB2312" w:hAnsi="Times New Roman" w:eastAsia="仿宋_GB2312" w:cs="Times New Roman"/>
          <w:sz w:val="28"/>
          <w:szCs w:val="28"/>
        </w:rPr>
        <w:t>大渡口至尧渡天然气管网交付使用，</w:t>
      </w:r>
      <w:r>
        <w:rPr>
          <w:rFonts w:hint="eastAsia" w:ascii="仿宋_GB2312" w:hAnsi="仿宋" w:eastAsia="仿宋_GB2312"/>
          <w:bCs/>
          <w:sz w:val="28"/>
          <w:szCs w:val="28"/>
        </w:rPr>
        <w:t>实现主城区、大渡口镇、东流镇天然气全面覆盖。</w:t>
      </w:r>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尧东一体化建设开题破局。</w:t>
      </w:r>
      <w:r>
        <w:rPr>
          <w:rFonts w:hint="eastAsia" w:ascii="仿宋_GB2312" w:hAnsi="Times New Roman" w:eastAsia="仿宋_GB2312" w:cs="Times New Roman"/>
          <w:sz w:val="28"/>
          <w:szCs w:val="28"/>
        </w:rPr>
        <w:t>聚力城市拓展，启动尧东一体化起步区建设，围绕</w:t>
      </w:r>
      <w:r>
        <w:rPr>
          <w:rFonts w:hint="eastAsia" w:ascii="仿宋_GB2312" w:eastAsia="仿宋_GB2312" w:hAnsiTheme="minorEastAsia"/>
          <w:sz w:val="28"/>
          <w:szCs w:val="28"/>
        </w:rPr>
        <w:t>“尧东一体化”枢纽核心，打造包括火车站、汽车总站、袜业小镇在内，控制面积31.28平方公里的舜城新区。已</w:t>
      </w:r>
      <w:r>
        <w:rPr>
          <w:rFonts w:hint="eastAsia" w:ascii="仿宋_GB2312" w:hAnsi="Times New Roman" w:eastAsia="仿宋_GB2312" w:cs="Times New Roman"/>
          <w:sz w:val="28"/>
          <w:szCs w:val="28"/>
        </w:rPr>
        <w:t>完成地形测绘和地质勘探，舜城新区控规和城市设计，以及省示范高中、工业学校、义务教育学校规划设计。尧东一级公路已全面通车，舜德大道基本贯通，尧东一体化污水管网工程建设全面加快，舜华路等市政配套基础设施建设前期工作正稳步推进。</w:t>
      </w:r>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乡镇建设水平逐步提升。</w:t>
      </w:r>
      <w:r>
        <w:rPr>
          <w:rFonts w:hint="eastAsia" w:ascii="仿宋_GB2312" w:hAnsi="Times New Roman" w:eastAsia="仿宋_GB2312" w:cs="Times New Roman"/>
          <w:sz w:val="28"/>
          <w:szCs w:val="28"/>
        </w:rPr>
        <w:t>东至经开区污水处理厂技改工程和大渡口污水处理厂达标提升工程已全部完成，</w:t>
      </w:r>
      <w:r>
        <w:rPr>
          <w:rFonts w:ascii="仿宋_GB2312" w:hAnsi="Times New Roman" w:eastAsia="仿宋_GB2312" w:cs="Times New Roman"/>
          <w:sz w:val="28"/>
          <w:szCs w:val="28"/>
        </w:rPr>
        <w:t>12</w:t>
      </w:r>
      <w:r>
        <w:rPr>
          <w:rFonts w:hint="eastAsia" w:ascii="仿宋_GB2312" w:hAnsi="Times New Roman" w:eastAsia="仿宋_GB2312" w:cs="Times New Roman"/>
          <w:sz w:val="28"/>
          <w:szCs w:val="28"/>
        </w:rPr>
        <w:t>个乡镇政府驻地和40个中心村污水处理设施投入运行，乡镇地区污水处理能力显著增强。加大集镇区水冲式公厕建设和旱厕改水厕力度，对公共厕所先行改建，逐步向居民推行。对2批次共14个集镇区开展临街建筑的阳台、门窗、屋顶乱吊挂、乱堆放和建筑立面的污损、陈旧等问题的全面整治，改造店招店牌，拆除违规户外广告，遮蔽和迁移空调外机，清理和维护外立面。建成76个美丽乡村中心村，荣获省休闲农业和乡村旅游示范县、省美丽乡村建设先进县称号。</w:t>
      </w:r>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城乡安全建设不断增强。</w:t>
      </w:r>
      <w:r>
        <w:rPr>
          <w:rFonts w:hint="eastAsia" w:ascii="仿宋_GB2312" w:hAnsi="Verdana" w:eastAsia="仿宋_GB2312" w:cs="宋体"/>
          <w:sz w:val="28"/>
          <w:szCs w:val="28"/>
        </w:rPr>
        <w:t>深化防灾减灾能力建设，气象、地震等监测预警能力不断提升，人防应急预案全面覆盖。</w:t>
      </w:r>
      <w:r>
        <w:rPr>
          <w:rFonts w:hint="eastAsia" w:ascii="仿宋_GB2312" w:hAnsi="Verdana" w:eastAsia="仿宋_GB2312" w:cs="宋体"/>
          <w:sz w:val="28"/>
          <w:szCs w:val="28"/>
          <w:lang w:val="en-US" w:eastAsia="zh-CN"/>
        </w:rPr>
        <w:t xml:space="preserve">  </w:t>
      </w:r>
      <w:r>
        <w:rPr>
          <w:rFonts w:hint="eastAsia" w:ascii="仿宋_GB2312" w:hAnsi="Verdana" w:eastAsia="仿宋_GB2312" w:cs="宋体"/>
          <w:sz w:val="28"/>
          <w:szCs w:val="28"/>
        </w:rPr>
        <w:t>完善人防报警设施建设，</w:t>
      </w:r>
      <w:r>
        <w:rPr>
          <w:rFonts w:hint="eastAsia" w:ascii="仿宋_GB2312" w:hAnsi="宋体" w:eastAsia="仿宋_GB2312" w:cs="宋体"/>
          <w:sz w:val="28"/>
          <w:szCs w:val="28"/>
        </w:rPr>
        <w:t>共建设</w:t>
      </w:r>
      <w:r>
        <w:rPr>
          <w:rFonts w:ascii="仿宋_GB2312" w:hAnsi="宋体" w:eastAsia="仿宋_GB2312" w:cs="宋体"/>
          <w:sz w:val="28"/>
          <w:szCs w:val="28"/>
        </w:rPr>
        <w:t>警报器8台，鸣响率达到100%，</w:t>
      </w:r>
      <w:r>
        <w:rPr>
          <w:rFonts w:hint="eastAsia" w:ascii="仿宋_GB2312" w:hAnsi="宋体" w:eastAsia="仿宋_GB2312" w:cs="宋体"/>
          <w:sz w:val="28"/>
          <w:szCs w:val="28"/>
        </w:rPr>
        <w:t>保障县城人防示警需求。</w:t>
      </w:r>
      <w:r>
        <w:rPr>
          <w:rFonts w:hint="eastAsia" w:ascii="仿宋_GB2312" w:hAnsi="Times New Roman" w:eastAsia="仿宋_GB2312" w:cs="Times New Roman"/>
          <w:sz w:val="28"/>
          <w:szCs w:val="28"/>
        </w:rPr>
        <w:t>人防工作教育宣传力度不断加强，在县城区初中开设人防课程，每年为新生统一订购《中学生防空防灾知识课本》，让人防知识进校园，使学生们接受“三防”知识教育。</w:t>
      </w:r>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城乡公共服务设施建设提质增效。</w:t>
      </w:r>
      <w:r>
        <w:rPr>
          <w:rFonts w:hint="eastAsia" w:ascii="仿宋_GB2312" w:hAnsi="Times New Roman" w:eastAsia="仿宋_GB2312" w:cs="Times New Roman"/>
          <w:sz w:val="28"/>
          <w:szCs w:val="28"/>
        </w:rPr>
        <w:t>城北汽车站投入使用，消防大队营房完成搬迁，</w:t>
      </w:r>
      <w:r>
        <w:rPr>
          <w:rFonts w:ascii="仿宋_GB2312" w:hAnsi="Times New Roman" w:eastAsia="仿宋_GB2312" w:cs="Times New Roman"/>
          <w:sz w:val="28"/>
          <w:szCs w:val="28"/>
        </w:rPr>
        <w:t>市民文化中心、城南社会福利设施、尧城体育中心等一批</w:t>
      </w:r>
      <w:r>
        <w:rPr>
          <w:rFonts w:hint="eastAsia" w:ascii="仿宋_GB2312" w:hAnsi="Times New Roman" w:eastAsia="仿宋_GB2312" w:cs="Times New Roman"/>
          <w:sz w:val="28"/>
          <w:szCs w:val="28"/>
        </w:rPr>
        <w:t>公共服务基础</w:t>
      </w:r>
      <w:r>
        <w:rPr>
          <w:rFonts w:ascii="仿宋_GB2312" w:hAnsi="Times New Roman" w:eastAsia="仿宋_GB2312" w:cs="Times New Roman"/>
          <w:sz w:val="28"/>
          <w:szCs w:val="28"/>
        </w:rPr>
        <w:t>设施相继建成，</w:t>
      </w:r>
      <w:r>
        <w:rPr>
          <w:rFonts w:hint="eastAsia" w:ascii="仿宋_GB2312" w:hAnsi="Times New Roman" w:eastAsia="仿宋_GB2312" w:cs="Times New Roman"/>
          <w:sz w:val="28"/>
          <w:szCs w:val="28"/>
        </w:rPr>
        <w:t>图书馆、档案馆、县医院综合楼、东至国家基本气象站主体完工。优化整合县公立医院和社区卫生服务中心，着力解决群众看病难问题。建成养老服务机构49个。坚持教育优先发展，完成至德小学梅城校区、城南小学建设，着力推广智慧学校建设，维修改造校舍</w:t>
      </w:r>
      <w:r>
        <w:rPr>
          <w:rFonts w:ascii="仿宋_GB2312" w:hAnsi="Times New Roman" w:eastAsia="仿宋_GB2312" w:cs="Times New Roman"/>
          <w:sz w:val="28"/>
          <w:szCs w:val="28"/>
        </w:rPr>
        <w:t>18个。</w:t>
      </w:r>
      <w:r>
        <w:rPr>
          <w:rFonts w:hint="eastAsia" w:ascii="仿宋_GB2312" w:hAnsi="Times New Roman" w:eastAsia="仿宋_GB2312" w:cs="Times New Roman"/>
          <w:sz w:val="28"/>
          <w:szCs w:val="28"/>
        </w:rPr>
        <w:t>不断增强乡镇综合文化站服务功能，广播电视直播卫星“户户通”工程获省表彰。城乡公共服务体系不断完善，成功入选国家级紧密型县域医共体建设试点县，通过国家义务教育基本均衡县验收。</w:t>
      </w:r>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城乡环境卫生设施建设逐步健全。</w:t>
      </w:r>
      <w:r>
        <w:rPr>
          <w:rFonts w:hint="eastAsia" w:ascii="仿宋_GB2312" w:hAnsi="Times New Roman" w:eastAsia="仿宋_GB2312" w:cs="Times New Roman"/>
          <w:sz w:val="28"/>
          <w:szCs w:val="28"/>
        </w:rPr>
        <w:t>大力推进东至县城乡环卫一体化建设，完成县城及乡镇转运站和配套的垃圾收集点、环卫车辆以及环卫基地的建设。完成小湖洼垃圾填埋场封场项目，建设管山垃圾填埋场及渗滤液处理站，建设泥溪生活垃圾中转站、环卫基地。城区13个公厕修复及完善配套设施，新增垃圾箱2890个，果皮箱200个，便民公告栏5个，垃圾分类标签6000余张。</w:t>
      </w:r>
    </w:p>
    <w:p>
      <w:pPr>
        <w:pStyle w:val="3"/>
        <w:spacing w:before="120" w:after="120" w:line="240" w:lineRule="auto"/>
        <w:rPr>
          <w:rFonts w:ascii="宋体" w:hAnsi="宋体" w:eastAsia="宋体"/>
          <w:sz w:val="30"/>
          <w:szCs w:val="30"/>
        </w:rPr>
      </w:pPr>
      <w:bookmarkStart w:id="3" w:name="_Toc69314775"/>
      <w:r>
        <w:rPr>
          <w:rFonts w:hint="eastAsia" w:ascii="宋体" w:hAnsi="宋体" w:eastAsia="宋体"/>
          <w:sz w:val="30"/>
          <w:szCs w:val="30"/>
        </w:rPr>
        <w:t>（三）城乡居住品质持续改善</w:t>
      </w:r>
      <w:bookmarkEnd w:id="3"/>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住房保障持续推进。</w:t>
      </w:r>
      <w:r>
        <w:rPr>
          <w:rFonts w:hint="eastAsia" w:ascii="仿宋_GB2312" w:hAnsi="Times New Roman" w:eastAsia="仿宋_GB2312" w:cs="Times New Roman"/>
          <w:sz w:val="28"/>
          <w:szCs w:val="28"/>
        </w:rPr>
        <w:t>“十三五”期间，东至县改造棚户区</w:t>
      </w:r>
      <w:r>
        <w:rPr>
          <w:rFonts w:ascii="仿宋_GB2312" w:hAnsi="Times New Roman" w:eastAsia="仿宋_GB2312" w:cs="Times New Roman"/>
          <w:sz w:val="28"/>
          <w:szCs w:val="28"/>
        </w:rPr>
        <w:t>1061套，完成龙腾、远景、建设</w:t>
      </w:r>
      <w:r>
        <w:rPr>
          <w:rFonts w:hint="eastAsia" w:ascii="仿宋_GB2312" w:hAnsi="Times New Roman" w:eastAsia="仿宋_GB2312" w:cs="Times New Roman"/>
          <w:sz w:val="28"/>
          <w:szCs w:val="28"/>
        </w:rPr>
        <w:t>小区等</w:t>
      </w:r>
      <w:r>
        <w:rPr>
          <w:rFonts w:ascii="仿宋_GB2312" w:hAnsi="Times New Roman" w:eastAsia="仿宋_GB2312" w:cs="Times New Roman"/>
          <w:sz w:val="28"/>
          <w:szCs w:val="28"/>
        </w:rPr>
        <w:t>5</w:t>
      </w:r>
      <w:r>
        <w:rPr>
          <w:rFonts w:hint="eastAsia" w:ascii="仿宋_GB2312" w:hAnsi="Times New Roman" w:eastAsia="仿宋_GB2312" w:cs="Times New Roman"/>
          <w:sz w:val="28"/>
          <w:szCs w:val="28"/>
        </w:rPr>
        <w:t>处</w:t>
      </w:r>
      <w:r>
        <w:rPr>
          <w:rFonts w:ascii="仿宋_GB2312" w:hAnsi="Times New Roman" w:eastAsia="仿宋_GB2312" w:cs="Times New Roman"/>
          <w:sz w:val="28"/>
          <w:szCs w:val="28"/>
        </w:rPr>
        <w:t>老旧小区</w:t>
      </w:r>
      <w:r>
        <w:rPr>
          <w:rFonts w:hint="eastAsia" w:ascii="仿宋_GB2312" w:hAnsi="Times New Roman" w:eastAsia="仿宋_GB2312" w:cs="Times New Roman"/>
          <w:sz w:val="28"/>
          <w:szCs w:val="28"/>
        </w:rPr>
        <w:t>改造</w:t>
      </w:r>
      <w:r>
        <w:rPr>
          <w:rFonts w:ascii="仿宋_GB2312" w:hAnsi="Times New Roman" w:eastAsia="仿宋_GB2312" w:cs="Times New Roman"/>
          <w:sz w:val="28"/>
          <w:szCs w:val="28"/>
        </w:rPr>
        <w:t>，改造建筑面积7.4万</w:t>
      </w:r>
      <w:r>
        <w:rPr>
          <w:rFonts w:hint="eastAsia" w:ascii="仿宋_GB2312" w:hAnsi="Times New Roman" w:eastAsia="仿宋_GB2312" w:cs="Times New Roman"/>
          <w:sz w:val="28"/>
          <w:szCs w:val="28"/>
        </w:rPr>
        <w:t>平方米</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结合棚户区及老旧小区改造的同时，建设公园（广场）</w:t>
      </w:r>
      <w:r>
        <w:rPr>
          <w:rFonts w:ascii="仿宋_GB2312" w:hAnsi="Times New Roman" w:eastAsia="仿宋_GB2312" w:cs="Times New Roman"/>
          <w:sz w:val="28"/>
          <w:szCs w:val="28"/>
        </w:rPr>
        <w:t>39个，改造老旧农贸市场2个，改造停车场10个，新增公交候车亭15个，新增公共停车位950余个，公交专用车位65个，拆除违建10.3万平方米，</w:t>
      </w:r>
      <w:r>
        <w:rPr>
          <w:rFonts w:hint="eastAsia" w:ascii="仿宋_GB2312" w:hAnsi="Times New Roman" w:eastAsia="仿宋_GB2312" w:cs="Times New Roman"/>
          <w:sz w:val="28"/>
          <w:szCs w:val="28"/>
        </w:rPr>
        <w:t>为</w:t>
      </w:r>
      <w:r>
        <w:rPr>
          <w:rFonts w:ascii="仿宋_GB2312" w:hAnsi="Times New Roman" w:eastAsia="仿宋_GB2312" w:cs="Times New Roman"/>
          <w:sz w:val="28"/>
          <w:szCs w:val="28"/>
        </w:rPr>
        <w:t>东至县</w:t>
      </w:r>
      <w:r>
        <w:rPr>
          <w:rFonts w:hint="eastAsia" w:ascii="仿宋_GB2312" w:hAnsi="Times New Roman" w:eastAsia="仿宋_GB2312" w:cs="Times New Roman"/>
          <w:sz w:val="28"/>
          <w:szCs w:val="28"/>
        </w:rPr>
        <w:t>创建</w:t>
      </w:r>
      <w:r>
        <w:rPr>
          <w:rFonts w:ascii="仿宋_GB2312" w:hAnsi="Times New Roman" w:eastAsia="仿宋_GB2312" w:cs="Times New Roman"/>
          <w:sz w:val="28"/>
          <w:szCs w:val="28"/>
        </w:rPr>
        <w:t>省级文明城市作出重要贡献。</w:t>
      </w:r>
      <w:r>
        <w:rPr>
          <w:rFonts w:hint="eastAsia" w:ascii="仿宋_GB2312" w:hAnsi="Times New Roman" w:eastAsia="仿宋_GB2312" w:cs="Times New Roman"/>
          <w:sz w:val="28"/>
          <w:szCs w:val="28"/>
        </w:rPr>
        <w:t>新建公租房1248套</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强化直管公租房管理力度，保障低收入群众住房需求。做好环境维护，拆除直管公房租户违章搭建、乱堆杂物。加大直管公房危房风险排查，强化房屋返修翻漏，制定应对雨雪恶劣天气的安全防范预案，确保承租户生命、财产安全。引导住房租赁市场健康发展，鼓励机构投资者投资经营出租房，引导房地产中介服务机构、物业服务企业发展成为以房屋租赁为主营或重要业务的专业化企业。鼓励有条件的房地产开发企业，在新建商品房项目中长期持有部分房源，用于向市场租赁。建立开发与租赁一体化、专业化的运作模式，满足新市民、外来务工人员、新就业大学毕业生等群体市场化住房租赁和住房保障需求。</w:t>
      </w:r>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房地产市场持续稳定。</w:t>
      </w:r>
      <w:r>
        <w:rPr>
          <w:rFonts w:hint="eastAsia" w:ascii="仿宋_GB2312" w:hAnsi="Times New Roman" w:eastAsia="仿宋_GB2312" w:cs="Times New Roman"/>
          <w:sz w:val="28"/>
          <w:szCs w:val="28"/>
        </w:rPr>
        <w:t>“</w:t>
      </w:r>
      <w:r>
        <w:rPr>
          <w:rFonts w:ascii="仿宋_GB2312" w:hAnsi="Times New Roman" w:eastAsia="仿宋_GB2312" w:cs="Times New Roman"/>
          <w:sz w:val="28"/>
          <w:szCs w:val="28"/>
        </w:rPr>
        <w:t>十三五</w:t>
      </w:r>
      <w:r>
        <w:rPr>
          <w:rFonts w:hint="eastAsia" w:ascii="仿宋_GB2312" w:hAnsi="Times New Roman" w:eastAsia="仿宋_GB2312" w:cs="Times New Roman"/>
          <w:sz w:val="28"/>
          <w:szCs w:val="28"/>
        </w:rPr>
        <w:t>”</w:t>
      </w:r>
      <w:r>
        <w:rPr>
          <w:rFonts w:ascii="仿宋_GB2312" w:hAnsi="Times New Roman" w:eastAsia="仿宋_GB2312" w:cs="Times New Roman"/>
          <w:sz w:val="28"/>
          <w:szCs w:val="28"/>
        </w:rPr>
        <w:t>期间，</w:t>
      </w:r>
      <w:r>
        <w:rPr>
          <w:rFonts w:hint="eastAsia" w:ascii="仿宋_GB2312" w:hAnsi="Times New Roman" w:eastAsia="仿宋_GB2312" w:cs="Times New Roman"/>
          <w:sz w:val="28"/>
          <w:szCs w:val="28"/>
        </w:rPr>
        <w:t>东至县为促进房地产市场健康发展，按照国家、省市及县政府工作部署，结合东至县实际先后出台了《东至县商品房预收款监督管理暂行办法》、《东至县供给侧结构性改革去库存行动计划》、《东至县人民政府关于促进非住宅商品房去库存的若干意见》等文件，以“控房价、防风险、稳市场”为目标开展工作，促进供求平衡，合理引导预期，整治市场秩序，坚决遏制房价过快上涨，使房地产市场平稳健康发展。至“十三五”末，商品房住宅销售面积累计约157万平方米。其中，住宅年度销售均价从2016年的4706元/平方米上涨至</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十三五</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末的</w:t>
      </w:r>
      <w:r>
        <w:rPr>
          <w:rFonts w:ascii="仿宋_GB2312" w:hAnsi="Times New Roman" w:eastAsia="仿宋_GB2312" w:cs="Times New Roman"/>
          <w:sz w:val="28"/>
          <w:szCs w:val="28"/>
        </w:rPr>
        <w:t>5648</w:t>
      </w:r>
      <w:r>
        <w:rPr>
          <w:rFonts w:hint="eastAsia" w:ascii="仿宋_GB2312" w:hAnsi="Times New Roman" w:eastAsia="仿宋_GB2312" w:cs="Times New Roman"/>
          <w:sz w:val="28"/>
          <w:szCs w:val="28"/>
        </w:rPr>
        <w:t>元/平方米,涨幅约</w:t>
      </w:r>
      <w:r>
        <w:rPr>
          <w:rFonts w:ascii="仿宋_GB2312" w:hAnsi="Times New Roman" w:eastAsia="仿宋_GB2312" w:cs="Times New Roman"/>
          <w:sz w:val="28"/>
          <w:szCs w:val="28"/>
        </w:rPr>
        <w:t>20</w:t>
      </w:r>
      <w:r>
        <w:rPr>
          <w:rFonts w:hint="eastAsia" w:ascii="仿宋_GB2312" w:hAnsi="Times New Roman" w:eastAsia="仿宋_GB2312" w:cs="Times New Roman"/>
          <w:sz w:val="28"/>
          <w:szCs w:val="28"/>
        </w:rPr>
        <w:t>%；商业年度均价从2016年的6544元/平方米下跌至</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十三五</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末的</w:t>
      </w:r>
      <w:r>
        <w:rPr>
          <w:rFonts w:ascii="仿宋_GB2312" w:hAnsi="Times New Roman" w:eastAsia="仿宋_GB2312" w:cs="Times New Roman"/>
          <w:sz w:val="28"/>
          <w:szCs w:val="28"/>
        </w:rPr>
        <w:t>6354</w:t>
      </w:r>
      <w:r>
        <w:rPr>
          <w:rFonts w:hint="eastAsia" w:ascii="仿宋_GB2312" w:hAnsi="Times New Roman" w:eastAsia="仿宋_GB2312" w:cs="Times New Roman"/>
          <w:sz w:val="28"/>
          <w:szCs w:val="28"/>
        </w:rPr>
        <w:t>元/平方米,总体保持平稳</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强化商品房预售监管，至</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十三五</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末</w:t>
      </w:r>
      <w:r>
        <w:rPr>
          <w:rFonts w:ascii="仿宋_GB2312" w:hAnsi="Times New Roman" w:eastAsia="仿宋_GB2312" w:cs="Times New Roman"/>
          <w:sz w:val="28"/>
          <w:szCs w:val="28"/>
        </w:rPr>
        <w:t>，对全县54个商品房项目实行预售款监管，监管资金总额达47.13亿元，并及时拨付农民工工资和工程款11.14亿元，拨付率达50.43%。持续推进历史问题楼盘风险化解，对11处“烂尾楼”制定化解方案，成功化解6处“烂尾楼”风险。</w:t>
      </w:r>
      <w:r>
        <w:rPr>
          <w:rFonts w:hint="eastAsia" w:ascii="仿宋_GB2312" w:hAnsi="Times New Roman" w:eastAsia="仿宋_GB2312" w:cs="Times New Roman"/>
          <w:sz w:val="28"/>
          <w:szCs w:val="28"/>
        </w:rPr>
        <w:t>深化“放管服”改革，加快房地产数据管理平台建设，打造便民高效的服务窗口，为进一步提升房产交易服务效能打下了坚实基础。</w:t>
      </w:r>
    </w:p>
    <w:p>
      <w:pPr>
        <w:spacing w:line="576" w:lineRule="exact"/>
        <w:ind w:firstLine="562" w:firstLineChars="200"/>
        <w:rPr>
          <w:rFonts w:ascii="仿宋_GB2312" w:hAnsi="Times New Roman" w:eastAsia="仿宋_GB2312" w:cs="Times New Roman"/>
          <w:sz w:val="28"/>
          <w:szCs w:val="28"/>
        </w:rPr>
      </w:pPr>
      <w:r>
        <w:rPr>
          <w:rFonts w:hint="eastAsia" w:ascii="仿宋_GB2312" w:eastAsia="仿宋_GB2312"/>
          <w:b/>
          <w:sz w:val="28"/>
          <w:szCs w:val="28"/>
        </w:rPr>
        <w:t>物业管理服务持续提升。</w:t>
      </w:r>
      <w:r>
        <w:rPr>
          <w:rFonts w:hint="eastAsia" w:ascii="仿宋_GB2312" w:hAnsi="Times New Roman" w:eastAsia="仿宋_GB2312" w:cs="Times New Roman"/>
          <w:sz w:val="28"/>
          <w:szCs w:val="28"/>
        </w:rPr>
        <w:t>至“十三五”末，东至县物业服务业企业34家，房地产开发企业20家，房地产经纪机构34家。持续推进小区文明创建，努力提升物业服务水平，</w:t>
      </w:r>
      <w:r>
        <w:rPr>
          <w:rFonts w:hint="eastAsia" w:ascii="仿宋_GB2312" w:eastAsia="仿宋_GB2312"/>
          <w:sz w:val="28"/>
          <w:szCs w:val="28"/>
        </w:rPr>
        <w:t>以创建省级文明县为抓手，以小区“六清理六整治”为重点，全面提升小区物业服务管理水平，印发《东至县住宅小区物业服务考核标准》，采取“四不两直”的方式坚持每季度开展小区现场考核，做到奖罚分明，有力促进了物业公司主动服务意识，在省级文明县现场考核评价较好</w:t>
      </w:r>
      <w:r>
        <w:rPr>
          <w:rFonts w:hint="eastAsia" w:ascii="仿宋_GB2312" w:hAnsi="Times New Roman" w:eastAsia="仿宋_GB2312" w:cs="Times New Roman"/>
          <w:sz w:val="28"/>
          <w:szCs w:val="28"/>
        </w:rPr>
        <w:t>。</w:t>
      </w:r>
      <w:r>
        <w:rPr>
          <w:rFonts w:hint="eastAsia" w:ascii="仿宋_GB2312" w:eastAsia="仿宋_GB2312"/>
          <w:sz w:val="28"/>
          <w:szCs w:val="28"/>
        </w:rPr>
        <w:t>结合主题教育检视的问题积极主动作为，积极推进兰溪、老街、团结社区无物业管理的小区环境整治，完成新建小区停车场3500平方米，雨、污管道420米，修复破损人行道1800平方米。</w:t>
      </w:r>
      <w:r>
        <w:rPr>
          <w:rFonts w:hint="eastAsia" w:ascii="仿宋_GB2312" w:hAnsi="宋体" w:eastAsia="仿宋_GB2312" w:cs="宋体"/>
          <w:sz w:val="28"/>
          <w:szCs w:val="28"/>
        </w:rPr>
        <w:t>出台《东至县物业专项维修资金管理暂行办法》</w:t>
      </w:r>
      <w:r>
        <w:rPr>
          <w:rFonts w:hint="eastAsia" w:ascii="仿宋_GB2312" w:eastAsia="仿宋_GB2312"/>
          <w:sz w:val="28"/>
          <w:szCs w:val="28"/>
        </w:rPr>
        <w:t>加强</w:t>
      </w:r>
      <w:r>
        <w:rPr>
          <w:rFonts w:hint="eastAsia" w:ascii="仿宋_GB2312" w:hAnsi="宋体" w:eastAsia="仿宋_GB2312" w:cs="宋体"/>
          <w:sz w:val="28"/>
          <w:szCs w:val="28"/>
        </w:rPr>
        <w:t>物业专项维修资金管理，</w:t>
      </w:r>
      <w:r>
        <w:rPr>
          <w:rFonts w:hint="eastAsia" w:ascii="仿宋_GB2312" w:hAnsi="Times New Roman" w:eastAsia="仿宋_GB2312" w:cs="Times New Roman"/>
          <w:sz w:val="28"/>
          <w:szCs w:val="28"/>
        </w:rPr>
        <w:t>至“十三五”末</w:t>
      </w:r>
      <w:r>
        <w:rPr>
          <w:rFonts w:ascii="仿宋_GB2312" w:hAnsi="宋体" w:eastAsia="仿宋_GB2312" w:cs="宋体"/>
          <w:sz w:val="28"/>
          <w:szCs w:val="28"/>
        </w:rPr>
        <w:t>累计收集物业房屋维修资金3486.82</w:t>
      </w:r>
      <w:r>
        <w:rPr>
          <w:rFonts w:hint="eastAsia" w:ascii="仿宋_GB2312" w:hAnsi="宋体" w:eastAsia="仿宋_GB2312" w:cs="宋体"/>
          <w:sz w:val="28"/>
          <w:szCs w:val="28"/>
        </w:rPr>
        <w:t>万元，累计支出使用202.7万元。</w:t>
      </w:r>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农村人居环境质量持续改善。</w:t>
      </w:r>
      <w:r>
        <w:rPr>
          <w:rFonts w:hint="eastAsia" w:ascii="仿宋_GB2312" w:eastAsia="仿宋_GB2312"/>
          <w:sz w:val="28"/>
          <w:szCs w:val="28"/>
        </w:rPr>
        <w:t>紧紧围绕保障贫困人口住房安全这一核心目标，以更大的决心、更高的标准、更实的举措，努力推进农村住房安全保障工作。至“十三五”末，东至县累计完成农村危房改造任务5200余户，其中建档立卡贫困户3200余户，累计拨付资金</w:t>
      </w:r>
      <w:r>
        <w:rPr>
          <w:rFonts w:ascii="仿宋_GB2312" w:eastAsia="仿宋_GB2312"/>
          <w:sz w:val="28"/>
          <w:szCs w:val="28"/>
        </w:rPr>
        <w:t>5500</w:t>
      </w:r>
      <w:r>
        <w:rPr>
          <w:rFonts w:hint="eastAsia" w:ascii="仿宋_GB2312" w:eastAsia="仿宋_GB2312"/>
          <w:sz w:val="28"/>
          <w:szCs w:val="28"/>
        </w:rPr>
        <w:t>多万元。</w:t>
      </w:r>
      <w:r>
        <w:rPr>
          <w:rFonts w:hint="eastAsia" w:ascii="仿宋_GB2312" w:hAnsi="仿宋_GB2312" w:eastAsia="仿宋_GB2312" w:cs="仿宋_GB2312"/>
          <w:sz w:val="28"/>
          <w:szCs w:val="28"/>
        </w:rPr>
        <w:t>以乡村振兴战略为契机，以推进农村垃圾污水厕所专项整治为抓手，以改善农村人居环境为切入点，科学谋划，精心实施，着力推动东至县美丽乡村建设。尧渡镇尚合村尚合中心村、徐村村徐村中心村、昭潭镇官营村官营街中心村等3批次24个中心村通过美丽乡村考核验收。</w:t>
      </w:r>
      <w:r>
        <w:rPr>
          <w:rFonts w:ascii="仿宋_GB2312" w:hAnsi="Times New Roman" w:eastAsia="仿宋_GB2312" w:cs="Times New Roman"/>
          <w:sz w:val="28"/>
          <w:szCs w:val="28"/>
        </w:rPr>
        <w:t>昭潭</w:t>
      </w:r>
      <w:r>
        <w:rPr>
          <w:rFonts w:hint="eastAsia" w:ascii="仿宋_GB2312" w:hAnsi="Times New Roman" w:eastAsia="仿宋_GB2312" w:cs="Times New Roman"/>
          <w:sz w:val="28"/>
          <w:szCs w:val="28"/>
        </w:rPr>
        <w:t>镇</w:t>
      </w:r>
      <w:r>
        <w:rPr>
          <w:rFonts w:ascii="仿宋_GB2312" w:hAnsi="Times New Roman" w:eastAsia="仿宋_GB2312" w:cs="Times New Roman"/>
          <w:sz w:val="28"/>
          <w:szCs w:val="28"/>
        </w:rPr>
        <w:t>官营</w:t>
      </w:r>
      <w:r>
        <w:rPr>
          <w:rFonts w:hint="eastAsia" w:ascii="仿宋_GB2312" w:hAnsi="Times New Roman" w:eastAsia="仿宋_GB2312" w:cs="Times New Roman"/>
          <w:sz w:val="28"/>
          <w:szCs w:val="28"/>
        </w:rPr>
        <w:t>村</w:t>
      </w:r>
      <w:r>
        <w:rPr>
          <w:rFonts w:ascii="仿宋_GB2312" w:hAnsi="Times New Roman" w:eastAsia="仿宋_GB2312" w:cs="Times New Roman"/>
          <w:sz w:val="28"/>
          <w:szCs w:val="28"/>
        </w:rPr>
        <w:t>、木塔</w:t>
      </w:r>
      <w:r>
        <w:rPr>
          <w:rFonts w:hint="eastAsia" w:ascii="仿宋_GB2312" w:hAnsi="Times New Roman" w:eastAsia="仿宋_GB2312" w:cs="Times New Roman"/>
          <w:sz w:val="28"/>
          <w:szCs w:val="28"/>
        </w:rPr>
        <w:t>乡</w:t>
      </w:r>
      <w:r>
        <w:rPr>
          <w:rFonts w:ascii="仿宋_GB2312" w:hAnsi="Times New Roman" w:eastAsia="仿宋_GB2312" w:cs="Times New Roman"/>
          <w:sz w:val="28"/>
          <w:szCs w:val="28"/>
        </w:rPr>
        <w:t>大田</w:t>
      </w:r>
      <w:r>
        <w:rPr>
          <w:rFonts w:hint="eastAsia" w:ascii="仿宋_GB2312" w:hAnsi="Times New Roman" w:eastAsia="仿宋_GB2312" w:cs="Times New Roman"/>
          <w:sz w:val="28"/>
          <w:szCs w:val="28"/>
        </w:rPr>
        <w:t>村</w:t>
      </w:r>
      <w:r>
        <w:rPr>
          <w:rFonts w:ascii="仿宋_GB2312" w:hAnsi="Times New Roman" w:eastAsia="仿宋_GB2312" w:cs="Times New Roman"/>
          <w:sz w:val="28"/>
          <w:szCs w:val="28"/>
        </w:rPr>
        <w:t>入选全省美丽乡村50强。</w:t>
      </w:r>
      <w:r>
        <w:rPr>
          <w:rFonts w:hint="eastAsia" w:ascii="仿宋_GB2312" w:hAnsi="Times New Roman" w:eastAsia="仿宋_GB2312" w:cs="Times New Roman"/>
          <w:sz w:val="28"/>
          <w:szCs w:val="28"/>
        </w:rPr>
        <w:t xml:space="preserve">深入实施农村人居环境整治三年行动，扎实推进农村 </w:t>
      </w:r>
      <w:r>
        <w:rPr>
          <w:rFonts w:ascii="仿宋_GB2312" w:hAnsi="Times New Roman" w:eastAsia="仿宋_GB2312" w:cs="Times New Roman"/>
          <w:sz w:val="28"/>
          <w:szCs w:val="28"/>
        </w:rPr>
        <w:t>“三大革</w:t>
      </w:r>
      <w:r>
        <w:rPr>
          <w:rFonts w:hint="eastAsia" w:ascii="仿宋_GB2312" w:hAnsi="Times New Roman" w:eastAsia="仿宋_GB2312" w:cs="Times New Roman"/>
          <w:sz w:val="28"/>
          <w:szCs w:val="28"/>
        </w:rPr>
        <w:t>命”，通过实施城乡垃圾、污水处理P</w:t>
      </w:r>
      <w:r>
        <w:rPr>
          <w:rFonts w:ascii="仿宋_GB2312" w:hAnsi="Times New Roman" w:eastAsia="仿宋_GB2312" w:cs="Times New Roman"/>
          <w:sz w:val="28"/>
          <w:szCs w:val="28"/>
        </w:rPr>
        <w:t>PP</w:t>
      </w:r>
      <w:r>
        <w:rPr>
          <w:rFonts w:hint="eastAsia" w:ascii="仿宋_GB2312" w:hAnsi="Times New Roman" w:eastAsia="仿宋_GB2312" w:cs="Times New Roman"/>
          <w:sz w:val="28"/>
          <w:szCs w:val="28"/>
        </w:rPr>
        <w:t>项目，初步解决了农村“脏乱差”问题，累计</w:t>
      </w:r>
      <w:r>
        <w:rPr>
          <w:rFonts w:ascii="仿宋_GB2312" w:hAnsi="Times New Roman" w:eastAsia="仿宋_GB2312" w:cs="Times New Roman"/>
          <w:sz w:val="28"/>
          <w:szCs w:val="28"/>
        </w:rPr>
        <w:t>农村改厕9360户，农村生活垃圾处理率</w:t>
      </w:r>
      <w:r>
        <w:rPr>
          <w:rFonts w:hint="eastAsia" w:ascii="仿宋_GB2312" w:hAnsi="Times New Roman" w:eastAsia="仿宋_GB2312" w:cs="Times New Roman"/>
          <w:sz w:val="28"/>
          <w:szCs w:val="28"/>
        </w:rPr>
        <w:t>提升至</w:t>
      </w:r>
      <w:r>
        <w:rPr>
          <w:rFonts w:ascii="仿宋_GB2312" w:hAnsi="Times New Roman" w:eastAsia="仿宋_GB2312" w:cs="Times New Roman"/>
          <w:sz w:val="28"/>
          <w:szCs w:val="28"/>
        </w:rPr>
        <w:t>98.3%</w:t>
      </w:r>
      <w:r>
        <w:rPr>
          <w:rFonts w:hint="eastAsia" w:ascii="仿宋_GB2312" w:hAnsi="Times New Roman" w:eastAsia="仿宋_GB2312" w:cs="Times New Roman"/>
          <w:sz w:val="28"/>
          <w:szCs w:val="28"/>
        </w:rPr>
        <w:t>。</w:t>
      </w:r>
    </w:p>
    <w:p>
      <w:pPr>
        <w:pStyle w:val="3"/>
        <w:spacing w:before="120" w:after="120" w:line="240" w:lineRule="auto"/>
        <w:rPr>
          <w:rFonts w:ascii="宋体" w:hAnsi="宋体" w:eastAsia="宋体"/>
          <w:sz w:val="30"/>
          <w:szCs w:val="30"/>
        </w:rPr>
      </w:pPr>
      <w:bookmarkStart w:id="4" w:name="_Toc69314776"/>
      <w:r>
        <w:rPr>
          <w:rFonts w:hint="eastAsia" w:ascii="宋体" w:hAnsi="宋体" w:eastAsia="宋体"/>
          <w:sz w:val="30"/>
          <w:szCs w:val="30"/>
        </w:rPr>
        <w:t>（四）城乡建筑业转型成效明显</w:t>
      </w:r>
      <w:bookmarkEnd w:id="4"/>
    </w:p>
    <w:p>
      <w:pPr>
        <w:spacing w:line="576" w:lineRule="exact"/>
        <w:ind w:firstLine="562" w:firstLineChars="200"/>
        <w:rPr>
          <w:rFonts w:ascii="仿宋_GB2312" w:hAnsi="Times New Roman" w:eastAsia="仿宋_GB2312" w:cs="Times New Roman"/>
          <w:color w:val="FF0000"/>
          <w:sz w:val="28"/>
          <w:szCs w:val="28"/>
        </w:rPr>
      </w:pPr>
      <w:r>
        <w:rPr>
          <w:rFonts w:hint="eastAsia" w:ascii="仿宋_GB2312" w:hAnsi="Times New Roman" w:eastAsia="仿宋_GB2312" w:cs="Times New Roman"/>
          <w:b/>
          <w:sz w:val="28"/>
          <w:szCs w:val="28"/>
        </w:rPr>
        <w:t>建筑业规模显著扩大。</w:t>
      </w:r>
      <w:r>
        <w:rPr>
          <w:rFonts w:hint="eastAsia" w:ascii="仿宋_GB2312" w:hAnsi="Times New Roman" w:eastAsia="仿宋_GB2312" w:cs="Times New Roman"/>
          <w:sz w:val="28"/>
          <w:szCs w:val="28"/>
        </w:rPr>
        <w:t>通过政策扶持、要素保障等大力支持建筑业发展，</w:t>
      </w:r>
      <w:r>
        <w:rPr>
          <w:rFonts w:ascii="仿宋_GB2312" w:hAnsi="Times New Roman" w:eastAsia="仿宋_GB2312" w:cs="Times New Roman"/>
          <w:sz w:val="28"/>
          <w:szCs w:val="28"/>
        </w:rPr>
        <w:t>着力培育了一批规模较大、创新能力较强、市场占有率较高的骨干企业，支持引领行业发展。</w:t>
      </w:r>
      <w:r>
        <w:rPr>
          <w:rFonts w:hint="eastAsia" w:ascii="仿宋_GB2312" w:hAnsi="Times New Roman" w:eastAsia="仿宋_GB2312" w:cs="Times New Roman"/>
          <w:sz w:val="28"/>
          <w:szCs w:val="28"/>
        </w:rPr>
        <w:t>全县现有建筑企业</w:t>
      </w:r>
      <w:r>
        <w:rPr>
          <w:rFonts w:ascii="仿宋_GB2312" w:hAnsi="Times New Roman" w:eastAsia="仿宋_GB2312" w:cs="Times New Roman"/>
          <w:sz w:val="28"/>
          <w:szCs w:val="28"/>
        </w:rPr>
        <w:t>43家，其中施工总承包一级企业1家，专业承包一级企业1家，施工总承包二级企业7家，专业承包二级企业17家，施工总承包三级企业24家，专业承包三级企业5家，造价咨询2家，设计、监理、工程质量检测机构各1家。</w:t>
      </w:r>
    </w:p>
    <w:p>
      <w:pPr>
        <w:spacing w:line="576" w:lineRule="exact"/>
        <w:ind w:firstLine="562" w:firstLineChars="200"/>
        <w:rPr>
          <w:rFonts w:ascii="仿宋_GB2312" w:hAnsi="黑体" w:eastAsia="仿宋_GB2312" w:cs="楷体"/>
          <w:color w:val="000000"/>
          <w:sz w:val="28"/>
          <w:szCs w:val="28"/>
          <w:shd w:val="clear" w:color="auto" w:fill="FFFFFF"/>
        </w:rPr>
      </w:pPr>
      <w:r>
        <w:rPr>
          <w:rFonts w:hint="eastAsia" w:ascii="仿宋_GB2312" w:hAnsi="Times New Roman" w:eastAsia="仿宋_GB2312" w:cs="Times New Roman"/>
          <w:b/>
          <w:sz w:val="28"/>
          <w:szCs w:val="28"/>
        </w:rPr>
        <w:t>绿色建筑与装配式建筑加快推广。</w:t>
      </w:r>
      <w:r>
        <w:rPr>
          <w:rFonts w:hint="eastAsia" w:ascii="仿宋_GB2312" w:hAnsi="Times New Roman" w:eastAsia="仿宋_GB2312" w:cs="Times New Roman"/>
          <w:sz w:val="28"/>
          <w:szCs w:val="28"/>
        </w:rPr>
        <w:t>根据《关于推进池州市装配式建筑产业融入长三角一体化发展的实施意见》，东至县积极打造装配式建筑重点推进区域，将东至县东流装配式建筑产业集聚区打造为三大装配式建筑产业发展支撑区。大力发展绿色建筑、开展绿色施工，推动装配式建筑等新型建造方式等，努力实现建筑垃圾减量化排放与建筑业转型升级、培育新经济增长点相结合，创造多赢局面。至“十三五”末，</w:t>
      </w:r>
      <w:r>
        <w:rPr>
          <w:rFonts w:hint="eastAsia" w:ascii="仿宋_GB2312" w:hAnsi="宋体" w:eastAsia="仿宋_GB2312" w:cs="宋体"/>
          <w:sz w:val="28"/>
          <w:szCs w:val="28"/>
        </w:rPr>
        <w:t>全县共有6家商砼公司，年生产商混34万方；2家水泥厂，年生产水泥18万吨；7家新型墙材企业，生产标砖总计10.2亿标块；产品经省市抽样检测，合格率为100%，有力保障了全县建筑市场需求。</w:t>
      </w:r>
      <w:r>
        <w:rPr>
          <w:rFonts w:hint="eastAsia" w:ascii="仿宋_GB2312" w:hAnsi="Times New Roman" w:eastAsia="仿宋_GB2312" w:cs="Times New Roman"/>
          <w:sz w:val="28"/>
          <w:szCs w:val="28"/>
        </w:rPr>
        <w:t>“十三五”期间全县水泥年产</w:t>
      </w:r>
      <w:r>
        <w:rPr>
          <w:rFonts w:ascii="仿宋_GB2312" w:hAnsi="Times New Roman" w:eastAsia="仿宋_GB2312" w:cs="Times New Roman"/>
          <w:sz w:val="28"/>
          <w:szCs w:val="28"/>
        </w:rPr>
        <w:t>18万吨，商品混凝土年产34万</w:t>
      </w:r>
      <w:r>
        <w:rPr>
          <w:rFonts w:hint="eastAsia" w:ascii="仿宋_GB2312" w:hAnsi="Times New Roman" w:eastAsia="仿宋_GB2312" w:cs="Times New Roman"/>
          <w:sz w:val="28"/>
          <w:szCs w:val="28"/>
        </w:rPr>
        <w:t>立方米</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折标砖产量合计约10.2亿块。累计节约土地1685亩，节约能耗约6.3万吨，减少S</w:t>
      </w:r>
      <w:r>
        <w:rPr>
          <w:rFonts w:ascii="仿宋_GB2312" w:hAnsi="Times New Roman" w:eastAsia="仿宋_GB2312" w:cs="Times New Roman"/>
          <w:sz w:val="28"/>
          <w:szCs w:val="28"/>
        </w:rPr>
        <w:t>O</w:t>
      </w:r>
      <w:r>
        <w:rPr>
          <w:rFonts w:ascii="仿宋_GB2312" w:hAnsi="Times New Roman" w:eastAsia="仿宋_GB2312" w:cs="Times New Roman"/>
          <w:sz w:val="28"/>
          <w:szCs w:val="28"/>
          <w:vertAlign w:val="subscript"/>
        </w:rPr>
        <w:t>2</w:t>
      </w:r>
      <w:r>
        <w:rPr>
          <w:rFonts w:hint="eastAsia" w:ascii="仿宋_GB2312" w:hAnsi="Times New Roman" w:eastAsia="仿宋_GB2312" w:cs="Times New Roman"/>
          <w:sz w:val="28"/>
          <w:szCs w:val="28"/>
        </w:rPr>
        <w:t>排放约1544吨，</w:t>
      </w:r>
      <w:r>
        <w:rPr>
          <w:rFonts w:ascii="仿宋_GB2312" w:hAnsi="Times New Roman" w:eastAsia="仿宋_GB2312" w:cs="Times New Roman"/>
          <w:sz w:val="28"/>
          <w:szCs w:val="28"/>
        </w:rPr>
        <w:t>CO</w:t>
      </w:r>
      <w:r>
        <w:rPr>
          <w:rFonts w:ascii="仿宋_GB2312" w:hAnsi="Times New Roman" w:eastAsia="仿宋_GB2312" w:cs="Times New Roman"/>
          <w:sz w:val="28"/>
          <w:szCs w:val="28"/>
          <w:vertAlign w:val="subscript"/>
        </w:rPr>
        <w:t>2</w:t>
      </w:r>
      <w:r>
        <w:rPr>
          <w:rFonts w:ascii="仿宋_GB2312" w:hAnsi="Times New Roman" w:eastAsia="仿宋_GB2312" w:cs="Times New Roman"/>
          <w:sz w:val="28"/>
          <w:szCs w:val="28"/>
        </w:rPr>
        <w:t>排放</w:t>
      </w:r>
      <w:r>
        <w:rPr>
          <w:rFonts w:hint="eastAsia" w:ascii="仿宋_GB2312" w:hAnsi="Times New Roman" w:eastAsia="仿宋_GB2312" w:cs="Times New Roman"/>
          <w:sz w:val="28"/>
          <w:szCs w:val="28"/>
        </w:rPr>
        <w:t>约</w:t>
      </w:r>
      <w:r>
        <w:rPr>
          <w:rFonts w:ascii="仿宋_GB2312" w:hAnsi="Times New Roman" w:eastAsia="仿宋_GB2312" w:cs="Times New Roman"/>
          <w:sz w:val="28"/>
          <w:szCs w:val="28"/>
        </w:rPr>
        <w:t>19</w:t>
      </w:r>
      <w:r>
        <w:rPr>
          <w:rFonts w:hint="eastAsia" w:ascii="仿宋_GB2312" w:hAnsi="Times New Roman" w:eastAsia="仿宋_GB2312" w:cs="Times New Roman"/>
          <w:sz w:val="28"/>
          <w:szCs w:val="28"/>
        </w:rPr>
        <w:t>万吨。</w:t>
      </w:r>
    </w:p>
    <w:p>
      <w:pPr>
        <w:pStyle w:val="3"/>
        <w:spacing w:before="120" w:after="120" w:line="240" w:lineRule="auto"/>
        <w:ind w:firstLine="301" w:firstLineChars="100"/>
        <w:rPr>
          <w:rFonts w:ascii="宋体" w:hAnsi="宋体" w:eastAsia="宋体"/>
          <w:sz w:val="30"/>
          <w:szCs w:val="30"/>
        </w:rPr>
      </w:pPr>
      <w:bookmarkStart w:id="5" w:name="_Toc69314777"/>
      <w:r>
        <w:rPr>
          <w:rFonts w:hint="eastAsia" w:ascii="宋体" w:hAnsi="宋体" w:eastAsia="宋体"/>
          <w:sz w:val="30"/>
          <w:szCs w:val="30"/>
        </w:rPr>
        <w:t>（五）城乡基层治理水平显著提升</w:t>
      </w:r>
      <w:bookmarkEnd w:id="5"/>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智慧城市建设积极推动。</w:t>
      </w:r>
      <w:r>
        <w:rPr>
          <w:rFonts w:hint="eastAsia" w:ascii="仿宋_GB2312" w:hAnsi="Times New Roman" w:eastAsia="仿宋_GB2312" w:cs="Times New Roman"/>
          <w:sz w:val="28"/>
          <w:szCs w:val="28"/>
        </w:rPr>
        <w:t>建成“三个中心，两个平台、三个领域应用，一个新型产业”的智慧城市综合体系，推进信息基础设施能级显著提高、智慧治理体系基本形成、民生服务智慧应用成效显著、智慧经济业态蓬勃发展。智慧城市研究院挂牌运营，在全市乃至全省县（区）尚属首家。以智慧工地为抓手，实现农民工实名制和工资支付监管、视屏监控、车辆未冲洗抓拍和扬尘在线监测等，利用信息化手段实现监管模式的创新，提高建筑工地质量安全监管，提升东至县建设施工现场精细化和现代化管理水平。</w:t>
      </w:r>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建设质量安全防护水平不断提升。</w:t>
      </w:r>
      <w:r>
        <w:rPr>
          <w:rFonts w:hint="eastAsia" w:ascii="仿宋_GB2312" w:hAnsi="Times New Roman" w:eastAsia="仿宋_GB2312" w:cs="Times New Roman"/>
          <w:sz w:val="28"/>
          <w:szCs w:val="28"/>
        </w:rPr>
        <w:t>结合安全隐患排查治理和住宅工程常见质量问题防治，全面推进建筑工程施工质量管理标准化和安全文明示范化工作。“十三五”期间</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县污水处理厂厂区工程、县市民文化中心工程和县市民文化公园先后获得“黄山杯”优质工程奖，县人民医院门诊楼等6项工程先后获得</w:t>
      </w:r>
      <w:r>
        <w:rPr>
          <w:rFonts w:ascii="仿宋_GB2312" w:hAnsi="Times New Roman" w:eastAsia="仿宋_GB2312" w:cs="Times New Roman"/>
          <w:sz w:val="28"/>
          <w:szCs w:val="28"/>
        </w:rPr>
        <w:t>AA级“安全文明工地”称号。</w:t>
      </w:r>
      <w:r>
        <w:rPr>
          <w:rFonts w:hint="eastAsia" w:ascii="仿宋_GB2312" w:hAnsi="Times New Roman" w:eastAsia="仿宋_GB2312" w:cs="Times New Roman"/>
          <w:sz w:val="28"/>
          <w:szCs w:val="28"/>
        </w:rPr>
        <w:t>累计获得A</w:t>
      </w:r>
      <w:r>
        <w:rPr>
          <w:rFonts w:ascii="仿宋_GB2312" w:hAnsi="Times New Roman" w:eastAsia="仿宋_GB2312" w:cs="Times New Roman"/>
          <w:sz w:val="28"/>
          <w:szCs w:val="28"/>
        </w:rPr>
        <w:t>A</w:t>
      </w:r>
      <w:r>
        <w:rPr>
          <w:rFonts w:hint="eastAsia" w:ascii="仿宋_GB2312" w:hAnsi="Times New Roman" w:eastAsia="仿宋_GB2312" w:cs="Times New Roman"/>
          <w:sz w:val="28"/>
          <w:szCs w:val="28"/>
        </w:rPr>
        <w:t>级“施工质量标准化示范工程”称号1项，省级“建筑安全生产标准化示范工地”称号5项，市级“建设工程施工质量标准化示范工程”称号10项，市级“建筑安全生产标准化示范工程” 称号14项，市级优质工程“九华山杯”1项。共3人次先后获得池州工匠（技艺传承人）系列技能大赛一、二等奖，并获得池州市“徽匠标兵”、“五一”劳动奖章和“技术能手”等多个荣誉称号。积极</w:t>
      </w:r>
      <w:r>
        <w:rPr>
          <w:rFonts w:ascii="仿宋_GB2312" w:hAnsi="Times New Roman" w:eastAsia="仿宋_GB2312" w:cs="Times New Roman"/>
          <w:sz w:val="28"/>
          <w:szCs w:val="28"/>
        </w:rPr>
        <w:t>开展白蚁防治服务，</w:t>
      </w:r>
      <w:r>
        <w:rPr>
          <w:rFonts w:hint="eastAsia" w:ascii="仿宋_GB2312" w:hAnsi="Times New Roman" w:eastAsia="仿宋_GB2312" w:cs="Times New Roman"/>
          <w:sz w:val="28"/>
          <w:szCs w:val="28"/>
        </w:rPr>
        <w:t>累计</w:t>
      </w:r>
      <w:r>
        <w:rPr>
          <w:rFonts w:ascii="仿宋_GB2312" w:hAnsi="Times New Roman" w:eastAsia="仿宋_GB2312" w:cs="Times New Roman"/>
          <w:sz w:val="28"/>
          <w:szCs w:val="28"/>
        </w:rPr>
        <w:t>预防面积199万</w:t>
      </w:r>
      <w:r>
        <w:rPr>
          <w:rFonts w:hint="eastAsia" w:ascii="仿宋_GB2312" w:hAnsi="Times New Roman" w:eastAsia="仿宋_GB2312" w:cs="Times New Roman"/>
          <w:sz w:val="28"/>
          <w:szCs w:val="28"/>
        </w:rPr>
        <w:t>平方米</w:t>
      </w:r>
      <w:r>
        <w:rPr>
          <w:rFonts w:ascii="仿宋_GB2312" w:hAnsi="Times New Roman" w:eastAsia="仿宋_GB2312" w:cs="Times New Roman"/>
          <w:sz w:val="28"/>
          <w:szCs w:val="28"/>
        </w:rPr>
        <w:t>，年均50万</w:t>
      </w:r>
      <w:r>
        <w:rPr>
          <w:rFonts w:hint="eastAsia" w:ascii="仿宋_GB2312" w:hAnsi="Times New Roman" w:eastAsia="仿宋_GB2312" w:cs="Times New Roman"/>
          <w:sz w:val="28"/>
          <w:szCs w:val="28"/>
        </w:rPr>
        <w:t>平方米</w:t>
      </w:r>
      <w:r>
        <w:rPr>
          <w:rFonts w:ascii="仿宋_GB2312" w:hAnsi="Times New Roman" w:eastAsia="仿宋_GB2312" w:cs="Times New Roman"/>
          <w:sz w:val="28"/>
          <w:szCs w:val="28"/>
        </w:rPr>
        <w:t>，灭治168户，签订白蚁防治协议书38份，发放《白蚁防治合格证》55份。</w:t>
      </w:r>
      <w:r>
        <w:rPr>
          <w:rFonts w:hint="eastAsia" w:ascii="仿宋_GB2312" w:hAnsi="Times New Roman" w:eastAsia="仿宋_GB2312" w:cs="Times New Roman"/>
          <w:sz w:val="28"/>
          <w:szCs w:val="28"/>
        </w:rPr>
        <w:t>逐步加大社会宣传力度和白蚁防治力度，采取有效措施，扩大防治范围。</w:t>
      </w:r>
    </w:p>
    <w:p>
      <w:pPr>
        <w:spacing w:line="576" w:lineRule="exact"/>
        <w:ind w:firstLine="562" w:firstLineChars="200"/>
        <w:rPr>
          <w:rFonts w:ascii="仿宋_GB2312" w:hAnsi="宋体" w:eastAsia="仿宋_GB2312" w:cs="仿宋_GB2312"/>
          <w:sz w:val="28"/>
          <w:szCs w:val="28"/>
        </w:rPr>
      </w:pPr>
      <w:r>
        <w:rPr>
          <w:rFonts w:hint="eastAsia" w:ascii="仿宋_GB2312" w:hAnsi="Times New Roman" w:eastAsia="仿宋_GB2312" w:cs="Times New Roman"/>
          <w:b/>
          <w:sz w:val="28"/>
          <w:szCs w:val="28"/>
        </w:rPr>
        <w:t>基层治理改革深入实施。</w:t>
      </w:r>
      <w:r>
        <w:rPr>
          <w:rFonts w:hint="eastAsia" w:ascii="仿宋_GB2312" w:hAnsi="宋体" w:eastAsia="仿宋_GB2312" w:cs="仿宋_GB2312"/>
          <w:sz w:val="28"/>
          <w:szCs w:val="28"/>
        </w:rPr>
        <w:t>全面贯彻落实国家营商环境条例，等高对接长三角区域营商环境，实施新一轮营商环境提升行动，推动审批效率再提速、政策供给再完善、竞争环境再优化，进一步简化优化行政审批流程，实行“前台综合受理、后台分类审批、材料网上流转、窗口统一发件”的受理模式</w:t>
      </w:r>
      <w:r>
        <w:rPr>
          <w:rFonts w:ascii="仿宋_GB2312" w:hAnsi="宋体" w:eastAsia="仿宋_GB2312" w:cs="仿宋_GB2312"/>
          <w:sz w:val="28"/>
          <w:szCs w:val="28"/>
        </w:rPr>
        <w:t>,</w:t>
      </w:r>
      <w:r>
        <w:rPr>
          <w:rFonts w:hint="eastAsia" w:ascii="仿宋_GB2312" w:hAnsi="宋体" w:eastAsia="仿宋_GB2312" w:cs="仿宋_GB2312"/>
          <w:sz w:val="28"/>
          <w:szCs w:val="28"/>
        </w:rPr>
        <w:t>提升审批效率，优化营商环境，真正实现了只进一扇门，服务更加方便、快捷、高效。行政审批耗时从120个工作日降低到88个工作日。纵深开展“四送一服”，常态长效帮助解决企业困难，激发企业发展新动能，积极构建亲清政商关系。加快承接建设工程消防审查验收备案工作，积极进行人员配置，加大和相关部门的沟通力度，认真组织学习有关法规，制订工作流程和制度，严格审理消防验收申请材料。</w:t>
      </w:r>
    </w:p>
    <w:p>
      <w:pPr>
        <w:pStyle w:val="2"/>
        <w:spacing w:before="156" w:beforeLines="50" w:after="156" w:afterLines="50"/>
        <w:rPr>
          <w:rFonts w:ascii="黑体" w:hAnsi="黑体" w:eastAsia="黑体"/>
          <w:sz w:val="32"/>
          <w:szCs w:val="32"/>
        </w:rPr>
      </w:pPr>
      <w:bookmarkStart w:id="6" w:name="_Toc69314778"/>
      <w:r>
        <w:rPr>
          <w:rFonts w:hint="eastAsia" w:ascii="黑体" w:hAnsi="黑体" w:eastAsia="黑体"/>
          <w:sz w:val="32"/>
          <w:szCs w:val="32"/>
        </w:rPr>
        <w:t>二、</w:t>
      </w:r>
      <w:r>
        <w:rPr>
          <w:rFonts w:ascii="黑体" w:hAnsi="黑体" w:eastAsia="黑体"/>
          <w:sz w:val="32"/>
          <w:szCs w:val="32"/>
        </w:rPr>
        <w:t>“</w:t>
      </w:r>
      <w:r>
        <w:rPr>
          <w:rFonts w:hint="eastAsia" w:ascii="黑体" w:hAnsi="黑体" w:eastAsia="黑体"/>
          <w:sz w:val="32"/>
          <w:szCs w:val="32"/>
        </w:rPr>
        <w:t>十四五</w:t>
      </w:r>
      <w:r>
        <w:rPr>
          <w:rFonts w:ascii="黑体" w:hAnsi="黑体" w:eastAsia="黑体"/>
          <w:sz w:val="32"/>
          <w:szCs w:val="32"/>
        </w:rPr>
        <w:t>”</w:t>
      </w:r>
      <w:r>
        <w:rPr>
          <w:rFonts w:hint="eastAsia" w:ascii="黑体" w:hAnsi="黑体" w:eastAsia="黑体"/>
          <w:sz w:val="32"/>
          <w:szCs w:val="32"/>
        </w:rPr>
        <w:t>战略环境研判</w:t>
      </w:r>
      <w:bookmarkEnd w:id="6"/>
    </w:p>
    <w:p>
      <w:pPr>
        <w:pStyle w:val="3"/>
        <w:spacing w:before="120" w:after="120" w:line="240" w:lineRule="auto"/>
        <w:rPr>
          <w:rFonts w:ascii="宋体" w:hAnsi="宋体" w:eastAsia="宋体"/>
          <w:sz w:val="30"/>
          <w:szCs w:val="30"/>
        </w:rPr>
      </w:pPr>
      <w:bookmarkStart w:id="7" w:name="_Toc69314779"/>
      <w:r>
        <w:rPr>
          <w:rFonts w:hint="eastAsia" w:ascii="宋体" w:hAnsi="宋体" w:eastAsia="宋体"/>
          <w:sz w:val="30"/>
          <w:szCs w:val="30"/>
        </w:rPr>
        <w:t>（一）国家战略</w:t>
      </w:r>
      <w:bookmarkEnd w:id="7"/>
    </w:p>
    <w:p>
      <w:pPr>
        <w:spacing w:line="576"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在后疫情时代，构建以国内大循环为主体、国内国际双循环相互促进的新发展格局，是我国“十四五”时期最主要的发展战略。从外部环境看，境外疫情快速蔓延，叠加经济全球化遭遇逆流，一些国家保护主义和单边主义盛行。从内部运行看，我国经济正处在转变发展方式、优化经济结构、转换增长动力的攻关期，经济发展前景向好，但也面临着结构性、体制性、周期性问题相互交织所带来的困难和挑战，加上疫情冲击，目前我国经济运行面临较大压力。从发展机遇看，新一轮科技革命和产业变革方兴未艾，正在重构全球创新版图，重塑全球经济结构。因此，加快构建以国内大循环为主体、国内国际双循环相互促进的发展新格局，建立疫情防控和经济社会发展工作中长期协调机制，是党中央立足于世界正经历百年未有之大变局，面对中国经济转向高质量发展阶段出现的矛盾和问题，结合自身优势和特点，综合作出的强国战略。持续扩大国内需求，克服疫情影响，扩大最终消费，为居民消费升级创造条件。积极扩大有效投资，鼓励社会资本参与。加快新型基础设施建设，深入推进重大区域发展战略，加快国家重大战略项目实施步伐。以新型城镇化带动投资和消费需求，推动城市群、都市圈一体化发展体制机制创新。安徽省在国家战略中提出的目标是“打造成为国内大循环的重要节点、国内国际双循环的战略链接”。</w:t>
      </w:r>
    </w:p>
    <w:p>
      <w:pPr>
        <w:pStyle w:val="3"/>
        <w:spacing w:before="120" w:after="120" w:line="240" w:lineRule="auto"/>
        <w:rPr>
          <w:rFonts w:ascii="宋体" w:hAnsi="宋体" w:eastAsia="宋体"/>
          <w:sz w:val="30"/>
          <w:szCs w:val="30"/>
        </w:rPr>
      </w:pPr>
      <w:bookmarkStart w:id="8" w:name="_Toc69314780"/>
      <w:r>
        <w:rPr>
          <w:rFonts w:hint="eastAsia" w:ascii="宋体" w:hAnsi="宋体" w:eastAsia="宋体"/>
          <w:sz w:val="30"/>
          <w:szCs w:val="30"/>
        </w:rPr>
        <w:t>（二）区域战略</w:t>
      </w:r>
      <w:bookmarkEnd w:id="8"/>
    </w:p>
    <w:p>
      <w:pPr>
        <w:spacing w:line="576"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习近平总书记在扎实推进长三角一体化发展座谈会上提出“紧扣一体化和高质量两个关键词，着力实施长三角一体化”。 深刻领会</w:t>
      </w:r>
      <w:r>
        <w:rPr>
          <w:rFonts w:hint="eastAsia" w:ascii="仿宋_GB2312" w:hAnsi="Times New Roman" w:eastAsia="仿宋_GB2312" w:cs="Times New Roman"/>
          <w:sz w:val="28"/>
          <w:szCs w:val="28"/>
          <w:lang w:val="en-US" w:eastAsia="zh-CN"/>
        </w:rPr>
        <w:t>习近平</w:t>
      </w:r>
      <w:r>
        <w:rPr>
          <w:rFonts w:hint="eastAsia" w:ascii="仿宋_GB2312" w:hAnsi="Times New Roman" w:eastAsia="仿宋_GB2312" w:cs="Times New Roman"/>
          <w:sz w:val="28"/>
          <w:szCs w:val="28"/>
        </w:rPr>
        <w:t>总书记的讲话精神，紧扣一体化和高质量抓好重点工作，推动长三角一体化发展不断取得成效。要以一体化的思路和举措打破行政壁垒、提高政策协同，让要素在长三角乃至更大范围畅通流动，从而发挥各地区比较优势，实现更合理分工，凝聚更强大的合力，促进高质量发展。要深刻把握发展的阶段性新特征新要求，坚持把做实做强做优实体经济作为主攻方向，一手抓传统产业转型升级，一手抓战略性新兴产业发展壮大，推动制造业加速向数字化、网络化、智能化发展</w:t>
      </w:r>
      <w:r>
        <w:rPr>
          <w:rFonts w:ascii="仿宋_GB2312" w:hAnsi="Times New Roman" w:eastAsia="仿宋_GB2312" w:cs="Times New Roman"/>
          <w:sz w:val="28"/>
          <w:szCs w:val="28"/>
        </w:rPr>
        <w:t>,提高产业链供应链稳定性和现代化水平。要牢牢把握扩大内需这个战略基点，努力探索形成新发展格局的有效路径。要对标世界一流,加强前沿探索和前瞻布局，加大关键核心技术攻坚力度。要发挥好改</w:t>
      </w:r>
      <w:r>
        <w:rPr>
          <w:rFonts w:hint="eastAsia" w:ascii="仿宋_GB2312" w:hAnsi="Times New Roman" w:eastAsia="仿宋_GB2312" w:cs="Times New Roman"/>
          <w:sz w:val="28"/>
          <w:szCs w:val="28"/>
        </w:rPr>
        <w:t>革的突破和先导作用，依靠改革破除发展瓶颈、汇聚发展优势、增强发展动力。</w:t>
      </w:r>
    </w:p>
    <w:p>
      <w:pPr>
        <w:spacing w:line="576"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座谈会上，习近平总书记明确提出要从“推动长三角区域经济高质量发展”、“提升长三角城市发展质量”、“夯实长三角地区绿色发展基础”、“促进基本公共服务便利共享”等方面深入推进长三角一体化发展。其中住房和城乡建设事业应重点落实“提升长三角城市发展质量”和“夯实长三角地区绿色发展基础”，从老旧小区改造、历史文化保护、城市风貌塑造、房地产市场平稳、</w:t>
      </w:r>
      <w:r>
        <w:rPr>
          <w:rFonts w:ascii="仿宋_GB2312" w:hAnsi="Times New Roman" w:eastAsia="仿宋_GB2312" w:cs="Times New Roman"/>
          <w:sz w:val="28"/>
          <w:szCs w:val="28"/>
        </w:rPr>
        <w:t>保护修复长江生态、推进城镇污水垃圾处理</w:t>
      </w:r>
      <w:r>
        <w:rPr>
          <w:rFonts w:hint="eastAsia" w:ascii="仿宋_GB2312" w:hAnsi="Times New Roman" w:eastAsia="仿宋_GB2312" w:cs="Times New Roman"/>
          <w:sz w:val="28"/>
          <w:szCs w:val="28"/>
        </w:rPr>
        <w:t>和</w:t>
      </w:r>
      <w:r>
        <w:rPr>
          <w:rFonts w:ascii="仿宋_GB2312" w:hAnsi="Times New Roman" w:eastAsia="仿宋_GB2312" w:cs="Times New Roman"/>
          <w:sz w:val="28"/>
          <w:szCs w:val="28"/>
        </w:rPr>
        <w:t>有机废物处理利用</w:t>
      </w:r>
      <w:r>
        <w:rPr>
          <w:rFonts w:hint="eastAsia" w:ascii="仿宋_GB2312" w:hAnsi="Times New Roman" w:eastAsia="仿宋_GB2312" w:cs="Times New Roman"/>
          <w:sz w:val="28"/>
          <w:szCs w:val="28"/>
        </w:rPr>
        <w:t>等方面积极响应。同时协调落实其他方面发展要求，在建筑业发展领域积极响应经济高质量发展和科技攻关</w:t>
      </w:r>
      <w:r>
        <w:rPr>
          <w:rFonts w:ascii="仿宋_GB2312" w:hAnsi="Times New Roman" w:eastAsia="仿宋_GB2312" w:cs="Times New Roman"/>
          <w:sz w:val="28"/>
          <w:szCs w:val="28"/>
        </w:rPr>
        <w:t>，在乡村建设管理领域</w:t>
      </w:r>
      <w:r>
        <w:rPr>
          <w:rFonts w:hint="eastAsia" w:ascii="仿宋_GB2312" w:hAnsi="Times New Roman" w:eastAsia="仿宋_GB2312" w:cs="Times New Roman"/>
          <w:sz w:val="28"/>
          <w:szCs w:val="28"/>
        </w:rPr>
        <w:t>响应</w:t>
      </w:r>
      <w:r>
        <w:rPr>
          <w:rFonts w:ascii="仿宋_GB2312" w:hAnsi="Times New Roman" w:eastAsia="仿宋_GB2312" w:cs="Times New Roman"/>
          <w:sz w:val="28"/>
          <w:szCs w:val="28"/>
        </w:rPr>
        <w:t>增加欠发达地区高质量发展动能、促进基本公共服务便利共享等要求。</w:t>
      </w:r>
    </w:p>
    <w:p>
      <w:pPr>
        <w:pStyle w:val="3"/>
        <w:spacing w:before="120" w:after="120" w:line="240" w:lineRule="auto"/>
        <w:rPr>
          <w:rFonts w:ascii="宋体" w:hAnsi="宋体" w:eastAsia="宋体"/>
          <w:sz w:val="30"/>
          <w:szCs w:val="30"/>
        </w:rPr>
      </w:pPr>
      <w:bookmarkStart w:id="9" w:name="_Toc69314781"/>
      <w:r>
        <w:rPr>
          <w:rFonts w:hint="eastAsia" w:ascii="宋体" w:hAnsi="宋体" w:eastAsia="宋体"/>
          <w:sz w:val="30"/>
          <w:szCs w:val="30"/>
        </w:rPr>
        <w:t>（三）安徽战略</w:t>
      </w:r>
      <w:bookmarkEnd w:id="9"/>
    </w:p>
    <w:p>
      <w:pPr>
        <w:spacing w:line="576"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深入贯彻习近平总书记考察安徽重要讲话指示精神，明确“十四五”期间的核心要义：</w:t>
      </w:r>
      <w:r>
        <w:rPr>
          <w:rFonts w:ascii="仿宋_GB2312" w:hAnsi="Times New Roman" w:eastAsia="仿宋_GB2312" w:cs="Times New Roman"/>
          <w:sz w:val="28"/>
          <w:szCs w:val="28"/>
        </w:rPr>
        <w:t>强化</w:t>
      </w:r>
      <w:r>
        <w:rPr>
          <w:rFonts w:hint="eastAsia" w:ascii="仿宋_GB2312" w:hAnsi="Times New Roman" w:eastAsia="仿宋_GB2312" w:cs="Times New Roman"/>
          <w:sz w:val="28"/>
          <w:szCs w:val="28"/>
        </w:rPr>
        <w:t>“</w:t>
      </w:r>
      <w:r>
        <w:rPr>
          <w:rFonts w:ascii="仿宋_GB2312" w:hAnsi="Times New Roman" w:eastAsia="仿宋_GB2312" w:cs="Times New Roman"/>
          <w:sz w:val="28"/>
          <w:szCs w:val="28"/>
        </w:rPr>
        <w:t>两个坚持</w:t>
      </w:r>
      <w:r>
        <w:rPr>
          <w:rFonts w:hint="eastAsia" w:ascii="仿宋_GB2312" w:hAnsi="Times New Roman" w:eastAsia="仿宋_GB2312" w:cs="Times New Roman"/>
          <w:sz w:val="28"/>
          <w:szCs w:val="28"/>
        </w:rPr>
        <w:t>”</w:t>
      </w:r>
      <w:r>
        <w:rPr>
          <w:rFonts w:ascii="仿宋_GB2312" w:hAnsi="Times New Roman" w:eastAsia="仿宋_GB2312" w:cs="Times New Roman"/>
          <w:sz w:val="28"/>
          <w:szCs w:val="28"/>
        </w:rPr>
        <w:t>，实现</w:t>
      </w:r>
      <w:r>
        <w:rPr>
          <w:rFonts w:hint="eastAsia" w:ascii="仿宋_GB2312" w:hAnsi="Times New Roman" w:eastAsia="仿宋_GB2312" w:cs="Times New Roman"/>
          <w:sz w:val="28"/>
          <w:szCs w:val="28"/>
        </w:rPr>
        <w:t>“</w:t>
      </w:r>
      <w:r>
        <w:rPr>
          <w:rFonts w:ascii="仿宋_GB2312" w:hAnsi="Times New Roman" w:eastAsia="仿宋_GB2312" w:cs="Times New Roman"/>
          <w:sz w:val="28"/>
          <w:szCs w:val="28"/>
        </w:rPr>
        <w:t>两个更大</w:t>
      </w:r>
      <w:r>
        <w:rPr>
          <w:rFonts w:hint="eastAsia" w:ascii="仿宋_GB2312" w:hAnsi="Times New Roman" w:eastAsia="仿宋_GB2312" w:cs="Times New Roman"/>
          <w:sz w:val="28"/>
          <w:szCs w:val="28"/>
        </w:rPr>
        <w:t>”</w:t>
      </w:r>
      <w:r>
        <w:rPr>
          <w:rFonts w:ascii="仿宋_GB2312" w:hAnsi="Times New Roman" w:eastAsia="仿宋_GB2312" w:cs="Times New Roman"/>
          <w:sz w:val="28"/>
          <w:szCs w:val="28"/>
        </w:rPr>
        <w:t>，奋力推动新时代美好安徽跨越式发展。</w:t>
      </w:r>
      <w:r>
        <w:rPr>
          <w:rFonts w:hint="eastAsia" w:ascii="仿宋_GB2312" w:hAnsi="Times New Roman" w:eastAsia="仿宋_GB2312" w:cs="Times New Roman"/>
          <w:sz w:val="28"/>
          <w:szCs w:val="28"/>
        </w:rPr>
        <w:t>“两个坚持”，</w:t>
      </w:r>
      <w:r>
        <w:rPr>
          <w:rFonts w:ascii="仿宋_GB2312" w:hAnsi="Times New Roman" w:eastAsia="仿宋_GB2312" w:cs="Times New Roman"/>
          <w:sz w:val="28"/>
          <w:szCs w:val="28"/>
        </w:rPr>
        <w:t>一是坚持改革</w:t>
      </w:r>
      <w:r>
        <w:rPr>
          <w:rFonts w:hint="eastAsia" w:ascii="仿宋_GB2312" w:hAnsi="Times New Roman" w:eastAsia="仿宋_GB2312" w:cs="Times New Roman"/>
          <w:sz w:val="28"/>
          <w:szCs w:val="28"/>
        </w:rPr>
        <w:t>开放，拿出更大勇气破除深层次体制机制障碍，拿出更多举措推进更高水平对外开放</w:t>
      </w:r>
      <w:r>
        <w:rPr>
          <w:rFonts w:ascii="仿宋_GB2312" w:hAnsi="Times New Roman" w:eastAsia="仿宋_GB2312" w:cs="Times New Roman"/>
          <w:sz w:val="28"/>
          <w:szCs w:val="28"/>
        </w:rPr>
        <w:t>;二是坚持高质量发展，</w:t>
      </w:r>
      <w:r>
        <w:rPr>
          <w:rFonts w:hint="eastAsia" w:ascii="仿宋_GB2312" w:hAnsi="Times New Roman" w:eastAsia="仿宋_GB2312" w:cs="Times New Roman"/>
          <w:sz w:val="28"/>
          <w:szCs w:val="28"/>
        </w:rPr>
        <w:t>实现更高质量、更有效率、更加公平、更可持续、更为安全的发展。“两个更大”一是在构建新发展格局中实现更大作为，贯彻中央战略决策，充分利用两个市场、两种资源，努力把安徽打造成为国内大循环的重要节点、国内国际双循环的战略链接</w:t>
      </w:r>
      <w:r>
        <w:rPr>
          <w:rFonts w:ascii="仿宋_GB2312" w:hAnsi="Times New Roman" w:eastAsia="仿宋_GB2312" w:cs="Times New Roman"/>
          <w:sz w:val="28"/>
          <w:szCs w:val="28"/>
        </w:rPr>
        <w:t>;二是在加快建设美好安</w:t>
      </w:r>
      <w:r>
        <w:rPr>
          <w:rFonts w:hint="eastAsia" w:ascii="仿宋_GB2312" w:hAnsi="Times New Roman" w:eastAsia="仿宋_GB2312" w:cs="Times New Roman"/>
          <w:sz w:val="28"/>
          <w:szCs w:val="28"/>
        </w:rPr>
        <w:t>徽上取得新的更大进展，推动全省综合实力实现新的更大跃升，经济结构实现新的更大优化，改革开放实现新的更大突破，生态环境实现新的更大改善，人民生活实现新的更大进步，社会治理体系和治理能力现代化实现新的更大提升。</w:t>
      </w:r>
    </w:p>
    <w:p>
      <w:pPr>
        <w:spacing w:line="576" w:lineRule="exact"/>
        <w:ind w:firstLine="560" w:firstLineChars="200"/>
        <w:rPr>
          <w:rFonts w:ascii="仿宋_GB2312" w:hAnsi="Times New Roman" w:eastAsia="仿宋_GB2312" w:cs="Times New Roman"/>
          <w:sz w:val="32"/>
          <w:szCs w:val="32"/>
        </w:rPr>
      </w:pPr>
      <w:r>
        <w:rPr>
          <w:rFonts w:hint="eastAsia" w:ascii="仿宋_GB2312" w:hAnsi="Times New Roman" w:eastAsia="仿宋_GB2312" w:cs="Times New Roman"/>
          <w:sz w:val="28"/>
          <w:szCs w:val="28"/>
        </w:rPr>
        <w:t>“优化和稳定产业链供应链构建创新型现代产业新体系”，准确把握形势，有效应对挑战，善于抢抓机遇，充分发挥优势，进一步提高我省产业链供应链稳定性和现代化水平，提升供给体系对国内需求的适配性，努力在构建新发展格局中实现更大作为，在加快建设美好安徽上取得新的更大进展。要坚定不移把推动制造业高质量发展作为重中之重，着力补短板、锻长板，加快打造具有重要影响力的新兴产业聚集地，推动我省由制造大省向制造强省迈进。要聚焦突出短板，强化协同创新，着力突破一批“卡脖子”关键核心技术。要聚焦优势产业，强化整合集聚，着力打造一批重大产业集群。要聚焦龙头企业，强化培育引进，着力形成全产业链协同、全供应链融通的产业生态体系。要全面提升现代产业体系综合竞争力，加快现代服务业特别是生产性服务业发展，以融合发展为重点大力发展数字经济。要进一步完善产业发展规划、政策保障、基础支撑、工作推进等体系，着力营造更加良好的产业发展环境。把强化房地产业、建筑业和基础设施供应链作为住房城乡建设事业响应全省要求的重点，着力补短板、锻长板，加快打造具有重要影响力产业聚集地。</w:t>
      </w:r>
    </w:p>
    <w:p>
      <w:pPr>
        <w:pStyle w:val="3"/>
        <w:spacing w:before="120" w:after="120" w:line="240" w:lineRule="auto"/>
        <w:rPr>
          <w:rFonts w:ascii="宋体" w:hAnsi="宋体" w:eastAsia="宋体"/>
          <w:sz w:val="30"/>
          <w:szCs w:val="30"/>
        </w:rPr>
      </w:pPr>
      <w:bookmarkStart w:id="10" w:name="_Toc69314782"/>
      <w:r>
        <w:rPr>
          <w:rFonts w:hint="eastAsia" w:ascii="宋体" w:hAnsi="宋体" w:eastAsia="宋体"/>
          <w:sz w:val="30"/>
          <w:szCs w:val="30"/>
        </w:rPr>
        <w:t>（四）池州战略</w:t>
      </w:r>
      <w:bookmarkEnd w:id="10"/>
    </w:p>
    <w:p>
      <w:pPr>
        <w:spacing w:line="576"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深入领会习近平总书记考察安徽重要讲话的核心要义，进一步明晰新时代池州发展的历史方位，坚定落实“两个坚持”、“两个更大”的目标要求，拉高标杆、争先进位，扬池所长、构筑特色，全面增强池州综合实力和核心竞争力，不断提升池州在全省、在长三角的发展地位，奋力开创新时代“三优池州”建设新局面。</w:t>
      </w:r>
    </w:p>
    <w:p>
      <w:pPr>
        <w:spacing w:line="576"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进一步找准新时代“三优池州”建设的着力重点。一要统筹“两手”打赢“两战”，抓好常态化疫情防控，抓实“六稳”“六保”工作，切实稳住经济基本盘；二要谋深谋实“十四五”发展，深入研究发展环境、目标定位、重大战略、重点任务，精心描绘“三优池州”建设新蓝图；三要加快发展园区经济，主攻规划引领、招商引资、营商环境，着力打造经济发展增长极；四要做优做强县区经济，立足特色、发挥优势，主动作为、共同发力，不断夯实经济发展硬支撑；五要坚持扬池所长，深度融入长三角一体化发展，着力打造承接长三角产业转移示范区、长三角重要旅游目的地、长三角重要休闲康养地、长三角绿色有机农产品生产供应地以及长三角联通中西部的战略节点；六要坚定践行“两山”理论，统筹推进“</w:t>
      </w:r>
      <w:r>
        <w:rPr>
          <w:rFonts w:ascii="仿宋_GB2312" w:hAnsi="Times New Roman" w:eastAsia="仿宋_GB2312" w:cs="Times New Roman"/>
          <w:sz w:val="28"/>
          <w:szCs w:val="28"/>
        </w:rPr>
        <w:t>1+7+N”突出生态环境问题整改、长江禁捕退捕、矿山整治等生态保护工作，积极推进经济社会发展全面绿色转型；七要全面深化改革，在落实既定改革部署的同时，加强改革评估，抓好改革谋划，持续激发加快发展的动力源泉；八要坚决打赢脱贫攻坚战，把防止因疫因灾致贫返贫放在突出位置，全力打好脱贫攻坚秋冬季攻势，接续推进乡村全面振兴；九要统筹发展和安全防范化解重大风险，健全防灾减灾体</w:t>
      </w:r>
      <w:r>
        <w:rPr>
          <w:rFonts w:hint="eastAsia" w:ascii="仿宋_GB2312" w:hAnsi="Times New Roman" w:eastAsia="仿宋_GB2312" w:cs="Times New Roman"/>
          <w:sz w:val="28"/>
          <w:szCs w:val="28"/>
        </w:rPr>
        <w:t>系，加快实现基层治理共建共治共享，不断提升治理体系和治理能力现代化；十要坚持以人民为中心的发展思想，切实强化民生保障，加快补齐重点短板，不断增强人民群众获得感幸福感安全感；十一要突出党的政治建设，强化政治监督谈话，把牢正确用人导向，深化“三个以案”警示教育，一体推进不敢腐不能腐不想腐，纵深推进全面从严治党，持续营造风清气正、干事创业的良好政治生态。</w:t>
      </w:r>
    </w:p>
    <w:p>
      <w:pPr>
        <w:pStyle w:val="3"/>
        <w:spacing w:before="120" w:after="120" w:line="240" w:lineRule="auto"/>
        <w:rPr>
          <w:rFonts w:ascii="宋体" w:hAnsi="宋体" w:eastAsia="宋体"/>
          <w:sz w:val="30"/>
          <w:szCs w:val="30"/>
        </w:rPr>
      </w:pPr>
      <w:bookmarkStart w:id="11" w:name="_Toc69314783"/>
      <w:r>
        <w:rPr>
          <w:rFonts w:hint="eastAsia" w:ascii="宋体" w:hAnsi="宋体" w:eastAsia="宋体"/>
          <w:sz w:val="30"/>
          <w:szCs w:val="30"/>
        </w:rPr>
        <w:t>（五）东至战略</w:t>
      </w:r>
      <w:bookmarkEnd w:id="11"/>
    </w:p>
    <w:p>
      <w:pPr>
        <w:spacing w:line="576"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中国共产党东至县第十四届委员会第十四次全体会议中指出，以推动高质量发展为主题，以深化供给侧结构性改革为主线，以改革创新为根本动力，以满足人民日益增长的美好生活需要为根本目的，统筹发展和安全，持续实施五大发展行动，抢抓中部崛起、“一带一路”、长江经济带、长三角一体化等国家战略机遇，大力实施“生态立县、产业强县、创新驱动、开放发展”四大战略，协调推进城区、园区、山区发展，加快推动“山城”向“滨江城市”转型发展，打造“一极三地一门户”，加快建设现代化经济体系，推进治理体系和治理能力现代化，实现经济跨越崛起、社会安定和谐，在融入国内大循环为主体、国内国际双循环相互促进的新发展格局中实现更大作为，在加快建设新阶段现代化“三美东至”上取得新的更大进展。</w:t>
      </w:r>
    </w:p>
    <w:p>
      <w:pPr>
        <w:spacing w:line="576"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全会提出今后五年要紧紧围绕“一极三地一门户”的定位，坚定地朝着经济强、百姓富、生态美的新阶段现代化“三美东至”进军，努力实现“总量进位、增速居前、人均争先”，进入全省同类县第一方阵，综合实力实现新跨越，经济总量在全市的比重进一步提升，人均地区生产总值与全省和长三角的差距持续缩小；经济结构实现新优化，三次产业和制造业、规上农产品加工业、战略性新兴产业、高新技术产业的相应比重进一步优化调整；改革开放实现新突破，部分重要领域和关键环节改革走在全省前列，安徽西南门户形象大幅度提升；生态优势实现新彰显，生态文明理念深入人心；民生福祉实现新跃升，人民群众生活质量明显提高；治理能力实现新提升，法治东至、法治政府、法治社会建设取得积极进展，平安东至建设不断深化，统筹发展和安全更加有力。要优化国土空间布局，推进以人为核心的新型城镇化，加快舜城新区建设，加快构建现代化城镇体系。要践行绿水青山就是金山银山的理念，全面建设新阶段现代化美丽长江（东至）经济带，持续改善环境质量，打造绿色发展的新高地。要统筹发展和安全，践行总体国家安全观，把安全发展贯穿经济社会发展各领域和全过程，建设更高水平的平安东至。</w:t>
      </w:r>
    </w:p>
    <w:p>
      <w:pPr>
        <w:pStyle w:val="2"/>
        <w:spacing w:before="156" w:beforeLines="50" w:after="156" w:afterLines="50"/>
        <w:rPr>
          <w:rFonts w:ascii="黑体" w:hAnsi="黑体" w:eastAsia="黑体"/>
          <w:sz w:val="32"/>
          <w:szCs w:val="32"/>
        </w:rPr>
      </w:pPr>
      <w:bookmarkStart w:id="12" w:name="_Toc69314784"/>
      <w:r>
        <w:rPr>
          <w:rFonts w:hint="eastAsia" w:ascii="黑体" w:hAnsi="黑体" w:eastAsia="黑体"/>
          <w:sz w:val="32"/>
          <w:szCs w:val="32"/>
        </w:rPr>
        <w:t>三、“十四五”指导思想与发展目标</w:t>
      </w:r>
      <w:bookmarkEnd w:id="12"/>
    </w:p>
    <w:p>
      <w:pPr>
        <w:pStyle w:val="3"/>
        <w:spacing w:before="120" w:after="120" w:line="240" w:lineRule="auto"/>
        <w:rPr>
          <w:rFonts w:ascii="宋体" w:hAnsi="宋体" w:eastAsia="宋体"/>
          <w:sz w:val="30"/>
          <w:szCs w:val="30"/>
        </w:rPr>
      </w:pPr>
      <w:bookmarkStart w:id="13" w:name="_Toc69314785"/>
      <w:r>
        <w:rPr>
          <w:rFonts w:ascii="宋体" w:hAnsi="宋体" w:eastAsia="宋体"/>
          <w:sz w:val="30"/>
          <w:szCs w:val="30"/>
        </w:rPr>
        <w:t>（</w:t>
      </w:r>
      <w:r>
        <w:rPr>
          <w:rFonts w:hint="eastAsia" w:ascii="宋体" w:hAnsi="宋体" w:eastAsia="宋体"/>
          <w:sz w:val="30"/>
          <w:szCs w:val="30"/>
        </w:rPr>
        <w:t>一</w:t>
      </w:r>
      <w:r>
        <w:rPr>
          <w:rFonts w:ascii="宋体" w:hAnsi="宋体" w:eastAsia="宋体"/>
          <w:sz w:val="30"/>
          <w:szCs w:val="30"/>
        </w:rPr>
        <w:t>）</w:t>
      </w:r>
      <w:r>
        <w:rPr>
          <w:rFonts w:hint="eastAsia" w:ascii="宋体" w:hAnsi="宋体" w:eastAsia="宋体"/>
          <w:sz w:val="30"/>
          <w:szCs w:val="30"/>
        </w:rPr>
        <w:t>指导思想</w:t>
      </w:r>
      <w:bookmarkEnd w:id="13"/>
    </w:p>
    <w:p>
      <w:pPr>
        <w:spacing w:line="576" w:lineRule="exact"/>
        <w:ind w:firstLine="560" w:firstLineChars="200"/>
        <w:rPr>
          <w:rFonts w:ascii="仿宋_GB2312" w:hAnsi="宋体" w:eastAsia="仿宋_GB2312" w:cs="仿宋_GB2312"/>
          <w:sz w:val="28"/>
          <w:szCs w:val="28"/>
        </w:rPr>
      </w:pPr>
      <w:r>
        <w:rPr>
          <w:rFonts w:hint="eastAsia" w:ascii="仿宋_GB2312" w:hAnsi="宋体" w:eastAsia="仿宋_GB2312" w:cs="仿宋_GB2312"/>
          <w:sz w:val="28"/>
          <w:szCs w:val="28"/>
        </w:rPr>
        <w:t>坚</w:t>
      </w:r>
      <w:r>
        <w:rPr>
          <w:rFonts w:hint="eastAsia" w:ascii="仿宋_GB2312" w:hAnsi="Times New Roman" w:eastAsia="仿宋_GB2312" w:cs="Times New Roman"/>
          <w:sz w:val="28"/>
          <w:szCs w:val="28"/>
        </w:rPr>
        <w:t>持以习近平新时代中国特色社会主义思想为指导，全面贯彻党的基本理论、基本路线、基本方略，深入落实习近平总书记视察安徽重要讲话精神，以人民为中心，强化“两个坚持”，实现“</w:t>
      </w:r>
      <w:r>
        <w:rPr>
          <w:rFonts w:hint="eastAsia" w:ascii="仿宋_GB2312" w:hAnsi="宋体" w:eastAsia="仿宋_GB2312" w:cs="仿宋_GB2312"/>
          <w:sz w:val="28"/>
          <w:szCs w:val="28"/>
        </w:rPr>
        <w:t>两个更大”，按照高质量发展要求，坚持一张蓝图绘到底，一张蓝图干到底，以优化和稳定产业链供应链构建创新型现代产业新体系为主要问题，着力改善城乡居住品质，提高城乡承载能力，壮大建筑业产业，提升城乡管理水平，助力乡村振兴战略，不断增强广大人民群众的获得感、幸福感和安全感，在构建以国内大循环为主体、国内国际双循环相互促进的新发展格局中实现更大作为，在加快建设“三美东至”上取得新的更大进展。</w:t>
      </w:r>
    </w:p>
    <w:p>
      <w:pPr>
        <w:pStyle w:val="3"/>
        <w:spacing w:before="120" w:after="120" w:line="240" w:lineRule="auto"/>
        <w:rPr>
          <w:rFonts w:ascii="宋体" w:hAnsi="宋体" w:eastAsia="宋体"/>
          <w:sz w:val="30"/>
          <w:szCs w:val="30"/>
        </w:rPr>
      </w:pPr>
      <w:bookmarkStart w:id="14" w:name="_Toc69314786"/>
      <w:r>
        <w:rPr>
          <w:rFonts w:ascii="宋体" w:hAnsi="宋体" w:eastAsia="宋体"/>
          <w:sz w:val="30"/>
          <w:szCs w:val="30"/>
        </w:rPr>
        <w:t>（</w:t>
      </w:r>
      <w:r>
        <w:rPr>
          <w:rFonts w:hint="eastAsia" w:ascii="宋体" w:hAnsi="宋体" w:eastAsia="宋体"/>
          <w:sz w:val="30"/>
          <w:szCs w:val="30"/>
        </w:rPr>
        <w:t>二</w:t>
      </w:r>
      <w:r>
        <w:rPr>
          <w:rFonts w:ascii="宋体" w:hAnsi="宋体" w:eastAsia="宋体"/>
          <w:sz w:val="30"/>
          <w:szCs w:val="30"/>
        </w:rPr>
        <w:t>）</w:t>
      </w:r>
      <w:r>
        <w:rPr>
          <w:rFonts w:hint="eastAsia" w:ascii="宋体" w:hAnsi="宋体" w:eastAsia="宋体"/>
          <w:sz w:val="30"/>
          <w:szCs w:val="30"/>
        </w:rPr>
        <w:t>发展思路</w:t>
      </w:r>
      <w:bookmarkEnd w:id="14"/>
    </w:p>
    <w:p>
      <w:pPr>
        <w:spacing w:line="576" w:lineRule="exact"/>
        <w:ind w:firstLine="560" w:firstLineChars="200"/>
        <w:rPr>
          <w:rFonts w:ascii="仿宋_GB2312" w:hAnsi="宋体" w:eastAsia="仿宋_GB2312" w:cs="仿宋_GB2312"/>
          <w:sz w:val="28"/>
          <w:szCs w:val="28"/>
        </w:rPr>
      </w:pPr>
      <w:r>
        <w:rPr>
          <w:rFonts w:hint="eastAsia" w:ascii="仿宋_GB2312" w:hAnsi="宋体" w:eastAsia="仿宋_GB2312" w:cs="仿宋_GB2312"/>
          <w:sz w:val="28"/>
          <w:szCs w:val="28"/>
        </w:rPr>
        <w:t>“十四五”时期东至县住房和城乡建设事业发展的总体思路是实施“</w:t>
      </w:r>
      <w:r>
        <w:rPr>
          <w:rFonts w:ascii="仿宋_GB2312" w:hAnsi="宋体" w:eastAsia="仿宋_GB2312" w:cs="仿宋_GB2312"/>
          <w:sz w:val="28"/>
          <w:szCs w:val="28"/>
        </w:rPr>
        <w:t>116”计划。</w:t>
      </w:r>
      <w:r>
        <w:rPr>
          <w:rFonts w:hint="eastAsia" w:ascii="仿宋_GB2312" w:hAnsi="宋体" w:eastAsia="仿宋_GB2312" w:cs="仿宋_GB2312"/>
          <w:sz w:val="28"/>
          <w:szCs w:val="28"/>
        </w:rPr>
        <w:t>即以构建东至“双循环”格局为旗帜目标，以尧东一体化建设推动城镇化高质量发展为战略导向，以住房保障、公用设施建设、建筑业转型、人防应急构建、城乡特色塑造和智慧管理提升为主要任务，践行创新、协调、绿色、开放、共享五大发展理念的路线，加快建设“三美东至”。</w:t>
      </w:r>
    </w:p>
    <w:p>
      <w:pPr>
        <w:pStyle w:val="3"/>
        <w:spacing w:before="120" w:after="120" w:line="240" w:lineRule="auto"/>
        <w:rPr>
          <w:rFonts w:ascii="宋体" w:hAnsi="宋体" w:eastAsia="宋体"/>
          <w:sz w:val="30"/>
          <w:szCs w:val="30"/>
        </w:rPr>
      </w:pPr>
      <w:bookmarkStart w:id="15" w:name="_Toc69314787"/>
      <w:r>
        <w:rPr>
          <w:rFonts w:ascii="宋体" w:hAnsi="宋体" w:eastAsia="宋体"/>
          <w:sz w:val="30"/>
          <w:szCs w:val="30"/>
        </w:rPr>
        <w:t>（</w:t>
      </w:r>
      <w:r>
        <w:rPr>
          <w:rFonts w:hint="eastAsia" w:ascii="宋体" w:hAnsi="宋体" w:eastAsia="宋体"/>
          <w:sz w:val="30"/>
          <w:szCs w:val="30"/>
        </w:rPr>
        <w:t>三</w:t>
      </w:r>
      <w:r>
        <w:rPr>
          <w:rFonts w:ascii="宋体" w:hAnsi="宋体" w:eastAsia="宋体"/>
          <w:sz w:val="30"/>
          <w:szCs w:val="30"/>
        </w:rPr>
        <w:t>）</w:t>
      </w:r>
      <w:r>
        <w:rPr>
          <w:rFonts w:hint="eastAsia" w:ascii="宋体" w:hAnsi="宋体" w:eastAsia="宋体"/>
          <w:sz w:val="30"/>
          <w:szCs w:val="30"/>
        </w:rPr>
        <w:t>基本原则</w:t>
      </w:r>
      <w:bookmarkEnd w:id="15"/>
    </w:p>
    <w:p>
      <w:pPr>
        <w:spacing w:line="576" w:lineRule="exact"/>
        <w:ind w:firstLine="562" w:firstLineChars="200"/>
        <w:rPr>
          <w:rFonts w:ascii="仿宋_GB2312" w:hAnsi="宋体" w:eastAsia="仿宋_GB2312" w:cs="仿宋_GB2312"/>
          <w:sz w:val="28"/>
          <w:szCs w:val="28"/>
        </w:rPr>
      </w:pPr>
      <w:r>
        <w:rPr>
          <w:rFonts w:hint="eastAsia" w:ascii="仿宋_GB2312" w:hAnsi="宋体" w:eastAsia="仿宋_GB2312" w:cs="仿宋_GB2312"/>
          <w:b/>
          <w:sz w:val="28"/>
          <w:szCs w:val="28"/>
        </w:rPr>
        <w:t>坚持创新发展，加大人才培养。</w:t>
      </w:r>
      <w:r>
        <w:rPr>
          <w:rFonts w:hint="eastAsia" w:ascii="仿宋_GB2312" w:hAnsi="宋体" w:eastAsia="仿宋_GB2312" w:cs="仿宋_GB2312"/>
          <w:sz w:val="28"/>
          <w:szCs w:val="28"/>
        </w:rPr>
        <w:t>以住房和城乡建设系统队伍建设为主要抓手，抓好业务知识和专业技能培训，不断提高系统人才业务能力。引导系统上下始终保持只争朝夕、尽锐出战的奋进状态。注重发挥基层首创精神，积极学习各地典型经验，加强交流互鉴，不断提升各项重点工作的质量效益。</w:t>
      </w:r>
    </w:p>
    <w:p>
      <w:pPr>
        <w:spacing w:line="576" w:lineRule="exact"/>
        <w:ind w:firstLine="562" w:firstLineChars="200"/>
        <w:rPr>
          <w:rFonts w:ascii="仿宋_GB2312" w:hAnsi="宋体" w:eastAsia="仿宋_GB2312" w:cs="仿宋_GB2312"/>
          <w:sz w:val="28"/>
          <w:szCs w:val="28"/>
        </w:rPr>
      </w:pPr>
      <w:r>
        <w:rPr>
          <w:rFonts w:hint="eastAsia" w:ascii="仿宋_GB2312" w:hAnsi="宋体" w:eastAsia="仿宋_GB2312" w:cs="仿宋_GB2312"/>
          <w:b/>
          <w:sz w:val="28"/>
          <w:szCs w:val="28"/>
        </w:rPr>
        <w:t>坚持协调发展，促进城乡融合。</w:t>
      </w:r>
      <w:r>
        <w:rPr>
          <w:rFonts w:hint="eastAsia" w:ascii="仿宋_GB2312" w:hAnsi="宋体" w:eastAsia="仿宋_GB2312" w:cs="仿宋_GB2312"/>
          <w:sz w:val="28"/>
          <w:szCs w:val="28"/>
        </w:rPr>
        <w:t>以</w:t>
      </w:r>
      <w:r>
        <w:rPr>
          <w:rFonts w:ascii="仿宋_GB2312" w:hAnsi="宋体" w:eastAsia="仿宋_GB2312" w:cs="仿宋_GB2312"/>
          <w:sz w:val="28"/>
          <w:szCs w:val="28"/>
        </w:rPr>
        <w:t>大渡口</w:t>
      </w:r>
      <w:r>
        <w:rPr>
          <w:rFonts w:hint="eastAsia" w:ascii="仿宋_GB2312" w:hAnsi="宋体" w:eastAsia="仿宋_GB2312" w:cs="仿宋_GB2312"/>
          <w:sz w:val="28"/>
          <w:szCs w:val="28"/>
        </w:rPr>
        <w:t>、香隅、龙泉等门户型重点乡镇为载体，发挥政府作用，推动城乡要素自由流动、平等交换，推动新型城乡建设模式形成，加快形成工农互促、城乡互补、全面融合、共同繁荣的新型城乡关系。</w:t>
      </w:r>
    </w:p>
    <w:p>
      <w:pPr>
        <w:spacing w:line="576" w:lineRule="exact"/>
        <w:ind w:firstLine="562" w:firstLineChars="200"/>
        <w:rPr>
          <w:rFonts w:ascii="仿宋_GB2312" w:hAnsi="宋体" w:eastAsia="仿宋_GB2312" w:cs="仿宋_GB2312"/>
          <w:sz w:val="28"/>
          <w:szCs w:val="28"/>
        </w:rPr>
      </w:pPr>
      <w:r>
        <w:rPr>
          <w:rFonts w:hint="eastAsia" w:ascii="仿宋_GB2312" w:hAnsi="宋体" w:eastAsia="仿宋_GB2312" w:cs="仿宋_GB2312"/>
          <w:b/>
          <w:sz w:val="28"/>
          <w:szCs w:val="28"/>
        </w:rPr>
        <w:t>坚持绿色发展，提升建设品质。</w:t>
      </w:r>
      <w:r>
        <w:rPr>
          <w:rFonts w:hint="eastAsia" w:ascii="仿宋_GB2312" w:hAnsi="宋体" w:eastAsia="仿宋_GB2312" w:cs="仿宋_GB2312"/>
          <w:sz w:val="28"/>
          <w:szCs w:val="28"/>
        </w:rPr>
        <w:t>深入实施绿色设计引领、绿色城市建设、绿色村镇建设、绿色建筑推广、城市智慧管理、绿色生活倡导等重点行动，基本形成生态空间山清水秀、人居环境宜居舒适、建设方式集约高效、生活方式绿色低碳的城乡发展新格局。</w:t>
      </w:r>
    </w:p>
    <w:p>
      <w:pPr>
        <w:spacing w:line="576" w:lineRule="exact"/>
        <w:ind w:firstLine="562" w:firstLineChars="200"/>
        <w:rPr>
          <w:rFonts w:ascii="仿宋_GB2312" w:hAnsi="宋体" w:eastAsia="仿宋_GB2312" w:cs="仿宋_GB2312"/>
          <w:sz w:val="28"/>
          <w:szCs w:val="28"/>
        </w:rPr>
      </w:pPr>
      <w:r>
        <w:rPr>
          <w:rFonts w:hint="eastAsia" w:ascii="仿宋_GB2312" w:hAnsi="宋体" w:eastAsia="仿宋_GB2312" w:cs="仿宋_GB2312"/>
          <w:b/>
          <w:sz w:val="28"/>
          <w:szCs w:val="28"/>
        </w:rPr>
        <w:t>坚持开放发展，带动产业升级。</w:t>
      </w:r>
      <w:r>
        <w:rPr>
          <w:rFonts w:hint="eastAsia" w:ascii="仿宋_GB2312" w:hAnsi="宋体" w:eastAsia="仿宋_GB2312" w:cs="仿宋_GB2312"/>
          <w:sz w:val="28"/>
          <w:szCs w:val="28"/>
        </w:rPr>
        <w:t>以开放的思想抢抓国家“双循环”战略机遇，扎实推进长三角高质量一体化建设，健全政府间、企业间合作机制，共同拓展各类市场，促进建筑业做大做强，带动建设行业转型升级。</w:t>
      </w:r>
    </w:p>
    <w:p>
      <w:pPr>
        <w:spacing w:line="576" w:lineRule="exact"/>
        <w:ind w:firstLine="562" w:firstLineChars="200"/>
        <w:rPr>
          <w:rFonts w:ascii="仿宋_GB2312" w:hAnsi="宋体" w:eastAsia="仿宋_GB2312" w:cs="仿宋_GB2312"/>
          <w:sz w:val="28"/>
          <w:szCs w:val="28"/>
        </w:rPr>
      </w:pPr>
      <w:r>
        <w:rPr>
          <w:rFonts w:hint="eastAsia" w:ascii="仿宋_GB2312" w:hAnsi="宋体" w:eastAsia="仿宋_GB2312" w:cs="仿宋_GB2312"/>
          <w:b/>
          <w:sz w:val="28"/>
          <w:szCs w:val="28"/>
        </w:rPr>
        <w:t>坚持共享发展，促进社会和谐。</w:t>
      </w:r>
      <w:r>
        <w:rPr>
          <w:rFonts w:hint="eastAsia" w:ascii="仿宋_GB2312" w:hAnsi="宋体" w:eastAsia="仿宋_GB2312" w:cs="仿宋_GB2312"/>
          <w:sz w:val="28"/>
          <w:szCs w:val="28"/>
        </w:rPr>
        <w:t>推进保障性安居工程建设，加快旧城区和老旧小区改造，保持房地产市场平稳健康发展。加强工程质量安全监管，健全城镇市政公用事业运营管理体系，保障城市安全有序协调运行。</w:t>
      </w:r>
    </w:p>
    <w:p>
      <w:pPr>
        <w:pStyle w:val="3"/>
        <w:spacing w:before="120" w:after="120" w:line="240" w:lineRule="auto"/>
        <w:rPr>
          <w:rFonts w:ascii="宋体" w:hAnsi="宋体" w:eastAsia="宋体"/>
          <w:sz w:val="30"/>
          <w:szCs w:val="30"/>
        </w:rPr>
      </w:pPr>
      <w:bookmarkStart w:id="16" w:name="_Toc69314788"/>
      <w:r>
        <w:rPr>
          <w:rFonts w:ascii="宋体" w:hAnsi="宋体" w:eastAsia="宋体"/>
          <w:sz w:val="30"/>
          <w:szCs w:val="30"/>
        </w:rPr>
        <w:t>（</w:t>
      </w:r>
      <w:r>
        <w:rPr>
          <w:rFonts w:hint="eastAsia" w:ascii="宋体" w:hAnsi="宋体" w:eastAsia="宋体"/>
          <w:sz w:val="30"/>
          <w:szCs w:val="30"/>
        </w:rPr>
        <w:t>四</w:t>
      </w:r>
      <w:r>
        <w:rPr>
          <w:rFonts w:ascii="宋体" w:hAnsi="宋体" w:eastAsia="宋体"/>
          <w:sz w:val="30"/>
          <w:szCs w:val="30"/>
        </w:rPr>
        <w:t>）</w:t>
      </w:r>
      <w:r>
        <w:rPr>
          <w:rFonts w:hint="eastAsia" w:ascii="宋体" w:hAnsi="宋体" w:eastAsia="宋体"/>
          <w:sz w:val="30"/>
          <w:szCs w:val="30"/>
        </w:rPr>
        <w:t>发展目标</w:t>
      </w:r>
      <w:bookmarkEnd w:id="16"/>
    </w:p>
    <w:p>
      <w:pPr>
        <w:spacing w:line="576"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bCs/>
          <w:sz w:val="28"/>
          <w:szCs w:val="28"/>
        </w:rPr>
        <w:t>“十四五”时期东至县住房和城乡建设事业发展的总体目标是：</w:t>
      </w:r>
      <w:r>
        <w:rPr>
          <w:rFonts w:ascii="仿宋_GB2312" w:hAnsi="Times New Roman" w:eastAsia="仿宋_GB2312" w:cs="Times New Roman"/>
          <w:bCs/>
          <w:sz w:val="28"/>
          <w:szCs w:val="28"/>
        </w:rPr>
        <w:t>城</w:t>
      </w:r>
      <w:r>
        <w:rPr>
          <w:rFonts w:hint="eastAsia" w:ascii="仿宋_GB2312" w:hAnsi="Times New Roman" w:eastAsia="仿宋_GB2312" w:cs="Times New Roman"/>
          <w:bCs/>
          <w:sz w:val="28"/>
          <w:szCs w:val="28"/>
        </w:rPr>
        <w:t>乡</w:t>
      </w:r>
      <w:r>
        <w:rPr>
          <w:rFonts w:ascii="仿宋_GB2312" w:hAnsi="Times New Roman" w:eastAsia="仿宋_GB2312" w:cs="Times New Roman"/>
          <w:bCs/>
          <w:sz w:val="28"/>
          <w:szCs w:val="28"/>
        </w:rPr>
        <w:t>市政基础设施体系</w:t>
      </w:r>
      <w:r>
        <w:rPr>
          <w:rFonts w:hint="eastAsia" w:ascii="仿宋_GB2312" w:hAnsi="Times New Roman" w:eastAsia="仿宋_GB2312" w:cs="Times New Roman"/>
          <w:bCs/>
          <w:sz w:val="28"/>
          <w:szCs w:val="28"/>
        </w:rPr>
        <w:t>更加完善、环境更加生态宜居、居民更加幸福安居、城市抗风险能力更加有力、城市治理现代化水平更加提升，在融入以国内大循环为主体、国内国际双循环相互促进的新发展格局中实现更大作为，助力“三优池州”发展，加快建设新阶段现代化“三美东至”，</w:t>
      </w:r>
      <w:r>
        <w:rPr>
          <w:rFonts w:ascii="仿宋_GB2312" w:hAnsi="Times New Roman" w:eastAsia="仿宋_GB2312" w:cs="Times New Roman"/>
          <w:bCs/>
          <w:sz w:val="28"/>
          <w:szCs w:val="28"/>
        </w:rPr>
        <w:t>努力实现住房和城乡建设事业的更高质量发展</w:t>
      </w:r>
      <w:r>
        <w:rPr>
          <w:rFonts w:hint="eastAsia" w:ascii="仿宋_GB2312" w:hAnsi="Times New Roman" w:eastAsia="仿宋_GB2312" w:cs="Times New Roman"/>
          <w:bCs/>
          <w:sz w:val="28"/>
          <w:szCs w:val="28"/>
        </w:rPr>
        <w:t>，不断</w:t>
      </w:r>
      <w:r>
        <w:rPr>
          <w:rFonts w:ascii="仿宋_GB2312" w:hAnsi="Times New Roman" w:eastAsia="仿宋_GB2312" w:cs="Times New Roman"/>
          <w:bCs/>
          <w:sz w:val="28"/>
          <w:szCs w:val="28"/>
        </w:rPr>
        <w:t>满足人民日益增长的美好生活需求</w:t>
      </w:r>
      <w:r>
        <w:rPr>
          <w:rFonts w:hint="eastAsia" w:ascii="仿宋_GB2312" w:hAnsi="Times New Roman" w:eastAsia="仿宋_GB2312" w:cs="Times New Roman"/>
          <w:bCs/>
          <w:sz w:val="28"/>
          <w:szCs w:val="28"/>
        </w:rPr>
        <w:t>，为</w:t>
      </w:r>
      <w:r>
        <w:rPr>
          <w:rFonts w:ascii="仿宋_GB2312" w:hAnsi="Times New Roman" w:eastAsia="仿宋_GB2312" w:cs="Times New Roman"/>
          <w:bCs/>
          <w:sz w:val="28"/>
          <w:szCs w:val="28"/>
        </w:rPr>
        <w:t>2035年基本实现社会主义现代化的奋斗目标夯实基础。</w:t>
      </w:r>
    </w:p>
    <w:p>
      <w:pPr>
        <w:spacing w:line="576" w:lineRule="exact"/>
        <w:ind w:firstLine="562" w:firstLineChars="200"/>
        <w:rPr>
          <w:rFonts w:ascii="仿宋_GB2312" w:hAnsi="Times New Roman" w:eastAsia="仿宋_GB2312" w:cs="Times New Roman"/>
          <w:color w:val="FF0000"/>
          <w:sz w:val="28"/>
          <w:szCs w:val="28"/>
        </w:rPr>
      </w:pPr>
      <w:r>
        <w:rPr>
          <w:rFonts w:hint="eastAsia" w:ascii="仿宋_GB2312" w:hAnsi="Times New Roman" w:eastAsia="仿宋_GB2312" w:cs="Times New Roman"/>
          <w:b/>
          <w:sz w:val="28"/>
          <w:szCs w:val="28"/>
        </w:rPr>
        <w:t>“双循环”格局：</w:t>
      </w:r>
      <w:r>
        <w:rPr>
          <w:rFonts w:hint="eastAsia" w:ascii="仿宋_GB2312" w:hAnsi="Times New Roman" w:eastAsia="仿宋_GB2312" w:cs="Times New Roman"/>
          <w:sz w:val="28"/>
          <w:szCs w:val="28"/>
        </w:rPr>
        <w:t>以完善和提升建筑业产业链为目标，重点在要素保障、市场拓展、环境优化上发力，努力实现“质量变革、效率变革和动力变革”。坚持</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稳</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字当头，全面落实因城施策、稳地价稳房价稳预期的长效管理调控机制，保障房地产市场平稳有序。以确保交通联系畅通为构建“双循环”格局的重要保障，加快东至县对外交通系统建设，加速内部交通串联。</w:t>
      </w:r>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城镇化发展</w:t>
      </w:r>
      <w:r>
        <w:rPr>
          <w:rFonts w:hint="eastAsia" w:ascii="仿宋_GB2312" w:hAnsi="Times New Roman" w:eastAsia="仿宋_GB2312" w:cs="Times New Roman"/>
          <w:sz w:val="28"/>
          <w:szCs w:val="28"/>
        </w:rPr>
        <w:t>：以稳步推进长三角一体化为要求，以尧东一体化建设为载体，初步建立比较完善的新型城镇化体制机制，全县城镇化水平和质量有较大幅度提高。到</w:t>
      </w:r>
      <w:r>
        <w:rPr>
          <w:rFonts w:ascii="仿宋_GB2312" w:hAnsi="Times New Roman" w:eastAsia="仿宋_GB2312" w:cs="Times New Roman"/>
          <w:sz w:val="28"/>
          <w:szCs w:val="28"/>
        </w:rPr>
        <w:t>2025年，常住人口城镇化率</w:t>
      </w:r>
      <w:r>
        <w:rPr>
          <w:rFonts w:hint="eastAsia" w:ascii="仿宋_GB2312" w:hAnsi="Times New Roman" w:eastAsia="仿宋_GB2312" w:cs="Times New Roman"/>
          <w:sz w:val="28"/>
          <w:szCs w:val="28"/>
        </w:rPr>
        <w:t>和户籍人口城镇化率不低于安徽省平均水平，户籍人口城镇化率与常住人口城镇化率差距逐步缩小，实现撤县设市的城镇化发展目标。</w:t>
      </w:r>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城镇功能：</w:t>
      </w:r>
      <w:r>
        <w:rPr>
          <w:rFonts w:hint="eastAsia" w:ascii="仿宋_GB2312" w:hAnsi="Times New Roman" w:eastAsia="仿宋_GB2312" w:cs="Times New Roman"/>
          <w:sz w:val="28"/>
          <w:szCs w:val="28"/>
        </w:rPr>
        <w:t>扎实推进“城市双修”试点县建设，</w:t>
      </w:r>
      <w:r>
        <w:rPr>
          <w:rFonts w:ascii="仿宋_GB2312" w:hAnsi="Times New Roman" w:eastAsia="仿宋_GB2312" w:cs="Times New Roman"/>
          <w:sz w:val="28"/>
          <w:szCs w:val="28"/>
        </w:rPr>
        <w:t>推进县城扩容升级。</w:t>
      </w:r>
      <w:r>
        <w:rPr>
          <w:rFonts w:hint="eastAsia" w:ascii="仿宋_GB2312" w:hAnsi="Times New Roman" w:eastAsia="仿宋_GB2312" w:cs="Times New Roman"/>
          <w:sz w:val="28"/>
          <w:szCs w:val="28"/>
        </w:rPr>
        <w:t>城镇基础设施、公共服务体系进一步完善，城市特色进一步彰显，区域竞争力进一步增强，城市病有效缓解。</w:t>
      </w:r>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民生保障：</w:t>
      </w:r>
      <w:r>
        <w:rPr>
          <w:rFonts w:hint="eastAsia" w:ascii="仿宋_GB2312" w:hAnsi="Times New Roman" w:eastAsia="仿宋_GB2312" w:cs="Times New Roman"/>
          <w:sz w:val="28"/>
          <w:szCs w:val="28"/>
        </w:rPr>
        <w:t>城乡居民居住条件明显提高，城镇住房保障体系更加完善，历史文化资源有效保护，城乡人居环境显著改善。力争基本完成</w:t>
      </w:r>
      <w:r>
        <w:rPr>
          <w:rFonts w:ascii="仿宋_GB2312" w:hAnsi="Times New Roman" w:eastAsia="仿宋_GB2312" w:cs="Times New Roman"/>
          <w:sz w:val="28"/>
          <w:szCs w:val="28"/>
        </w:rPr>
        <w:t>2000年底前建成需改造</w:t>
      </w:r>
      <w:r>
        <w:rPr>
          <w:rFonts w:hint="eastAsia" w:ascii="仿宋_GB2312" w:hAnsi="Times New Roman" w:eastAsia="仿宋_GB2312" w:cs="Times New Roman"/>
          <w:sz w:val="28"/>
          <w:szCs w:val="28"/>
        </w:rPr>
        <w:t>的</w:t>
      </w:r>
      <w:r>
        <w:rPr>
          <w:rFonts w:ascii="仿宋_GB2312" w:hAnsi="Times New Roman" w:eastAsia="仿宋_GB2312" w:cs="Times New Roman"/>
          <w:sz w:val="28"/>
          <w:szCs w:val="28"/>
        </w:rPr>
        <w:t>城镇老旧小区改造任务。</w:t>
      </w:r>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转型升级：</w:t>
      </w:r>
      <w:r>
        <w:rPr>
          <w:rFonts w:hint="eastAsia" w:ascii="仿宋_GB2312" w:hAnsi="Times New Roman" w:eastAsia="仿宋_GB2312" w:cs="Times New Roman"/>
          <w:sz w:val="28"/>
          <w:szCs w:val="28"/>
        </w:rPr>
        <w:t>以建筑产业现代化为重点，加快产业转型升级步伐，进一步推动绿色建筑、装配式建筑和建筑节能发展，强化海绵城市建设等节约型城乡建设重点工作实现新突破。</w:t>
      </w:r>
    </w:p>
    <w:p>
      <w:pPr>
        <w:spacing w:line="576" w:lineRule="exact"/>
        <w:ind w:firstLine="562" w:firstLineChars="200"/>
        <w:rPr>
          <w:rFonts w:ascii="仿宋_GB2312" w:hAnsi="Times New Roman" w:eastAsia="仿宋_GB2312" w:cs="Times New Roman"/>
          <w:sz w:val="28"/>
          <w:szCs w:val="28"/>
        </w:rPr>
      </w:pPr>
      <w:r>
        <w:rPr>
          <w:rFonts w:hint="eastAsia" w:ascii="仿宋_GB2312" w:hAnsi="Times New Roman" w:eastAsia="仿宋_GB2312" w:cs="Times New Roman"/>
          <w:b/>
          <w:sz w:val="28"/>
          <w:szCs w:val="28"/>
        </w:rPr>
        <w:t>管理水平</w:t>
      </w:r>
      <w:r>
        <w:rPr>
          <w:rFonts w:hint="eastAsia" w:ascii="仿宋_GB2312" w:hAnsi="Times New Roman" w:eastAsia="仿宋_GB2312" w:cs="Times New Roman"/>
          <w:sz w:val="28"/>
          <w:szCs w:val="28"/>
        </w:rPr>
        <w:t>：以推进智慧城市改革为契机，努力打造城市公共信息平台、基础设施平台和数字管理平台等信息平台，逐步推进市政公用事业和城乡建设投融资制度的改革，加强质量安全管理，强化科技应用与行业标准化的建设。</w:t>
      </w:r>
    </w:p>
    <w:p>
      <w:pPr>
        <w:spacing w:line="576" w:lineRule="exact"/>
        <w:ind w:firstLine="560" w:firstLineChars="200"/>
        <w:rPr>
          <w:rFonts w:ascii="仿宋_GB2312" w:hAnsi="Times New Roman" w:eastAsia="仿宋_GB2312" w:cs="Times New Roman"/>
          <w:sz w:val="28"/>
          <w:szCs w:val="28"/>
        </w:rPr>
      </w:pPr>
    </w:p>
    <w:p>
      <w:pPr>
        <w:spacing w:line="576" w:lineRule="exact"/>
        <w:ind w:firstLine="560" w:firstLineChars="200"/>
        <w:rPr>
          <w:rFonts w:ascii="仿宋_GB2312" w:hAnsi="Times New Roman" w:eastAsia="仿宋_GB2312" w:cs="Times New Roman"/>
          <w:sz w:val="28"/>
          <w:szCs w:val="28"/>
        </w:rPr>
      </w:pPr>
    </w:p>
    <w:p>
      <w:pPr>
        <w:spacing w:line="576" w:lineRule="exact"/>
        <w:ind w:firstLine="560" w:firstLineChars="200"/>
        <w:rPr>
          <w:rFonts w:ascii="仿宋_GB2312" w:hAnsi="Times New Roman" w:eastAsia="仿宋_GB2312" w:cs="Times New Roman"/>
          <w:sz w:val="28"/>
          <w:szCs w:val="28"/>
        </w:rPr>
      </w:pPr>
    </w:p>
    <w:p>
      <w:pPr>
        <w:pStyle w:val="5"/>
        <w:spacing w:line="576" w:lineRule="exact"/>
        <w:ind w:firstLine="320"/>
        <w:jc w:val="center"/>
        <w:rPr>
          <w:rFonts w:ascii="仿宋_GB2312" w:hAnsi="宋体" w:eastAsia="仿宋_GB2312"/>
          <w:b/>
          <w:bCs/>
          <w:sz w:val="24"/>
          <w:szCs w:val="24"/>
        </w:rPr>
      </w:pPr>
      <w:r>
        <w:rPr>
          <w:rFonts w:hint="eastAsia" w:ascii="仿宋_GB2312" w:hAnsi="宋体" w:eastAsia="仿宋_GB2312"/>
          <w:b/>
          <w:bCs/>
          <w:sz w:val="24"/>
          <w:szCs w:val="24"/>
        </w:rPr>
        <w:t>“十四五”东至县住房和城乡建设事业发展主要指标</w:t>
      </w:r>
    </w:p>
    <w:tbl>
      <w:tblPr>
        <w:tblStyle w:val="16"/>
        <w:tblW w:w="47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5"/>
        <w:gridCol w:w="3294"/>
        <w:gridCol w:w="1586"/>
        <w:gridCol w:w="1192"/>
        <w:gridCol w:w="12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序号</w:t>
            </w:r>
          </w:p>
        </w:tc>
        <w:tc>
          <w:tcPr>
            <w:tcW w:w="3021" w:type="pct"/>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指标</w:t>
            </w:r>
          </w:p>
        </w:tc>
        <w:tc>
          <w:tcPr>
            <w:tcW w:w="738" w:type="pct"/>
            <w:tcBorders>
              <w:top w:val="single" w:color="000000" w:sz="4" w:space="0"/>
              <w:left w:val="single" w:color="auto"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b/>
                <w:bCs/>
                <w:kern w:val="0"/>
                <w:sz w:val="24"/>
                <w:szCs w:val="24"/>
              </w:rPr>
            </w:pPr>
            <w:r>
              <w:rPr>
                <w:rFonts w:hint="eastAsia" w:ascii="仿宋_GB2312" w:hAnsi="宋体" w:eastAsia="仿宋_GB2312" w:cs="宋体"/>
                <w:kern w:val="0"/>
                <w:sz w:val="24"/>
                <w:szCs w:val="24"/>
              </w:rPr>
              <w:t>目标值</w:t>
            </w:r>
          </w:p>
        </w:tc>
        <w:tc>
          <w:tcPr>
            <w:tcW w:w="749"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b/>
                <w:bCs/>
                <w:kern w:val="0"/>
                <w:sz w:val="24"/>
                <w:szCs w:val="24"/>
              </w:rPr>
            </w:pPr>
            <w:r>
              <w:rPr>
                <w:rFonts w:hint="eastAsia" w:ascii="仿宋_GB2312" w:hAnsi="宋体" w:eastAsia="仿宋_GB2312" w:cs="宋体"/>
                <w:kern w:val="0"/>
                <w:sz w:val="24"/>
                <w:szCs w:val="24"/>
              </w:rPr>
              <w:t>指标属性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b/>
                <w:kern w:val="0"/>
                <w:sz w:val="24"/>
                <w:szCs w:val="24"/>
              </w:rPr>
            </w:pPr>
            <w:r>
              <w:rPr>
                <w:rFonts w:hint="eastAsia" w:ascii="仿宋_GB2312" w:hAnsi="宋体" w:eastAsia="仿宋_GB2312" w:cs="宋体"/>
                <w:b/>
                <w:kern w:val="0"/>
                <w:sz w:val="24"/>
                <w:szCs w:val="24"/>
              </w:rPr>
              <w:t>一</w:t>
            </w:r>
          </w:p>
        </w:tc>
        <w:tc>
          <w:tcPr>
            <w:tcW w:w="4508" w:type="pct"/>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rPr>
                <w:rFonts w:ascii="仿宋_GB2312" w:hAnsi="宋体" w:eastAsia="仿宋_GB2312" w:cs="宋体"/>
                <w:b/>
                <w:kern w:val="0"/>
                <w:sz w:val="24"/>
                <w:szCs w:val="24"/>
              </w:rPr>
            </w:pPr>
            <w:r>
              <w:rPr>
                <w:rFonts w:hint="eastAsia" w:ascii="仿宋_GB2312" w:hAnsi="宋体" w:eastAsia="仿宋_GB2312" w:cs="宋体"/>
                <w:b/>
                <w:kern w:val="0"/>
                <w:sz w:val="24"/>
                <w:szCs w:val="24"/>
              </w:rPr>
              <w:t>城镇化水平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1</w:t>
            </w:r>
          </w:p>
        </w:tc>
        <w:tc>
          <w:tcPr>
            <w:tcW w:w="3021" w:type="pct"/>
            <w:gridSpan w:val="2"/>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pacing w:line="340" w:lineRule="exact"/>
              <w:rPr>
                <w:rFonts w:ascii="仿宋_GB2312" w:hAnsi="宋体" w:eastAsia="仿宋_GB2312" w:cs="宋体"/>
                <w:kern w:val="0"/>
                <w:sz w:val="24"/>
                <w:szCs w:val="24"/>
              </w:rPr>
            </w:pPr>
            <w:r>
              <w:rPr>
                <w:rFonts w:hint="eastAsia" w:ascii="仿宋_GB2312" w:hAnsi="宋体" w:eastAsia="仿宋_GB2312" w:cs="宋体"/>
                <w:kern w:val="0"/>
                <w:sz w:val="24"/>
                <w:szCs w:val="24"/>
              </w:rPr>
              <w:t>常住人口城镇化率（%）</w:t>
            </w:r>
          </w:p>
        </w:tc>
        <w:tc>
          <w:tcPr>
            <w:tcW w:w="738" w:type="pct"/>
            <w:tcBorders>
              <w:top w:val="single" w:color="000000" w:sz="4" w:space="0"/>
              <w:left w:val="single" w:color="auto" w:sz="4" w:space="0"/>
              <w:bottom w:val="single" w:color="000000" w:sz="4" w:space="0"/>
              <w:right w:val="single" w:color="auto"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ascii="仿宋_GB2312" w:hAnsi="宋体" w:eastAsia="仿宋_GB2312" w:cs="宋体"/>
                <w:kern w:val="0"/>
                <w:sz w:val="24"/>
                <w:szCs w:val="24"/>
              </w:rPr>
              <w:t>65.0</w:t>
            </w:r>
          </w:p>
        </w:tc>
        <w:tc>
          <w:tcPr>
            <w:tcW w:w="749" w:type="pct"/>
            <w:tcBorders>
              <w:top w:val="single" w:color="000000" w:sz="4" w:space="0"/>
              <w:left w:val="single" w:color="auto"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b/>
                <w:kern w:val="0"/>
                <w:sz w:val="24"/>
                <w:szCs w:val="24"/>
              </w:rPr>
            </w:pPr>
            <w:r>
              <w:rPr>
                <w:rFonts w:hint="eastAsia" w:ascii="仿宋_GB2312" w:hAnsi="宋体" w:eastAsia="仿宋_GB2312" w:cs="宋体"/>
                <w:kern w:val="0"/>
                <w:sz w:val="24"/>
                <w:szCs w:val="24"/>
              </w:rPr>
              <w:t>约束性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2</w:t>
            </w:r>
          </w:p>
        </w:tc>
        <w:tc>
          <w:tcPr>
            <w:tcW w:w="3021" w:type="pct"/>
            <w:gridSpan w:val="2"/>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pacing w:line="340" w:lineRule="exact"/>
              <w:rPr>
                <w:rFonts w:ascii="仿宋_GB2312" w:hAnsi="宋体" w:eastAsia="仿宋_GB2312" w:cs="宋体"/>
                <w:b/>
                <w:kern w:val="0"/>
                <w:sz w:val="24"/>
                <w:szCs w:val="24"/>
              </w:rPr>
            </w:pPr>
            <w:r>
              <w:rPr>
                <w:rFonts w:hint="eastAsia" w:ascii="仿宋_GB2312" w:hAnsi="宋体" w:eastAsia="仿宋_GB2312" w:cs="宋体"/>
                <w:kern w:val="0"/>
                <w:sz w:val="24"/>
                <w:szCs w:val="24"/>
              </w:rPr>
              <w:t>户籍人口城镇化率（%）</w:t>
            </w:r>
          </w:p>
        </w:tc>
        <w:tc>
          <w:tcPr>
            <w:tcW w:w="738" w:type="pct"/>
            <w:tcBorders>
              <w:top w:val="single" w:color="000000" w:sz="4" w:space="0"/>
              <w:left w:val="single" w:color="auto" w:sz="4" w:space="0"/>
              <w:bottom w:val="single" w:color="000000" w:sz="4" w:space="0"/>
              <w:right w:val="single" w:color="auto"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45</w:t>
            </w:r>
            <w:r>
              <w:rPr>
                <w:rFonts w:ascii="仿宋_GB2312" w:hAnsi="宋体" w:eastAsia="仿宋_GB2312" w:cs="宋体"/>
                <w:kern w:val="0"/>
                <w:sz w:val="24"/>
                <w:szCs w:val="24"/>
              </w:rPr>
              <w:t>.5</w:t>
            </w:r>
          </w:p>
        </w:tc>
        <w:tc>
          <w:tcPr>
            <w:tcW w:w="749" w:type="pct"/>
            <w:tcBorders>
              <w:top w:val="single" w:color="000000" w:sz="4" w:space="0"/>
              <w:left w:val="single" w:color="auto"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b/>
                <w:kern w:val="0"/>
                <w:sz w:val="24"/>
                <w:szCs w:val="24"/>
              </w:rPr>
            </w:pPr>
            <w:r>
              <w:rPr>
                <w:rFonts w:hint="eastAsia" w:ascii="仿宋_GB2312" w:hAnsi="宋体" w:eastAsia="仿宋_GB2312" w:cs="宋体"/>
                <w:kern w:val="0"/>
                <w:sz w:val="24"/>
                <w:szCs w:val="24"/>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b/>
                <w:kern w:val="0"/>
                <w:sz w:val="24"/>
                <w:szCs w:val="24"/>
              </w:rPr>
            </w:pPr>
            <w:r>
              <w:rPr>
                <w:rFonts w:hint="eastAsia" w:ascii="仿宋_GB2312" w:hAnsi="宋体" w:eastAsia="仿宋_GB2312" w:cs="宋体"/>
                <w:b/>
                <w:kern w:val="0"/>
                <w:sz w:val="24"/>
                <w:szCs w:val="24"/>
              </w:rPr>
              <w:t>二</w:t>
            </w:r>
          </w:p>
        </w:tc>
        <w:tc>
          <w:tcPr>
            <w:tcW w:w="4508" w:type="pct"/>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rPr>
                <w:rFonts w:ascii="仿宋_GB2312" w:hAnsi="宋体" w:eastAsia="仿宋_GB2312" w:cs="宋体"/>
                <w:b/>
                <w:kern w:val="0"/>
                <w:sz w:val="24"/>
                <w:szCs w:val="24"/>
              </w:rPr>
            </w:pPr>
            <w:r>
              <w:rPr>
                <w:rFonts w:hint="eastAsia" w:ascii="仿宋_GB2312" w:hAnsi="宋体" w:eastAsia="仿宋_GB2312" w:cs="宋体"/>
                <w:b/>
                <w:kern w:val="0"/>
                <w:sz w:val="24"/>
                <w:szCs w:val="24"/>
              </w:rPr>
              <w:t>城乡住房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ascii="仿宋_GB2312" w:hAnsi="宋体" w:eastAsia="仿宋_GB2312" w:cs="宋体"/>
                <w:kern w:val="0"/>
                <w:sz w:val="24"/>
                <w:szCs w:val="24"/>
              </w:rPr>
              <w:t>3</w:t>
            </w:r>
          </w:p>
        </w:tc>
        <w:tc>
          <w:tcPr>
            <w:tcW w:w="3021" w:type="pct"/>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rPr>
                <w:rFonts w:ascii="仿宋_GB2312" w:hAnsi="宋体" w:eastAsia="仿宋_GB2312" w:cs="宋体"/>
                <w:kern w:val="0"/>
                <w:sz w:val="24"/>
                <w:szCs w:val="24"/>
              </w:rPr>
            </w:pPr>
            <w:r>
              <w:rPr>
                <w:rFonts w:hint="eastAsia" w:ascii="仿宋_GB2312" w:hAnsi="宋体" w:eastAsia="仿宋_GB2312" w:cs="宋体"/>
                <w:kern w:val="0"/>
                <w:sz w:val="24"/>
                <w:szCs w:val="24"/>
              </w:rPr>
              <w:t>城镇棚户区住房改造（套）</w:t>
            </w: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w:t>
            </w:r>
            <w:r>
              <w:rPr>
                <w:rFonts w:ascii="仿宋_GB2312" w:hAnsi="宋体" w:eastAsia="仿宋_GB2312" w:cs="宋体"/>
                <w:kern w:val="0"/>
                <w:sz w:val="24"/>
                <w:szCs w:val="24"/>
              </w:rPr>
              <w:t>2489</w:t>
            </w:r>
            <w:r>
              <w:rPr>
                <w:rFonts w:hint="eastAsia" w:ascii="仿宋_GB2312" w:hAnsi="宋体" w:eastAsia="仿宋_GB2312" w:cs="宋体"/>
                <w:kern w:val="0"/>
                <w:sz w:val="24"/>
                <w:szCs w:val="24"/>
              </w:rPr>
              <w:t>]</w:t>
            </w:r>
          </w:p>
        </w:tc>
        <w:tc>
          <w:tcPr>
            <w:tcW w:w="749"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约束性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spacing w:line="340" w:lineRule="exact"/>
              <w:jc w:val="center"/>
              <w:rPr>
                <w:rFonts w:ascii="仿宋_GB2312" w:hAnsi="宋体" w:eastAsia="仿宋_GB2312" w:cs="宋体"/>
                <w:kern w:val="0"/>
                <w:sz w:val="24"/>
                <w:szCs w:val="24"/>
              </w:rPr>
            </w:pPr>
            <w:r>
              <w:rPr>
                <w:rFonts w:ascii="仿宋_GB2312" w:hAnsi="宋体" w:eastAsia="仿宋_GB2312" w:cs="宋体"/>
                <w:kern w:val="0"/>
                <w:sz w:val="24"/>
                <w:szCs w:val="24"/>
              </w:rPr>
              <w:t>4</w:t>
            </w:r>
          </w:p>
        </w:tc>
        <w:tc>
          <w:tcPr>
            <w:tcW w:w="3021" w:type="pct"/>
            <w:gridSpan w:val="2"/>
            <w:tcBorders>
              <w:top w:val="single" w:color="000000" w:sz="4" w:space="0"/>
              <w:left w:val="single" w:color="000000" w:sz="4" w:space="0"/>
              <w:bottom w:val="single" w:color="000000" w:sz="4" w:space="0"/>
              <w:right w:val="single" w:color="000000" w:sz="4" w:space="0"/>
            </w:tcBorders>
            <w:vAlign w:val="center"/>
          </w:tcPr>
          <w:p>
            <w:pPr>
              <w:spacing w:line="340" w:lineRule="exact"/>
              <w:rPr>
                <w:rFonts w:ascii="仿宋_GB2312" w:hAnsi="宋体" w:eastAsia="仿宋_GB2312" w:cs="宋体"/>
                <w:kern w:val="0"/>
                <w:sz w:val="24"/>
                <w:szCs w:val="24"/>
              </w:rPr>
            </w:pPr>
            <w:r>
              <w:rPr>
                <w:rFonts w:hint="eastAsia" w:ascii="仿宋_GB2312" w:hAnsi="宋体" w:eastAsia="仿宋_GB2312" w:cs="宋体"/>
                <w:kern w:val="0"/>
                <w:sz w:val="24"/>
                <w:szCs w:val="24"/>
              </w:rPr>
              <w:t>城市老旧小区改造（个）</w:t>
            </w: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b/>
                <w:color w:val="FF0000"/>
                <w:kern w:val="0"/>
                <w:sz w:val="24"/>
                <w:szCs w:val="24"/>
              </w:rPr>
            </w:pPr>
            <w:r>
              <w:rPr>
                <w:rFonts w:hint="eastAsia" w:ascii="仿宋_GB2312" w:hAnsi="宋体" w:eastAsia="仿宋_GB2312" w:cs="宋体"/>
                <w:kern w:val="0"/>
                <w:sz w:val="24"/>
                <w:szCs w:val="24"/>
              </w:rPr>
              <w:t>[</w:t>
            </w:r>
            <w:r>
              <w:rPr>
                <w:rFonts w:ascii="仿宋_GB2312" w:hAnsi="宋体" w:eastAsia="仿宋_GB2312" w:cs="宋体"/>
                <w:kern w:val="0"/>
                <w:sz w:val="24"/>
                <w:szCs w:val="24"/>
              </w:rPr>
              <w:t>177</w:t>
            </w:r>
            <w:r>
              <w:rPr>
                <w:rFonts w:hint="eastAsia" w:ascii="仿宋_GB2312" w:hAnsi="宋体" w:eastAsia="仿宋_GB2312" w:cs="宋体"/>
                <w:kern w:val="0"/>
                <w:sz w:val="24"/>
                <w:szCs w:val="24"/>
              </w:rPr>
              <w:t>]</w:t>
            </w:r>
          </w:p>
        </w:tc>
        <w:tc>
          <w:tcPr>
            <w:tcW w:w="749"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ascii="仿宋_GB2312" w:hAnsi="宋体" w:eastAsia="仿宋_GB2312" w:cs="宋体"/>
                <w:kern w:val="0"/>
                <w:sz w:val="24"/>
                <w:szCs w:val="24"/>
              </w:rPr>
              <w:t>5</w:t>
            </w:r>
          </w:p>
        </w:tc>
        <w:tc>
          <w:tcPr>
            <w:tcW w:w="3021" w:type="pct"/>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rPr>
                <w:rFonts w:ascii="仿宋_GB2312" w:hAnsi="宋体" w:eastAsia="仿宋_GB2312" w:cs="宋体"/>
                <w:kern w:val="0"/>
                <w:sz w:val="24"/>
                <w:szCs w:val="24"/>
              </w:rPr>
            </w:pPr>
            <w:r>
              <w:rPr>
                <w:rFonts w:hint="eastAsia" w:ascii="仿宋_GB2312" w:hAnsi="宋体" w:eastAsia="仿宋_GB2312" w:cs="宋体"/>
                <w:kern w:val="0"/>
                <w:sz w:val="24"/>
                <w:szCs w:val="24"/>
              </w:rPr>
              <w:t>城市保障房建设（套）</w:t>
            </w: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[1500]</w:t>
            </w:r>
          </w:p>
        </w:tc>
        <w:tc>
          <w:tcPr>
            <w:tcW w:w="749"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b/>
                <w:kern w:val="0"/>
                <w:sz w:val="24"/>
                <w:szCs w:val="24"/>
              </w:rPr>
            </w:pPr>
            <w:r>
              <w:rPr>
                <w:rFonts w:hint="eastAsia" w:ascii="仿宋_GB2312" w:hAnsi="宋体" w:eastAsia="仿宋_GB2312" w:cs="宋体"/>
                <w:b/>
                <w:kern w:val="0"/>
                <w:sz w:val="24"/>
                <w:szCs w:val="24"/>
              </w:rPr>
              <w:t>三</w:t>
            </w:r>
          </w:p>
        </w:tc>
        <w:tc>
          <w:tcPr>
            <w:tcW w:w="4508" w:type="pct"/>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rPr>
                <w:rFonts w:ascii="仿宋_GB2312" w:hAnsi="宋体" w:eastAsia="仿宋_GB2312" w:cs="宋体"/>
                <w:b/>
                <w:kern w:val="0"/>
                <w:sz w:val="24"/>
                <w:szCs w:val="24"/>
              </w:rPr>
            </w:pPr>
            <w:r>
              <w:rPr>
                <w:rFonts w:hint="eastAsia" w:ascii="仿宋_GB2312" w:hAnsi="宋体" w:eastAsia="仿宋_GB2312" w:cs="宋体"/>
                <w:b/>
                <w:kern w:val="0"/>
                <w:sz w:val="24"/>
                <w:szCs w:val="24"/>
              </w:rPr>
              <w:t>城乡建设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492" w:type="pct"/>
            <w:vMerge w:val="restart"/>
            <w:tcBorders>
              <w:top w:val="single" w:color="000000" w:sz="4" w:space="0"/>
              <w:left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ascii="仿宋_GB2312" w:hAnsi="宋体" w:eastAsia="仿宋_GB2312" w:cs="宋体"/>
                <w:kern w:val="0"/>
                <w:sz w:val="24"/>
                <w:szCs w:val="24"/>
              </w:rPr>
              <w:t>6</w:t>
            </w:r>
          </w:p>
        </w:tc>
        <w:tc>
          <w:tcPr>
            <w:tcW w:w="2039" w:type="pct"/>
            <w:vMerge w:val="restart"/>
            <w:tcBorders>
              <w:top w:val="single" w:color="000000" w:sz="4" w:space="0"/>
              <w:left w:val="single" w:color="000000" w:sz="4" w:space="0"/>
              <w:right w:val="single" w:color="auto" w:sz="4" w:space="0"/>
            </w:tcBorders>
            <w:vAlign w:val="center"/>
          </w:tcPr>
          <w:p>
            <w:pPr>
              <w:autoSpaceDE w:val="0"/>
              <w:autoSpaceDN w:val="0"/>
              <w:adjustRightInd w:val="0"/>
              <w:spacing w:line="340" w:lineRule="exact"/>
              <w:rPr>
                <w:rFonts w:ascii="仿宋_GB2312" w:hAnsi="宋体" w:eastAsia="仿宋_GB2312" w:cs="宋体"/>
                <w:kern w:val="0"/>
                <w:sz w:val="24"/>
                <w:szCs w:val="24"/>
              </w:rPr>
            </w:pPr>
            <w:r>
              <w:rPr>
                <w:rFonts w:hint="eastAsia" w:ascii="仿宋_GB2312" w:hAnsi="宋体" w:eastAsia="仿宋_GB2312" w:cs="宋体"/>
                <w:kern w:val="0"/>
                <w:sz w:val="24"/>
                <w:szCs w:val="24"/>
              </w:rPr>
              <w:t>生活污水集中处理率（%）</w:t>
            </w:r>
          </w:p>
        </w:tc>
        <w:tc>
          <w:tcPr>
            <w:tcW w:w="982" w:type="pct"/>
            <w:tcBorders>
              <w:top w:val="single" w:color="000000" w:sz="4" w:space="0"/>
              <w:left w:val="single" w:color="auto" w:sz="4" w:space="0"/>
              <w:bottom w:val="single" w:color="auto"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县城</w:t>
            </w:r>
          </w:p>
        </w:tc>
        <w:tc>
          <w:tcPr>
            <w:tcW w:w="738" w:type="pct"/>
            <w:tcBorders>
              <w:top w:val="single" w:color="000000" w:sz="4" w:space="0"/>
              <w:left w:val="single" w:color="000000" w:sz="4" w:space="0"/>
              <w:bottom w:val="single" w:color="auto"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95</w:t>
            </w:r>
          </w:p>
        </w:tc>
        <w:tc>
          <w:tcPr>
            <w:tcW w:w="749" w:type="pct"/>
            <w:tcBorders>
              <w:top w:val="single" w:color="000000" w:sz="4" w:space="0"/>
              <w:left w:val="single" w:color="000000" w:sz="4" w:space="0"/>
              <w:bottom w:val="single" w:color="auto"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约束性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0" w:type="auto"/>
            <w:vMerge w:val="continue"/>
            <w:tcBorders>
              <w:left w:val="single" w:color="000000" w:sz="4" w:space="0"/>
              <w:bottom w:val="single" w:color="000000" w:sz="4" w:space="0"/>
              <w:right w:val="single" w:color="000000" w:sz="4" w:space="0"/>
            </w:tcBorders>
            <w:vAlign w:val="center"/>
          </w:tcPr>
          <w:p>
            <w:pPr>
              <w:widowControl/>
              <w:spacing w:line="340" w:lineRule="exact"/>
              <w:jc w:val="left"/>
              <w:rPr>
                <w:rFonts w:ascii="仿宋_GB2312" w:hAnsi="宋体" w:eastAsia="仿宋_GB2312" w:cs="宋体"/>
                <w:kern w:val="0"/>
                <w:sz w:val="24"/>
                <w:szCs w:val="24"/>
              </w:rPr>
            </w:pPr>
          </w:p>
        </w:tc>
        <w:tc>
          <w:tcPr>
            <w:tcW w:w="0" w:type="auto"/>
            <w:vMerge w:val="continue"/>
            <w:tcBorders>
              <w:left w:val="single" w:color="000000" w:sz="4" w:space="0"/>
              <w:bottom w:val="single" w:color="000000" w:sz="4" w:space="0"/>
              <w:right w:val="single" w:color="auto" w:sz="4" w:space="0"/>
            </w:tcBorders>
            <w:vAlign w:val="center"/>
          </w:tcPr>
          <w:p>
            <w:pPr>
              <w:widowControl/>
              <w:spacing w:line="340" w:lineRule="exact"/>
              <w:jc w:val="left"/>
              <w:rPr>
                <w:rFonts w:ascii="仿宋_GB2312" w:hAnsi="宋体" w:eastAsia="仿宋_GB2312" w:cs="宋体"/>
                <w:kern w:val="0"/>
                <w:sz w:val="24"/>
                <w:szCs w:val="24"/>
              </w:rPr>
            </w:pPr>
          </w:p>
        </w:tc>
        <w:tc>
          <w:tcPr>
            <w:tcW w:w="982" w:type="pct"/>
            <w:tcBorders>
              <w:top w:val="single" w:color="000000" w:sz="4" w:space="0"/>
              <w:left w:val="single" w:color="auto"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乡镇</w:t>
            </w: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80</w:t>
            </w:r>
          </w:p>
        </w:tc>
        <w:tc>
          <w:tcPr>
            <w:tcW w:w="749"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ascii="仿宋_GB2312" w:hAnsi="宋体" w:eastAsia="仿宋_GB2312" w:cs="宋体"/>
                <w:kern w:val="0"/>
                <w:sz w:val="24"/>
                <w:szCs w:val="24"/>
              </w:rPr>
              <w:t>7</w:t>
            </w:r>
          </w:p>
        </w:tc>
        <w:tc>
          <w:tcPr>
            <w:tcW w:w="3021" w:type="pct"/>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left"/>
              <w:rPr>
                <w:rFonts w:ascii="仿宋_GB2312" w:hAnsi="宋体" w:eastAsia="仿宋_GB2312" w:cs="宋体"/>
                <w:kern w:val="0"/>
                <w:sz w:val="24"/>
                <w:szCs w:val="24"/>
              </w:rPr>
            </w:pPr>
            <w:r>
              <w:rPr>
                <w:rFonts w:hint="eastAsia" w:ascii="仿宋_GB2312" w:hAnsi="宋体" w:eastAsia="仿宋_GB2312" w:cs="宋体"/>
                <w:kern w:val="0"/>
                <w:sz w:val="24"/>
                <w:szCs w:val="24"/>
              </w:rPr>
              <w:t>供水管网漏损率（%）</w:t>
            </w: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w:t>
            </w:r>
            <w:r>
              <w:rPr>
                <w:rFonts w:ascii="仿宋_GB2312" w:hAnsi="宋体" w:eastAsia="仿宋_GB2312" w:cs="宋体"/>
                <w:kern w:val="0"/>
                <w:sz w:val="24"/>
                <w:szCs w:val="24"/>
              </w:rPr>
              <w:t>10</w:t>
            </w:r>
          </w:p>
        </w:tc>
        <w:tc>
          <w:tcPr>
            <w:tcW w:w="749"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约束性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ascii="仿宋_GB2312" w:hAnsi="宋体" w:eastAsia="仿宋_GB2312" w:cs="宋体"/>
                <w:kern w:val="0"/>
                <w:sz w:val="24"/>
                <w:szCs w:val="24"/>
              </w:rPr>
              <w:t>8</w:t>
            </w:r>
          </w:p>
        </w:tc>
        <w:tc>
          <w:tcPr>
            <w:tcW w:w="3021" w:type="pct"/>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rPr>
                <w:rFonts w:ascii="仿宋_GB2312" w:hAnsi="宋体" w:eastAsia="仿宋_GB2312" w:cs="宋体"/>
                <w:kern w:val="0"/>
                <w:sz w:val="24"/>
                <w:szCs w:val="24"/>
              </w:rPr>
            </w:pPr>
            <w:r>
              <w:rPr>
                <w:rFonts w:hint="eastAsia" w:ascii="仿宋_GB2312" w:hAnsi="宋体" w:eastAsia="仿宋_GB2312" w:cs="宋体"/>
                <w:kern w:val="0"/>
                <w:sz w:val="24"/>
                <w:szCs w:val="24"/>
              </w:rPr>
              <w:t>城市建成区按海绵城市标准建设比例（%）</w:t>
            </w: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20</w:t>
            </w:r>
          </w:p>
        </w:tc>
        <w:tc>
          <w:tcPr>
            <w:tcW w:w="749"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ascii="仿宋_GB2312" w:hAnsi="宋体" w:eastAsia="仿宋_GB2312" w:cs="宋体"/>
                <w:kern w:val="0"/>
                <w:sz w:val="24"/>
                <w:szCs w:val="24"/>
              </w:rPr>
              <w:t>9</w:t>
            </w:r>
          </w:p>
        </w:tc>
        <w:tc>
          <w:tcPr>
            <w:tcW w:w="3021" w:type="pct"/>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rPr>
                <w:rFonts w:ascii="仿宋_GB2312" w:hAnsi="宋体" w:eastAsia="仿宋_GB2312" w:cs="宋体"/>
                <w:b/>
                <w:color w:val="FF0000"/>
                <w:kern w:val="0"/>
                <w:sz w:val="24"/>
                <w:szCs w:val="24"/>
              </w:rPr>
            </w:pPr>
            <w:r>
              <w:rPr>
                <w:rFonts w:hint="eastAsia" w:ascii="仿宋_GB2312" w:hAnsi="宋体" w:eastAsia="仿宋_GB2312" w:cs="宋体"/>
                <w:kern w:val="0"/>
                <w:sz w:val="24"/>
                <w:szCs w:val="24"/>
              </w:rPr>
              <w:t>城市建成区平均路网密度（公里/平方公里）</w:t>
            </w: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ascii="仿宋_GB2312" w:hAnsi="宋体" w:eastAsia="仿宋_GB2312" w:cs="宋体"/>
                <w:kern w:val="0"/>
                <w:sz w:val="24"/>
                <w:szCs w:val="24"/>
              </w:rPr>
              <w:t>11</w:t>
            </w:r>
          </w:p>
        </w:tc>
        <w:tc>
          <w:tcPr>
            <w:tcW w:w="749"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ascii="仿宋_GB2312" w:hAnsi="宋体" w:eastAsia="仿宋_GB2312" w:cs="宋体"/>
                <w:kern w:val="0"/>
                <w:sz w:val="24"/>
                <w:szCs w:val="24"/>
              </w:rPr>
              <w:t>10</w:t>
            </w:r>
          </w:p>
        </w:tc>
        <w:tc>
          <w:tcPr>
            <w:tcW w:w="3021" w:type="pct"/>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rPr>
                <w:rFonts w:ascii="仿宋_GB2312" w:hAnsi="宋体" w:eastAsia="仿宋_GB2312" w:cs="宋体"/>
                <w:kern w:val="0"/>
                <w:sz w:val="24"/>
                <w:szCs w:val="24"/>
              </w:rPr>
            </w:pPr>
            <w:r>
              <w:rPr>
                <w:rFonts w:hint="eastAsia" w:ascii="仿宋_GB2312" w:hAnsi="宋体" w:eastAsia="仿宋_GB2312" w:cs="宋体"/>
                <w:kern w:val="0"/>
                <w:sz w:val="24"/>
                <w:szCs w:val="24"/>
              </w:rPr>
              <w:t>城市建成区绿地率（%）</w:t>
            </w: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39</w:t>
            </w:r>
          </w:p>
        </w:tc>
        <w:tc>
          <w:tcPr>
            <w:tcW w:w="749"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widowControl/>
              <w:spacing w:line="340" w:lineRule="exact"/>
              <w:jc w:val="center"/>
              <w:rPr>
                <w:rFonts w:ascii="仿宋_GB2312" w:hAnsi="宋体" w:eastAsia="仿宋_GB2312" w:cs="宋体"/>
                <w:kern w:val="0"/>
                <w:sz w:val="24"/>
                <w:szCs w:val="24"/>
              </w:rPr>
            </w:pPr>
            <w:r>
              <w:rPr>
                <w:rFonts w:ascii="仿宋_GB2312" w:hAnsi="宋体" w:eastAsia="仿宋_GB2312" w:cs="宋体"/>
                <w:kern w:val="0"/>
                <w:sz w:val="24"/>
                <w:szCs w:val="24"/>
              </w:rPr>
              <w:t>11</w:t>
            </w:r>
          </w:p>
        </w:tc>
        <w:tc>
          <w:tcPr>
            <w:tcW w:w="3021" w:type="pct"/>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rPr>
                <w:rFonts w:ascii="仿宋_GB2312" w:hAnsi="宋体" w:eastAsia="仿宋_GB2312" w:cs="宋体"/>
                <w:kern w:val="0"/>
                <w:sz w:val="24"/>
                <w:szCs w:val="24"/>
              </w:rPr>
            </w:pPr>
            <w:r>
              <w:rPr>
                <w:rFonts w:hint="eastAsia" w:ascii="仿宋_GB2312" w:hAnsi="宋体" w:eastAsia="仿宋_GB2312" w:cs="宋体"/>
                <w:kern w:val="0"/>
                <w:sz w:val="24"/>
                <w:szCs w:val="24"/>
              </w:rPr>
              <w:t>城市人均公园绿地面积（平方米）</w:t>
            </w: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13.5</w:t>
            </w:r>
          </w:p>
        </w:tc>
        <w:tc>
          <w:tcPr>
            <w:tcW w:w="749"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b/>
                <w:kern w:val="0"/>
                <w:sz w:val="24"/>
                <w:szCs w:val="24"/>
              </w:rPr>
            </w:pPr>
            <w:r>
              <w:rPr>
                <w:rFonts w:hint="eastAsia" w:ascii="仿宋_GB2312" w:hAnsi="宋体" w:eastAsia="仿宋_GB2312" w:cs="宋体"/>
                <w:b/>
                <w:kern w:val="0"/>
                <w:sz w:val="24"/>
                <w:szCs w:val="24"/>
              </w:rPr>
              <w:t>四</w:t>
            </w:r>
          </w:p>
        </w:tc>
        <w:tc>
          <w:tcPr>
            <w:tcW w:w="4508" w:type="pct"/>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rPr>
                <w:rFonts w:ascii="仿宋_GB2312" w:hAnsi="宋体" w:eastAsia="仿宋_GB2312" w:cs="宋体"/>
                <w:b/>
                <w:kern w:val="0"/>
                <w:sz w:val="24"/>
                <w:szCs w:val="24"/>
              </w:rPr>
            </w:pPr>
            <w:r>
              <w:rPr>
                <w:rFonts w:hint="eastAsia" w:ascii="仿宋_GB2312" w:hAnsi="宋体" w:eastAsia="仿宋_GB2312" w:cs="宋体"/>
                <w:b/>
                <w:kern w:val="0"/>
                <w:sz w:val="24"/>
                <w:szCs w:val="24"/>
              </w:rPr>
              <w:t>建筑业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ascii="仿宋_GB2312" w:hAnsi="宋体" w:eastAsia="仿宋_GB2312" w:cs="宋体"/>
                <w:kern w:val="0"/>
                <w:sz w:val="24"/>
                <w:szCs w:val="24"/>
              </w:rPr>
              <w:t>12</w:t>
            </w:r>
          </w:p>
        </w:tc>
        <w:tc>
          <w:tcPr>
            <w:tcW w:w="3021" w:type="pct"/>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rPr>
                <w:rFonts w:ascii="仿宋_GB2312" w:hAnsi="宋体" w:eastAsia="仿宋_GB2312" w:cs="宋体"/>
                <w:kern w:val="0"/>
                <w:sz w:val="24"/>
                <w:szCs w:val="24"/>
              </w:rPr>
            </w:pPr>
            <w:r>
              <w:rPr>
                <w:rFonts w:hint="eastAsia" w:ascii="仿宋_GB2312" w:hAnsi="宋体" w:eastAsia="仿宋_GB2312" w:cs="宋体"/>
                <w:kern w:val="0"/>
                <w:sz w:val="24"/>
                <w:szCs w:val="24"/>
              </w:rPr>
              <w:t>建筑业总产值（亿元）</w:t>
            </w: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20</w:t>
            </w:r>
          </w:p>
        </w:tc>
        <w:tc>
          <w:tcPr>
            <w:tcW w:w="749"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ascii="仿宋_GB2312" w:hAnsi="宋体" w:eastAsia="仿宋_GB2312" w:cs="宋体"/>
                <w:kern w:val="0"/>
                <w:sz w:val="24"/>
                <w:szCs w:val="24"/>
              </w:rPr>
              <w:t>13</w:t>
            </w:r>
          </w:p>
        </w:tc>
        <w:tc>
          <w:tcPr>
            <w:tcW w:w="3021" w:type="pct"/>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rPr>
                <w:rFonts w:ascii="仿宋_GB2312" w:hAnsi="宋体" w:eastAsia="仿宋_GB2312" w:cs="宋体"/>
                <w:kern w:val="0"/>
                <w:sz w:val="24"/>
                <w:szCs w:val="24"/>
              </w:rPr>
            </w:pPr>
            <w:r>
              <w:rPr>
                <w:rFonts w:hint="eastAsia" w:ascii="仿宋_GB2312" w:hAnsi="宋体" w:eastAsia="仿宋_GB2312" w:cs="宋体"/>
                <w:kern w:val="0"/>
                <w:sz w:val="24"/>
                <w:szCs w:val="24"/>
              </w:rPr>
              <w:t>新建建筑按绿色建筑标准设计建造率（%）</w:t>
            </w: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＞70</w:t>
            </w:r>
          </w:p>
        </w:tc>
        <w:tc>
          <w:tcPr>
            <w:tcW w:w="749"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约束性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ascii="仿宋_GB2312" w:hAnsi="宋体" w:eastAsia="仿宋_GB2312" w:cs="宋体"/>
                <w:kern w:val="0"/>
                <w:sz w:val="24"/>
                <w:szCs w:val="24"/>
              </w:rPr>
              <w:t>14</w:t>
            </w:r>
          </w:p>
        </w:tc>
        <w:tc>
          <w:tcPr>
            <w:tcW w:w="3021" w:type="pct"/>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rPr>
                <w:rFonts w:ascii="仿宋_GB2312" w:hAnsi="宋体" w:eastAsia="仿宋_GB2312" w:cs="宋体"/>
                <w:kern w:val="0"/>
                <w:sz w:val="24"/>
                <w:szCs w:val="24"/>
              </w:rPr>
            </w:pPr>
            <w:r>
              <w:rPr>
                <w:rFonts w:hint="eastAsia" w:ascii="仿宋_GB2312" w:hAnsi="宋体" w:eastAsia="仿宋_GB2312" w:cs="宋体"/>
                <w:kern w:val="0"/>
                <w:sz w:val="24"/>
                <w:szCs w:val="24"/>
              </w:rPr>
              <w:t>可再生能源建筑应用比例（%）</w:t>
            </w: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＞70</w:t>
            </w:r>
          </w:p>
        </w:tc>
        <w:tc>
          <w:tcPr>
            <w:tcW w:w="749"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预期性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492"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ascii="仿宋_GB2312" w:hAnsi="宋体" w:eastAsia="仿宋_GB2312" w:cs="宋体"/>
                <w:kern w:val="0"/>
                <w:sz w:val="24"/>
                <w:szCs w:val="24"/>
              </w:rPr>
              <w:t>15</w:t>
            </w:r>
          </w:p>
        </w:tc>
        <w:tc>
          <w:tcPr>
            <w:tcW w:w="3021" w:type="pct"/>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rPr>
                <w:rFonts w:ascii="仿宋_GB2312" w:hAnsi="宋体" w:eastAsia="仿宋_GB2312" w:cs="宋体"/>
                <w:kern w:val="0"/>
                <w:sz w:val="24"/>
                <w:szCs w:val="24"/>
              </w:rPr>
            </w:pPr>
            <w:r>
              <w:rPr>
                <w:rFonts w:hint="eastAsia" w:ascii="仿宋_GB2312" w:hAnsi="宋体" w:eastAsia="仿宋_GB2312" w:cs="宋体"/>
                <w:kern w:val="0"/>
                <w:sz w:val="24"/>
                <w:szCs w:val="24"/>
              </w:rPr>
              <w:t>装配式建筑占城镇新建建筑比例（%）</w:t>
            </w: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＞30</w:t>
            </w:r>
          </w:p>
        </w:tc>
        <w:tc>
          <w:tcPr>
            <w:tcW w:w="749"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40" w:lineRule="exact"/>
              <w:jc w:val="center"/>
              <w:rPr>
                <w:rFonts w:ascii="仿宋_GB2312" w:hAnsi="宋体" w:eastAsia="仿宋_GB2312" w:cs="宋体"/>
                <w:kern w:val="0"/>
                <w:sz w:val="24"/>
                <w:szCs w:val="24"/>
              </w:rPr>
            </w:pPr>
            <w:r>
              <w:rPr>
                <w:rFonts w:hint="eastAsia" w:ascii="仿宋_GB2312" w:hAnsi="宋体" w:eastAsia="仿宋_GB2312" w:cs="宋体"/>
                <w:kern w:val="0"/>
                <w:sz w:val="24"/>
                <w:szCs w:val="24"/>
              </w:rPr>
              <w:t>预期性</w:t>
            </w:r>
          </w:p>
        </w:tc>
      </w:tr>
    </w:tbl>
    <w:p>
      <w:pPr>
        <w:spacing w:line="576" w:lineRule="exact"/>
        <w:ind w:firstLine="600" w:firstLineChars="250"/>
        <w:rPr>
          <w:rFonts w:ascii="仿宋_GB2312" w:hAnsi="Times New Roman" w:eastAsia="仿宋_GB2312" w:cs="Times New Roman"/>
          <w:sz w:val="32"/>
          <w:szCs w:val="32"/>
        </w:rPr>
      </w:pPr>
      <w:r>
        <w:rPr>
          <w:rFonts w:hint="eastAsia" w:ascii="仿宋_GB2312" w:hAnsi="宋体" w:eastAsia="仿宋_GB2312" w:cs="宋体"/>
          <w:kern w:val="0"/>
          <w:sz w:val="24"/>
        </w:rPr>
        <w:t>注：〔 〕内为5年累计数。</w:t>
      </w:r>
    </w:p>
    <w:p>
      <w:pPr>
        <w:pStyle w:val="2"/>
        <w:spacing w:before="156" w:beforeLines="50" w:after="156" w:afterLines="50"/>
        <w:rPr>
          <w:rFonts w:ascii="黑体" w:hAnsi="黑体" w:eastAsia="黑体"/>
          <w:sz w:val="32"/>
          <w:szCs w:val="32"/>
        </w:rPr>
      </w:pPr>
      <w:bookmarkStart w:id="17" w:name="_Toc69314789"/>
      <w:r>
        <w:rPr>
          <w:rFonts w:hint="eastAsia" w:ascii="黑体" w:hAnsi="黑体" w:eastAsia="黑体"/>
          <w:sz w:val="32"/>
          <w:szCs w:val="32"/>
        </w:rPr>
        <w:t>四、“十四五”重点行动</w:t>
      </w:r>
      <w:bookmarkEnd w:id="17"/>
    </w:p>
    <w:p>
      <w:pPr>
        <w:pStyle w:val="3"/>
        <w:spacing w:before="120" w:after="120" w:line="240" w:lineRule="auto"/>
        <w:rPr>
          <w:rFonts w:ascii="宋体" w:hAnsi="宋体" w:eastAsia="宋体"/>
          <w:sz w:val="30"/>
          <w:szCs w:val="30"/>
        </w:rPr>
      </w:pPr>
      <w:bookmarkStart w:id="18" w:name="_Toc69314790"/>
      <w:r>
        <w:rPr>
          <w:rFonts w:hint="eastAsia" w:ascii="宋体" w:hAnsi="宋体" w:eastAsia="宋体"/>
          <w:sz w:val="30"/>
          <w:szCs w:val="30"/>
        </w:rPr>
        <w:t>（一）高质量构建东至“双循环”新格局</w:t>
      </w:r>
      <w:bookmarkEnd w:id="18"/>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19" w:name="_Toc69314791"/>
      <w:r>
        <w:rPr>
          <w:rFonts w:ascii="仿宋_GB2312" w:hAnsi="Times New Roman" w:eastAsia="仿宋_GB2312" w:cs="Times New Roman"/>
          <w:bCs w:val="0"/>
          <w:kern w:val="2"/>
          <w:sz w:val="30"/>
          <w:szCs w:val="30"/>
        </w:rPr>
        <w:t>1、</w:t>
      </w:r>
      <w:r>
        <w:rPr>
          <w:rFonts w:hint="eastAsia" w:ascii="仿宋_GB2312" w:hAnsi="Times New Roman" w:eastAsia="仿宋_GB2312" w:cs="Times New Roman"/>
          <w:bCs w:val="0"/>
          <w:kern w:val="2"/>
          <w:sz w:val="30"/>
          <w:szCs w:val="30"/>
        </w:rPr>
        <w:t>聚焦建筑产业发展联通</w:t>
      </w:r>
      <w:bookmarkEnd w:id="19"/>
    </w:p>
    <w:p>
      <w:pPr>
        <w:spacing w:line="576"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紧抓要素保障。充分发挥市场在资源配置中的决定性作用，更好发挥政府作用，促进人才、资金、技术、资源等要素自由流动，实现东至与周边区域优势互补。聚焦打造百年精品工程，健全完善高质量标准体系，推进技术研发、设计咨询、建筑施工、工程监理和建筑部品部件制作安装、建筑材料生产加工、建筑质量检测鉴定、建筑装饰装修、危旧房屋维修加固等全产业链创新联动融合发展。牢抓市场拓展。抢抓长江经济带发展、长三角一体化发展和乡村振兴等国家重大战略机遇，不断拓宽东至建筑业发展新空间。以市场需求为导向，大力实施工程总承包，着力培育一批工程总承包龙头企业，至“十四五”末，实现东至建筑工程资质一级突破。实抓环境优化。深化工程建设项目审批制度改革，提升工程建设项目报建审批效能，目标在现有工程建设项目审批88</w:t>
      </w:r>
      <w:r>
        <w:rPr>
          <w:rFonts w:ascii="仿宋_GB2312" w:hAnsi="Times New Roman" w:eastAsia="仿宋_GB2312" w:cs="Times New Roman"/>
          <w:bCs/>
          <w:sz w:val="28"/>
          <w:szCs w:val="28"/>
        </w:rPr>
        <w:t>个工作日的基础上再</w:t>
      </w:r>
      <w:r>
        <w:rPr>
          <w:rFonts w:hint="eastAsia" w:ascii="仿宋_GB2312" w:hAnsi="Times New Roman" w:eastAsia="仿宋_GB2312" w:cs="Times New Roman"/>
          <w:bCs/>
          <w:sz w:val="28"/>
          <w:szCs w:val="28"/>
        </w:rPr>
        <w:t>进一步</w:t>
      </w:r>
      <w:r>
        <w:rPr>
          <w:rFonts w:ascii="仿宋_GB2312" w:hAnsi="Times New Roman" w:eastAsia="仿宋_GB2312" w:cs="Times New Roman"/>
          <w:bCs/>
          <w:sz w:val="28"/>
          <w:szCs w:val="28"/>
        </w:rPr>
        <w:t>压缩审批时间</w:t>
      </w:r>
      <w:r>
        <w:rPr>
          <w:rFonts w:hint="eastAsia" w:ascii="仿宋_GB2312" w:hAnsi="Times New Roman" w:eastAsia="仿宋_GB2312" w:cs="Times New Roman"/>
          <w:bCs/>
          <w:sz w:val="28"/>
          <w:szCs w:val="28"/>
        </w:rPr>
        <w:t>至77个工作日</w:t>
      </w:r>
      <w:r>
        <w:rPr>
          <w:rFonts w:ascii="仿宋_GB2312" w:hAnsi="Times New Roman" w:eastAsia="仿宋_GB2312" w:cs="Times New Roman"/>
          <w:bCs/>
          <w:sz w:val="28"/>
          <w:szCs w:val="28"/>
        </w:rPr>
        <w:t>。持续推进房屋建筑和市政基础设施工程建设领域突出问题专项整治，深入开展扫黑除恶专项斗争，清理规范行业涉企收费。大力推行工程担保，提升各类保证金的保函替代率，全面落实纾困惠企政策，切实减轻企业负担，保护和激发市场主体活力。</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sz w:val="30"/>
          <w:szCs w:val="30"/>
        </w:rPr>
      </w:pPr>
      <w:bookmarkStart w:id="20" w:name="_Toc69314792"/>
      <w:r>
        <w:rPr>
          <w:rFonts w:hint="eastAsia" w:ascii="仿宋_GB2312" w:hAnsi="Times New Roman" w:eastAsia="仿宋_GB2312" w:cs="Times New Roman"/>
          <w:bCs w:val="0"/>
          <w:kern w:val="2"/>
          <w:sz w:val="30"/>
          <w:szCs w:val="30"/>
        </w:rPr>
        <w:t>2、保障房地产市场平稳顺通</w:t>
      </w:r>
      <w:bookmarkEnd w:id="20"/>
    </w:p>
    <w:p>
      <w:pPr>
        <w:spacing w:line="576" w:lineRule="exact"/>
        <w:ind w:firstLine="560" w:firstLineChars="200"/>
        <w:rPr>
          <w:rFonts w:ascii="仿宋_GB2312" w:hAnsi="Times New Roman" w:eastAsia="仿宋_GB2312" w:cs="Times New Roman"/>
          <w:color w:val="FF0000"/>
          <w:sz w:val="28"/>
          <w:szCs w:val="28"/>
        </w:rPr>
      </w:pPr>
      <w:r>
        <w:rPr>
          <w:rFonts w:hint="eastAsia" w:ascii="仿宋_GB2312" w:hAnsi="Times New Roman" w:eastAsia="仿宋_GB2312" w:cs="Times New Roman"/>
          <w:sz w:val="28"/>
          <w:szCs w:val="28"/>
        </w:rPr>
        <w:t>着力推进“稳地价、稳房价、稳预期”</w:t>
      </w:r>
      <w:r>
        <w:rPr>
          <w:rFonts w:ascii="仿宋_GB2312" w:hAnsi="Times New Roman" w:eastAsia="仿宋_GB2312" w:cs="Times New Roman"/>
          <w:sz w:val="28"/>
          <w:szCs w:val="28"/>
        </w:rPr>
        <w:t>,保持房地产市场平稳健康发展。坚持房子是用来住的、不是用来炒的定位，继续稳妥实施房地产市场平稳健康发展长效机制方案，建立和完善政策协同、调控联动、监测预警、舆情引导、市场监管等房地产调控体制机制。合理增加商品住房及其用地供应，支持刚性居住需求。加大舜城新区土地供给力度，着力发展高品质住宅；严格控制</w:t>
      </w:r>
      <w:r>
        <w:rPr>
          <w:rFonts w:hint="eastAsia" w:ascii="仿宋_GB2312" w:hAnsi="Times New Roman" w:eastAsia="仿宋_GB2312" w:cs="Times New Roman"/>
          <w:sz w:val="28"/>
          <w:szCs w:val="28"/>
        </w:rPr>
        <w:t>尧城片区</w:t>
      </w:r>
      <w:r>
        <w:rPr>
          <w:rFonts w:ascii="仿宋_GB2312" w:hAnsi="Times New Roman" w:eastAsia="仿宋_GB2312" w:cs="Times New Roman"/>
          <w:sz w:val="28"/>
          <w:szCs w:val="28"/>
        </w:rPr>
        <w:t>土地供给规模，</w:t>
      </w:r>
      <w:r>
        <w:rPr>
          <w:rFonts w:hint="eastAsia" w:ascii="仿宋_GB2312" w:hAnsi="Times New Roman" w:eastAsia="仿宋_GB2312" w:cs="Times New Roman"/>
          <w:sz w:val="28"/>
          <w:szCs w:val="28"/>
        </w:rPr>
        <w:t>加强老旧小区改造</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联动颐养小镇开发建设，控制菊城片区</w:t>
      </w:r>
      <w:r>
        <w:rPr>
          <w:rFonts w:ascii="仿宋_GB2312" w:hAnsi="Times New Roman" w:eastAsia="仿宋_GB2312" w:cs="Times New Roman"/>
          <w:sz w:val="28"/>
          <w:szCs w:val="28"/>
        </w:rPr>
        <w:t>土地供给速度和规模；</w:t>
      </w:r>
      <w:r>
        <w:rPr>
          <w:rFonts w:hint="eastAsia" w:ascii="仿宋_GB2312" w:hAnsi="Times New Roman" w:eastAsia="仿宋_GB2312" w:cs="Times New Roman"/>
          <w:sz w:val="28"/>
          <w:szCs w:val="28"/>
        </w:rPr>
        <w:t>以去库存为主要目的，适时推进大渡口镇高品质住宅开发。进一步规范和加强房屋网签备案工作，加强商品房销售行为和经纪机构备案管理，逐步构建以房屋网签备案制度为基础的房地产交易管理体系，加大对重点楼盘商品房预售资金全额监管力度。深化住房维修基金改革。科学确定维修资金的交存比例，明确收取标准，完善收缴方式。改革维修资金的使用方式和流程，简化维修资金的使用程序。优化表决规则，提高使用决策效率，建立维修资金使用“绿色通道”，对于急需的维修项目，可以缩小表决范围。加强维修资金使用和管理的监督，建立维修资金公示制度。研究住房开发风险担保机制，提升住房建设的质量和品质，减少和避免延期交房、逾期办证、房屋质量纠纷和“烂尾楼”等现象的发生。</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sz w:val="30"/>
          <w:szCs w:val="30"/>
        </w:rPr>
      </w:pPr>
      <w:bookmarkStart w:id="21" w:name="_Toc69314793"/>
      <w:r>
        <w:rPr>
          <w:rFonts w:ascii="仿宋_GB2312" w:hAnsi="Times New Roman" w:eastAsia="仿宋_GB2312" w:cs="Times New Roman"/>
          <w:bCs w:val="0"/>
          <w:kern w:val="2"/>
          <w:sz w:val="30"/>
          <w:szCs w:val="30"/>
        </w:rPr>
        <w:t>3、</w:t>
      </w:r>
      <w:r>
        <w:rPr>
          <w:rFonts w:hint="eastAsia" w:ascii="仿宋_GB2312" w:hAnsi="Times New Roman" w:eastAsia="仿宋_GB2312" w:cs="Times New Roman"/>
          <w:bCs w:val="0"/>
          <w:kern w:val="2"/>
          <w:sz w:val="30"/>
          <w:szCs w:val="30"/>
        </w:rPr>
        <w:t>实现内外交通联系畅通</w:t>
      </w:r>
      <w:bookmarkEnd w:id="21"/>
    </w:p>
    <w:p>
      <w:pPr>
        <w:spacing w:line="560"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紧紧围绕“外联内畅”交通发展战略，全力推进池州</w:t>
      </w:r>
      <w:r>
        <w:rPr>
          <w:rFonts w:ascii="仿宋_GB2312" w:hAnsi="Times New Roman" w:eastAsia="仿宋_GB2312" w:cs="Times New Roman"/>
          <w:bCs/>
          <w:sz w:val="28"/>
          <w:szCs w:val="28"/>
        </w:rPr>
        <w:t>-东至-九江（南沿江）</w:t>
      </w:r>
      <w:r>
        <w:rPr>
          <w:rFonts w:hint="eastAsia" w:ascii="仿宋_GB2312" w:hAnsi="Times New Roman" w:eastAsia="仿宋_GB2312" w:cs="Times New Roman"/>
          <w:bCs/>
          <w:sz w:val="28"/>
          <w:szCs w:val="28"/>
        </w:rPr>
        <w:t>城际铁路</w:t>
      </w:r>
      <w:r>
        <w:rPr>
          <w:rFonts w:ascii="仿宋_GB2312" w:hAnsi="Times New Roman" w:eastAsia="仿宋_GB2312" w:cs="Times New Roman"/>
          <w:bCs/>
          <w:sz w:val="28"/>
          <w:szCs w:val="28"/>
        </w:rPr>
        <w:t>、宿松-望江-东至-宣城</w:t>
      </w:r>
      <w:r>
        <w:rPr>
          <w:rFonts w:hint="eastAsia" w:ascii="仿宋_GB2312" w:hAnsi="Times New Roman" w:eastAsia="仿宋_GB2312" w:cs="Times New Roman"/>
          <w:bCs/>
          <w:sz w:val="28"/>
          <w:szCs w:val="28"/>
        </w:rPr>
        <w:t>城际铁路，加速推动铜九普铁实施复线电气化改造工程，力争在“十四五”期间使东至县迈入高铁时代。推进东至-石台-黄山高速公路建设，开展东至-鄱阳湖、东至-宿松-太湖高速公路前期研究工作，积极争取安庆</w:t>
      </w:r>
      <w:r>
        <w:rPr>
          <w:rFonts w:ascii="仿宋_GB2312" w:hAnsi="Times New Roman" w:eastAsia="仿宋_GB2312" w:cs="Times New Roman"/>
          <w:bCs/>
          <w:sz w:val="28"/>
          <w:szCs w:val="28"/>
        </w:rPr>
        <w:t>-东至-景德镇高速铁路规划线型途径东至，加快</w:t>
      </w:r>
      <w:r>
        <w:rPr>
          <w:rFonts w:hint="eastAsia" w:ascii="仿宋_GB2312" w:hAnsi="Times New Roman" w:eastAsia="仿宋_GB2312" w:cs="Times New Roman"/>
          <w:bCs/>
          <w:sz w:val="28"/>
          <w:szCs w:val="28"/>
        </w:rPr>
        <w:t>推进济广高速在花园乡境内开通出口，建设G</w:t>
      </w:r>
      <w:r>
        <w:rPr>
          <w:rFonts w:ascii="仿宋_GB2312" w:hAnsi="Times New Roman" w:eastAsia="仿宋_GB2312" w:cs="Times New Roman"/>
          <w:bCs/>
          <w:sz w:val="28"/>
          <w:szCs w:val="28"/>
        </w:rPr>
        <w:t>318</w:t>
      </w:r>
      <w:r>
        <w:rPr>
          <w:rFonts w:hint="eastAsia" w:ascii="仿宋_GB2312" w:hAnsi="Times New Roman" w:eastAsia="仿宋_GB2312" w:cs="Times New Roman"/>
          <w:bCs/>
          <w:sz w:val="28"/>
          <w:szCs w:val="28"/>
        </w:rPr>
        <w:t>大渡口外环线，形成东至县对外</w:t>
      </w:r>
      <w:r>
        <w:rPr>
          <w:rFonts w:ascii="仿宋_GB2312" w:hAnsi="Times New Roman" w:eastAsia="仿宋_GB2312" w:cs="Times New Roman"/>
          <w:bCs/>
          <w:sz w:val="28"/>
          <w:szCs w:val="28"/>
        </w:rPr>
        <w:t>高速公路网</w:t>
      </w:r>
      <w:r>
        <w:rPr>
          <w:rFonts w:hint="eastAsia" w:ascii="仿宋_GB2312" w:hAnsi="Times New Roman" w:eastAsia="仿宋_GB2312" w:cs="Times New Roman"/>
          <w:bCs/>
          <w:sz w:val="28"/>
          <w:szCs w:val="28"/>
        </w:rPr>
        <w:t>骨架。推动池州东流公路大桥、安庆海口长江公路大桥、安庆新洲长江大桥等过江通道的建设，适时开展安庆长江公路大桥非机动车通行改造前期论证研究和通行费用减免工作，提升东至跨江联系能力。在阳塘湖北规划建设东至A级通用机场，为东至提供航空旅游、社会公共服务和短途运输等服务。加快沿江零散码头整合，科学谋划香隅、东流和大渡口三个深水港建设，力争实现1至</w:t>
      </w:r>
      <w:r>
        <w:rPr>
          <w:rFonts w:ascii="仿宋_GB2312" w:hAnsi="Times New Roman" w:eastAsia="仿宋_GB2312" w:cs="Times New Roman"/>
          <w:bCs/>
          <w:sz w:val="28"/>
          <w:szCs w:val="28"/>
        </w:rPr>
        <w:t>2</w:t>
      </w:r>
      <w:r>
        <w:rPr>
          <w:rFonts w:hint="eastAsia" w:ascii="仿宋_GB2312" w:hAnsi="Times New Roman" w:eastAsia="仿宋_GB2312" w:cs="Times New Roman"/>
          <w:bCs/>
          <w:sz w:val="28"/>
          <w:szCs w:val="28"/>
        </w:rPr>
        <w:t>个口岸对外开放，打造沿江现代化码头和港口现代物流园。加快东流通江出口建设，整合码头，建设最美岸线。着重改善东至县内部国省道干线公路建设，加强尧东一体化区域及各乡镇之间的交通联系。通过池州东流公路大桥建设推动尧东快速路向西跨江接望江县，持续推进G530、G236、</w:t>
      </w:r>
      <w:r>
        <w:rPr>
          <w:rFonts w:ascii="仿宋_GB2312" w:hAnsi="Times New Roman" w:eastAsia="仿宋_GB2312" w:cs="Times New Roman"/>
          <w:bCs/>
          <w:sz w:val="28"/>
          <w:szCs w:val="28"/>
        </w:rPr>
        <w:t>G318</w:t>
      </w:r>
      <w:r>
        <w:rPr>
          <w:rFonts w:hint="eastAsia" w:ascii="仿宋_GB2312" w:hAnsi="Times New Roman" w:eastAsia="仿宋_GB2312" w:cs="Times New Roman"/>
          <w:bCs/>
          <w:sz w:val="28"/>
          <w:szCs w:val="28"/>
        </w:rPr>
        <w:t>、</w:t>
      </w:r>
      <w:r>
        <w:rPr>
          <w:rFonts w:ascii="仿宋_GB2312" w:hAnsi="Times New Roman" w:eastAsia="仿宋_GB2312" w:cs="Times New Roman"/>
          <w:bCs/>
          <w:sz w:val="28"/>
          <w:szCs w:val="28"/>
        </w:rPr>
        <w:t>G206</w:t>
      </w:r>
      <w:r>
        <w:rPr>
          <w:rFonts w:hint="eastAsia" w:ascii="仿宋_GB2312" w:hAnsi="Times New Roman" w:eastAsia="仿宋_GB2312" w:cs="Times New Roman"/>
          <w:bCs/>
          <w:sz w:val="28"/>
          <w:szCs w:val="28"/>
        </w:rPr>
        <w:t>、</w:t>
      </w:r>
      <w:r>
        <w:rPr>
          <w:rFonts w:ascii="仿宋_GB2312" w:hAnsi="Times New Roman" w:eastAsia="仿宋_GB2312" w:cs="Times New Roman"/>
          <w:bCs/>
          <w:sz w:val="28"/>
          <w:szCs w:val="28"/>
        </w:rPr>
        <w:t>S</w:t>
      </w:r>
      <w:r>
        <w:rPr>
          <w:rFonts w:hint="eastAsia" w:ascii="仿宋_GB2312" w:hAnsi="Times New Roman" w:eastAsia="仿宋_GB2312" w:cs="Times New Roman"/>
          <w:bCs/>
          <w:sz w:val="28"/>
          <w:szCs w:val="28"/>
        </w:rPr>
        <w:t>234、</w:t>
      </w:r>
      <w:r>
        <w:rPr>
          <w:rFonts w:ascii="仿宋_GB2312" w:hAnsi="Times New Roman" w:eastAsia="仿宋_GB2312" w:cs="Times New Roman"/>
          <w:bCs/>
          <w:sz w:val="28"/>
          <w:szCs w:val="28"/>
        </w:rPr>
        <w:t>S473</w:t>
      </w:r>
      <w:r>
        <w:rPr>
          <w:rFonts w:hint="eastAsia" w:ascii="仿宋_GB2312" w:hAnsi="Times New Roman" w:eastAsia="仿宋_GB2312" w:cs="Times New Roman"/>
          <w:bCs/>
          <w:sz w:val="28"/>
          <w:szCs w:val="28"/>
        </w:rPr>
        <w:t>和F</w:t>
      </w:r>
      <w:r>
        <w:rPr>
          <w:rFonts w:ascii="仿宋_GB2312" w:hAnsi="Times New Roman" w:eastAsia="仿宋_GB2312" w:cs="Times New Roman"/>
          <w:bCs/>
          <w:sz w:val="28"/>
          <w:szCs w:val="28"/>
        </w:rPr>
        <w:t>011</w:t>
      </w:r>
      <w:r>
        <w:rPr>
          <w:rFonts w:hint="eastAsia" w:ascii="仿宋_GB2312" w:hAnsi="Times New Roman" w:eastAsia="仿宋_GB2312" w:cs="Times New Roman"/>
          <w:bCs/>
          <w:sz w:val="28"/>
          <w:szCs w:val="28"/>
        </w:rPr>
        <w:t>等国省道改造升级，X105、X106等道路提升为S231。适时开展尧东一体化区域内轨道交通前期论证谋划工作。</w:t>
      </w:r>
    </w:p>
    <w:p>
      <w:pPr>
        <w:pStyle w:val="3"/>
        <w:spacing w:before="120" w:after="120" w:line="240" w:lineRule="auto"/>
        <w:rPr>
          <w:rFonts w:ascii="宋体" w:hAnsi="宋体" w:eastAsia="宋体"/>
          <w:sz w:val="30"/>
          <w:szCs w:val="30"/>
        </w:rPr>
      </w:pPr>
      <w:bookmarkStart w:id="22" w:name="_Toc69314794"/>
      <w:r>
        <w:rPr>
          <w:rFonts w:hint="eastAsia" w:ascii="宋体" w:hAnsi="宋体" w:eastAsia="宋体"/>
          <w:sz w:val="30"/>
          <w:szCs w:val="30"/>
        </w:rPr>
        <w:t>（二）高水平推动尧东一体化建设</w:t>
      </w:r>
      <w:bookmarkEnd w:id="22"/>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23" w:name="_Toc69314795"/>
      <w:r>
        <w:rPr>
          <w:rFonts w:hint="eastAsia" w:ascii="仿宋_GB2312" w:hAnsi="Times New Roman" w:eastAsia="仿宋_GB2312" w:cs="Times New Roman"/>
          <w:bCs w:val="0"/>
          <w:kern w:val="2"/>
          <w:sz w:val="30"/>
          <w:szCs w:val="30"/>
        </w:rPr>
        <w:t>1、加强规划引领作用</w:t>
      </w:r>
      <w:bookmarkEnd w:id="23"/>
    </w:p>
    <w:p>
      <w:pPr>
        <w:spacing w:line="576"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积极推进尧东一体化进程，突破尧渡与东流的行政区划限制，从东至县整体发展的角度出发，明确各片区功能定位与用地布局，确保尧城、舜城和菊城能够真正实现一体化发展，形成东至县新的发展核心，加快实现从“山城时代”向“滨江时代”的时代跨越。按照规划引领、设计赋能要求，抓住规划编制的窗口期，依托东至县国土空间总体规划的编制，深入研究生态红线、永久基本农田和城镇开发边界的关系，高标准进行舜城新区规划设计，抢抓长三角一体化发展战略和乡村振兴战略，推动城乡深度融合，使规划更精准、特色更鲜明。组织完成舜城新区控制性详细规划编制，统筹推进尧渡袜业小镇、教育园区、火车站前区、滨湖工业区等片区的规划建设，重点谋划文旅小镇、颐养小镇和田园综合体等项目的对接，推动周边土地适度开发，提升舜城新区承接能力。开展新区道路系统、给排水、通信、电力、燃气、公共服务设施、防洪排涝等专项规划，补齐城市功能短板，扩容城区空间布局，塑造美丽东至风貌，指导各片区开发建设。启动舜城新区尧渡河景观轴线及舜德文化广场景观规划设计，提升新区建设品质。</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24" w:name="_Toc69314796"/>
      <w:r>
        <w:rPr>
          <w:rFonts w:hint="eastAsia" w:ascii="仿宋_GB2312" w:hAnsi="Times New Roman" w:eastAsia="仿宋_GB2312" w:cs="Times New Roman"/>
          <w:bCs w:val="0"/>
          <w:kern w:val="2"/>
          <w:sz w:val="30"/>
          <w:szCs w:val="30"/>
        </w:rPr>
        <w:t>2、合理拓展城镇化空间</w:t>
      </w:r>
      <w:bookmarkEnd w:id="24"/>
    </w:p>
    <w:p>
      <w:pPr>
        <w:spacing w:line="576"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以城市“双修”理念推进尧城城市有机更新，以“东至雄安</w:t>
      </w:r>
      <w:r>
        <w:rPr>
          <w:rFonts w:ascii="仿宋_GB2312" w:hAnsi="Times New Roman" w:eastAsia="仿宋_GB2312" w:cs="Times New Roman"/>
          <w:bCs/>
          <w:sz w:val="28"/>
          <w:szCs w:val="28"/>
        </w:rPr>
        <w:t>”</w:t>
      </w:r>
      <w:r>
        <w:rPr>
          <w:rFonts w:hint="eastAsia" w:ascii="仿宋_GB2312" w:hAnsi="Times New Roman" w:eastAsia="仿宋_GB2312" w:cs="Times New Roman"/>
          <w:bCs/>
          <w:sz w:val="28"/>
          <w:szCs w:val="28"/>
        </w:rPr>
        <w:t>的思想加快舜城新区建设，以激发城镇活力为目标助力菊城的复兴，</w:t>
      </w:r>
      <w:r>
        <w:rPr>
          <w:rFonts w:hint="eastAsia" w:ascii="仿宋_GB2312" w:hAnsi="Times New Roman" w:eastAsia="仿宋_GB2312" w:cs="Times New Roman"/>
          <w:sz w:val="28"/>
          <w:szCs w:val="28"/>
        </w:rPr>
        <w:t>协调推进城区、园区、山区发展，加快推动“山城”向“滨江城市”转型发展，</w:t>
      </w:r>
      <w:r>
        <w:rPr>
          <w:rFonts w:hint="eastAsia" w:ascii="仿宋_GB2312" w:hAnsi="Times New Roman" w:eastAsia="仿宋_GB2312" w:cs="Times New Roman"/>
          <w:bCs/>
          <w:sz w:val="28"/>
          <w:szCs w:val="28"/>
        </w:rPr>
        <w:t>推进尧东一体化，</w:t>
      </w:r>
      <w:r>
        <w:rPr>
          <w:rFonts w:hint="eastAsia" w:ascii="仿宋_GB2312" w:hAnsi="Times New Roman" w:eastAsia="仿宋_GB2312" w:cs="Times New Roman"/>
          <w:sz w:val="28"/>
          <w:szCs w:val="28"/>
        </w:rPr>
        <w:t>打造“一极三地一门户”的</w:t>
      </w:r>
      <w:r>
        <w:rPr>
          <w:rFonts w:hint="eastAsia" w:ascii="仿宋_GB2312" w:hAnsi="Times New Roman" w:eastAsia="仿宋_GB2312" w:cs="Times New Roman"/>
          <w:bCs/>
          <w:sz w:val="28"/>
          <w:szCs w:val="28"/>
        </w:rPr>
        <w:t>县域城镇化发展新格局，带动东至县在长三角一体化区域中取得更大的发展。以县城为重要载体，推进以人为核心的新型城镇化，重点将舜城新区的建设作为东至县新型城镇化的新空间，助力</w:t>
      </w:r>
      <w:r>
        <w:rPr>
          <w:rFonts w:ascii="仿宋_GB2312" w:hAnsi="Times New Roman" w:eastAsia="仿宋_GB2312" w:cs="Times New Roman"/>
          <w:bCs/>
          <w:sz w:val="28"/>
          <w:szCs w:val="28"/>
        </w:rPr>
        <w:t>乡村振兴。</w:t>
      </w:r>
      <w:r>
        <w:rPr>
          <w:rFonts w:hint="eastAsia" w:ascii="仿宋_GB2312" w:hAnsi="Times New Roman" w:eastAsia="仿宋_GB2312" w:cs="Times New Roman"/>
          <w:bCs/>
          <w:sz w:val="28"/>
          <w:szCs w:val="28"/>
        </w:rPr>
        <w:t>依托乡村振兴研究院和城乡融合研究院的研究成果，加速推进东至县城镇化发展进程，</w:t>
      </w:r>
      <w:r>
        <w:rPr>
          <w:rFonts w:ascii="仿宋_GB2312" w:hAnsi="Times New Roman" w:eastAsia="仿宋_GB2312" w:cs="Times New Roman"/>
          <w:bCs/>
          <w:sz w:val="28"/>
          <w:szCs w:val="28"/>
        </w:rPr>
        <w:t>逐步缩小户籍人口城镇化率与常住人口城镇化率差距，</w:t>
      </w:r>
      <w:r>
        <w:rPr>
          <w:rFonts w:hint="eastAsia" w:ascii="仿宋_GB2312" w:hAnsi="Times New Roman" w:eastAsia="仿宋_GB2312" w:cs="Times New Roman"/>
          <w:bCs/>
          <w:sz w:val="28"/>
          <w:szCs w:val="28"/>
        </w:rPr>
        <w:t>提升县城能级能量规模和生态宜居品质，彰显新时代山水田园城市的综合实力、品格魅力和核心竞争力，切实提高城市品质。建设完善站前片区，重点打造优质服务袜业小镇。以九年义务教育学校、省示范高中、职业教育中心建设引领教育片区的开发建设，并带动周边基础设施建设。推进菊城城区建设，力促基础设施一体化、产业布局一体化、公共服务一体化，推动东至由山城向滨江城市转型发展。大力支持东流港区和建材市场建设，持续推进东流文旅小镇和田园综合体建设工作。</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25" w:name="_Toc69314797"/>
      <w:r>
        <w:rPr>
          <w:rFonts w:hint="eastAsia" w:ascii="仿宋_GB2312" w:hAnsi="Times New Roman" w:eastAsia="仿宋_GB2312" w:cs="Times New Roman"/>
          <w:bCs w:val="0"/>
          <w:kern w:val="2"/>
          <w:sz w:val="30"/>
          <w:szCs w:val="30"/>
        </w:rPr>
        <w:t>3、完善区域设施配套</w:t>
      </w:r>
      <w:bookmarkEnd w:id="25"/>
    </w:p>
    <w:p>
      <w:pPr>
        <w:spacing w:line="576"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加速舜城新区及周边基础设施建设。新建历山大道、舜禹大道、舜耕南路、舜英路、知津路、环泉水湖路、环小黄泥湖路、舜德大桥及其连接线以及职教中心南侧商业开发地块路网，贯通舜华路，改造G</w:t>
      </w:r>
      <w:r>
        <w:rPr>
          <w:rFonts w:ascii="仿宋_GB2312" w:hAnsi="Times New Roman" w:eastAsia="仿宋_GB2312" w:cs="Times New Roman"/>
          <w:bCs/>
          <w:sz w:val="28"/>
          <w:szCs w:val="28"/>
        </w:rPr>
        <w:t>530</w:t>
      </w:r>
      <w:r>
        <w:rPr>
          <w:rFonts w:hint="eastAsia" w:ascii="仿宋_GB2312" w:hAnsi="Times New Roman" w:eastAsia="仿宋_GB2312" w:cs="Times New Roman"/>
          <w:bCs/>
          <w:sz w:val="28"/>
          <w:szCs w:val="28"/>
        </w:rPr>
        <w:t>站前段人行设施，扩建大历山旅游公路，完成舜德大道和（火车）站前广场交付使用、高压杆线迁移和强电下地工程，同步推进配套管网设施建设。加快尧东一体化滨河生态廊道、滨水绿道、尧东一体化综合市政管网工程、</w:t>
      </w:r>
      <w:r>
        <w:rPr>
          <w:rFonts w:ascii="仿宋_GB2312" w:hAnsi="Times New Roman" w:eastAsia="仿宋_GB2312" w:cs="Times New Roman"/>
          <w:bCs/>
          <w:sz w:val="28"/>
          <w:szCs w:val="28"/>
        </w:rPr>
        <w:t>“引江济尧”</w:t>
      </w:r>
      <w:r>
        <w:rPr>
          <w:rFonts w:hint="eastAsia" w:ascii="仿宋_GB2312" w:hAnsi="Times New Roman" w:eastAsia="仿宋_GB2312" w:cs="Times New Roman"/>
          <w:bCs/>
          <w:sz w:val="28"/>
          <w:szCs w:val="28"/>
        </w:rPr>
        <w:t>（</w:t>
      </w:r>
      <w:r>
        <w:rPr>
          <w:rFonts w:ascii="仿宋_GB2312" w:hAnsi="Times New Roman" w:eastAsia="仿宋_GB2312" w:cs="Times New Roman"/>
          <w:bCs/>
          <w:sz w:val="28"/>
          <w:szCs w:val="28"/>
        </w:rPr>
        <w:t>二期</w:t>
      </w:r>
      <w:r>
        <w:rPr>
          <w:rFonts w:hint="eastAsia" w:ascii="仿宋_GB2312" w:hAnsi="Times New Roman" w:eastAsia="仿宋_GB2312" w:cs="Times New Roman"/>
          <w:bCs/>
          <w:sz w:val="28"/>
          <w:szCs w:val="28"/>
        </w:rPr>
        <w:t>）管道</w:t>
      </w:r>
      <w:r>
        <w:rPr>
          <w:rFonts w:ascii="仿宋_GB2312" w:hAnsi="Times New Roman" w:eastAsia="仿宋_GB2312" w:cs="Times New Roman"/>
          <w:bCs/>
          <w:sz w:val="28"/>
          <w:szCs w:val="28"/>
        </w:rPr>
        <w:t>工程</w:t>
      </w:r>
      <w:r>
        <w:rPr>
          <w:rFonts w:hint="eastAsia" w:ascii="仿宋_GB2312" w:hAnsi="Times New Roman" w:eastAsia="仿宋_GB2312" w:cs="Times New Roman"/>
          <w:bCs/>
          <w:sz w:val="28"/>
          <w:szCs w:val="28"/>
        </w:rPr>
        <w:t>等跨区域基础设施建设。以舜城新区行政和公共服务中心、九年义务教育学校、省示范高中、职业教育中心建设为契机，加快形成舜城新区公共服务设施基本构架，2</w:t>
      </w:r>
      <w:r>
        <w:rPr>
          <w:rFonts w:ascii="仿宋_GB2312" w:hAnsi="Times New Roman" w:eastAsia="仿宋_GB2312" w:cs="Times New Roman"/>
          <w:bCs/>
          <w:sz w:val="28"/>
          <w:szCs w:val="28"/>
        </w:rPr>
        <w:t>021</w:t>
      </w:r>
      <w:r>
        <w:rPr>
          <w:rFonts w:hint="eastAsia" w:ascii="仿宋_GB2312" w:hAnsi="Times New Roman" w:eastAsia="仿宋_GB2312" w:cs="Times New Roman"/>
          <w:bCs/>
          <w:sz w:val="28"/>
          <w:szCs w:val="28"/>
        </w:rPr>
        <w:t>年教育园区基本建成，进一步推进文旅片区内幼儿园、小学、菜市场、停车场、地下人防工程、人才公寓以及安置房建设。建设舜德文化广场，围绕广场建设东至博物馆、民俗展览馆。北部依托医院建设颐乐社区。结合泉水湖、查子湖、查桥河环境整治，提高区域防洪排涝标准，提升气象科普公园品质。加快建设舜城新区供</w:t>
      </w:r>
      <w:bookmarkStart w:id="26" w:name="_Hlk69314460"/>
      <w:r>
        <w:rPr>
          <w:rFonts w:hint="eastAsia" w:ascii="仿宋_GB2312" w:hAnsi="Times New Roman" w:eastAsia="仿宋_GB2312" w:cs="Times New Roman"/>
          <w:bCs/>
          <w:sz w:val="28"/>
          <w:szCs w:val="28"/>
        </w:rPr>
        <w:t>水主干管工程</w:t>
      </w:r>
      <w:bookmarkEnd w:id="26"/>
      <w:r>
        <w:rPr>
          <w:rFonts w:hint="eastAsia" w:ascii="仿宋_GB2312" w:hAnsi="Times New Roman" w:eastAsia="仿宋_GB2312" w:cs="Times New Roman"/>
          <w:bCs/>
          <w:sz w:val="28"/>
          <w:szCs w:val="28"/>
        </w:rPr>
        <w:t>、促进尧东一体化给水管网与老城区管网形成区域供水系统，提高供水保障能力。推进学湖周边污水管网、截污工程和供水、供气等市政管网建设，完善东流老街基础设施。加速东流港区、港口物流园、绿色建筑装配式产业基地建设，持续推进东流文旅小镇和田园综合体建设工作。积极推进“光耀新城”建设，以光环境设计和建设为核心内容，以舜城新区为中心，尧渡河为链接，串联尧城与菊城，打造尧东一体的光环境与城市景观。</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27" w:name="_Toc69314798"/>
      <w:r>
        <w:rPr>
          <w:rFonts w:ascii="仿宋_GB2312" w:hAnsi="Times New Roman" w:eastAsia="仿宋_GB2312" w:cs="Times New Roman"/>
          <w:bCs w:val="0"/>
          <w:kern w:val="2"/>
          <w:sz w:val="30"/>
          <w:szCs w:val="30"/>
        </w:rPr>
        <w:t>4、</w:t>
      </w:r>
      <w:r>
        <w:rPr>
          <w:rFonts w:hint="eastAsia" w:ascii="仿宋_GB2312" w:hAnsi="Times New Roman" w:eastAsia="仿宋_GB2312" w:cs="Times New Roman"/>
          <w:bCs w:val="0"/>
          <w:kern w:val="2"/>
          <w:sz w:val="30"/>
          <w:szCs w:val="30"/>
        </w:rPr>
        <w:t>强化城市运营发展</w:t>
      </w:r>
      <w:bookmarkEnd w:id="27"/>
    </w:p>
    <w:p>
      <w:pPr>
        <w:spacing w:line="576"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强化党组织领导，推动舜城新区党建工作与业务工作的深度融合，以党建促建设、促发展。加大社会资本引入机制，保障片区初期资金投入，结合政府专项债支撑，共同拓宽区域的开发模式和融资渠道，促进片区的开发建设。加大政策支持力度，积极争取在投资、人才、税收等方面的政策倾斜。通过舜城新区重大项目建设，丰富新区建设业态，吸引有一定影响力的企业落户。全力打造新区品牌，践行绿水青山就是金山银山的理念，保护弘扬舜德文化，构建疏密有序、错落有致的城市空间秩序，塑造襟江嵌珠、山水融城，舜德皖韵，时代新城的城市风貌，展现“碧水拥城系皖韵，历山萦翠承舜德”的新时代城市画卷。</w:t>
      </w:r>
    </w:p>
    <w:p>
      <w:pPr>
        <w:pStyle w:val="3"/>
        <w:spacing w:before="120" w:after="120" w:line="240" w:lineRule="auto"/>
        <w:rPr>
          <w:rFonts w:ascii="宋体" w:hAnsi="宋体" w:eastAsia="宋体"/>
          <w:sz w:val="30"/>
          <w:szCs w:val="30"/>
        </w:rPr>
      </w:pPr>
      <w:bookmarkStart w:id="28" w:name="_Toc69314799"/>
      <w:r>
        <w:rPr>
          <w:rFonts w:hint="eastAsia" w:ascii="宋体" w:hAnsi="宋体" w:eastAsia="宋体"/>
          <w:sz w:val="30"/>
          <w:szCs w:val="30"/>
        </w:rPr>
        <w:t>（三）高标准实现住房保障</w:t>
      </w:r>
      <w:bookmarkEnd w:id="28"/>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29" w:name="_Toc69314800"/>
      <w:r>
        <w:rPr>
          <w:rFonts w:hint="eastAsia" w:ascii="仿宋_GB2312" w:hAnsi="Times New Roman" w:eastAsia="仿宋_GB2312" w:cs="Times New Roman"/>
          <w:bCs w:val="0"/>
          <w:kern w:val="2"/>
          <w:sz w:val="30"/>
          <w:szCs w:val="30"/>
        </w:rPr>
        <w:t>1、健全住房保障体系</w:t>
      </w:r>
      <w:bookmarkEnd w:id="29"/>
    </w:p>
    <w:p>
      <w:pPr>
        <w:spacing w:line="576"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bCs/>
          <w:sz w:val="28"/>
          <w:szCs w:val="28"/>
        </w:rPr>
        <w:t>坚持以政府为主提供基本保障，完善住房保障政策制度，加强住房保障体系建设。着力培育和发展租赁住房，建立和完善住房租赁信息服务和监管平台。以配租型公租房为主要保障方式增加公租房有效供应，实行实物配租和租赁补贴并举，因地制宜发展共有产权住房。加强公租房运营管理服务，提升公租房运营管理专业化、规范化水平。全面提升住房公积金管理水平和服务效能，不断扩大住房公积金制度覆盖面，继续发挥住房公积金在保障职工基本住房需求中的作用。加强住房公积金业务标准化管理，以归集、提取、贷款、资金管理和基础数据标准为指引，规范住房公积金缴存、提取和使用，完善住房公积金管理体系。创新完善多渠道人才公寓建筹模式，鼓励通过购买商品住房、租赁、改建存量住房的方式筹集人才公寓，积极鼓励用工规模较大或者引进人才较多的企事业单位利用自有土地建设人才公寓。舜城新区推进人才公寓建设工程，切实为中高层次人才解决住房的后顾之忧。积极引导香隅镇及周边农民进城，同时改善香隅产业工人居住环境，让产业工人安居乐业。稳步推荐安置房建设，建设客运公司地块、</w:t>
      </w:r>
      <w:r>
        <w:rPr>
          <w:rFonts w:ascii="仿宋_GB2312" w:hAnsi="Times New Roman" w:eastAsia="仿宋_GB2312" w:cs="Times New Roman"/>
          <w:bCs/>
          <w:sz w:val="28"/>
          <w:szCs w:val="28"/>
        </w:rPr>
        <w:t>建设南路</w:t>
      </w:r>
      <w:r>
        <w:rPr>
          <w:rFonts w:hint="eastAsia" w:ascii="仿宋_GB2312" w:hAnsi="Times New Roman" w:eastAsia="仿宋_GB2312" w:cs="Times New Roman"/>
          <w:bCs/>
          <w:sz w:val="28"/>
          <w:szCs w:val="28"/>
        </w:rPr>
        <w:t>、</w:t>
      </w:r>
      <w:r>
        <w:rPr>
          <w:rFonts w:ascii="仿宋_GB2312" w:hAnsi="Times New Roman" w:eastAsia="仿宋_GB2312" w:cs="Times New Roman"/>
          <w:bCs/>
          <w:sz w:val="28"/>
          <w:szCs w:val="28"/>
        </w:rPr>
        <w:t>城南三号地块</w:t>
      </w:r>
      <w:r>
        <w:rPr>
          <w:rFonts w:hint="eastAsia" w:ascii="仿宋_GB2312" w:hAnsi="Times New Roman" w:eastAsia="仿宋_GB2312" w:cs="Times New Roman"/>
          <w:bCs/>
          <w:sz w:val="28"/>
          <w:szCs w:val="28"/>
        </w:rPr>
        <w:t>和</w:t>
      </w:r>
      <w:r>
        <w:rPr>
          <w:rFonts w:ascii="仿宋_GB2312" w:hAnsi="Times New Roman" w:eastAsia="仿宋_GB2312" w:cs="Times New Roman"/>
          <w:bCs/>
          <w:sz w:val="28"/>
          <w:szCs w:val="28"/>
        </w:rPr>
        <w:t>原建筑公司地块等安置房项目</w:t>
      </w:r>
      <w:r>
        <w:rPr>
          <w:rFonts w:hint="eastAsia" w:ascii="仿宋_GB2312" w:hAnsi="Times New Roman" w:eastAsia="仿宋_GB2312" w:cs="Times New Roman"/>
          <w:bCs/>
          <w:sz w:val="28"/>
          <w:szCs w:val="28"/>
        </w:rPr>
        <w:t>。</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30" w:name="_Toc69314801"/>
      <w:r>
        <w:rPr>
          <w:rFonts w:hint="eastAsia" w:ascii="仿宋_GB2312" w:hAnsi="Times New Roman" w:eastAsia="仿宋_GB2312" w:cs="Times New Roman"/>
          <w:bCs w:val="0"/>
          <w:kern w:val="2"/>
          <w:sz w:val="30"/>
          <w:szCs w:val="30"/>
        </w:rPr>
        <w:t>2、加快老旧小区改造</w:t>
      </w:r>
      <w:bookmarkEnd w:id="30"/>
    </w:p>
    <w:p>
      <w:pPr>
        <w:spacing w:line="576"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运用“美好环境与幸福生活共同缔造”的理念和方法，加快老旧小区改造，“十四五”期间计划改造</w:t>
      </w:r>
      <w:r>
        <w:rPr>
          <w:rFonts w:ascii="仿宋_GB2312" w:hAnsi="Times New Roman" w:eastAsia="仿宋_GB2312" w:cs="Times New Roman"/>
          <w:bCs/>
          <w:sz w:val="28"/>
          <w:szCs w:val="28"/>
        </w:rPr>
        <w:t>177</w:t>
      </w:r>
      <w:r>
        <w:rPr>
          <w:rFonts w:hint="eastAsia" w:ascii="仿宋_GB2312" w:hAnsi="Times New Roman" w:eastAsia="仿宋_GB2312" w:cs="Times New Roman"/>
          <w:bCs/>
          <w:sz w:val="28"/>
          <w:szCs w:val="28"/>
        </w:rPr>
        <w:t>个老旧小区。重点解决供水、供电、供气、排水、停车难等问题，鼓励有条件的小区推进房屋建筑节能、光纤化、</w:t>
      </w:r>
      <w:r>
        <w:rPr>
          <w:rFonts w:ascii="仿宋_GB2312" w:hAnsi="Times New Roman" w:eastAsia="仿宋_GB2312" w:cs="Times New Roman"/>
          <w:bCs/>
          <w:sz w:val="28"/>
          <w:szCs w:val="28"/>
        </w:rPr>
        <w:t>“</w:t>
      </w:r>
      <w:r>
        <w:rPr>
          <w:rFonts w:hint="eastAsia" w:ascii="仿宋_GB2312" w:hAnsi="Times New Roman" w:eastAsia="仿宋_GB2312" w:cs="Times New Roman"/>
          <w:bCs/>
          <w:sz w:val="28"/>
          <w:szCs w:val="28"/>
        </w:rPr>
        <w:t>适老化</w:t>
      </w:r>
      <w:r>
        <w:rPr>
          <w:rFonts w:ascii="仿宋_GB2312" w:hAnsi="Times New Roman" w:eastAsia="仿宋_GB2312" w:cs="Times New Roman"/>
          <w:bCs/>
          <w:sz w:val="28"/>
          <w:szCs w:val="28"/>
        </w:rPr>
        <w:t>”</w:t>
      </w:r>
      <w:r>
        <w:rPr>
          <w:rFonts w:hint="eastAsia" w:ascii="仿宋_GB2312" w:hAnsi="Times New Roman" w:eastAsia="仿宋_GB2312" w:cs="Times New Roman"/>
          <w:bCs/>
          <w:sz w:val="28"/>
          <w:szCs w:val="28"/>
        </w:rPr>
        <w:t>和加装电梯等便民设施建设，改善居民居住条件，按照新型社区建设模式，打造新型片区生活单元，构建共享共治社区治理体系，提升城市品质，增强人居环境保障。加强调查摸底，明确改造范围、房屋权属和共有资源占有等情况，开展分类评估，明确改造方式方法。强化资金投入，推动工作落实，探索采取居民、原产权单位出资、政府补助等多种方式实施老旧小区改造。建立工作机制，明确工作标准、程序和责任，明确基础设施、修缮改造房屋、提升环境质量等工作内容以及制定工作计划、确定设计和监理单位、编制项目初步设计及概算、审批初步设计及概算并办理施工招标、资金拨付、施工管理、验收接管等工作步骤和具体要求。充分听取意见，主动接受监督，坚持让群众知情，问群众所需，请群众参与全过程。引入物业管理，建立长效机制，巩固小区改造工作成果，改善人民群众的居住生活品质。严格落实国家棚改“三不”“六严禁”工作要求，严把棚改范围标准，摸清剩余棚户区数量，编制城镇棚户区改造及配套基础设施建设规划，确定改造范围和改造方式，制定分年度实施计划，力争“十四五”末基本完成尧渡镇城尧河社区、原气象局及实小教职工宿舍楼等2</w:t>
      </w:r>
      <w:r>
        <w:rPr>
          <w:rFonts w:ascii="仿宋_GB2312" w:hAnsi="Times New Roman" w:eastAsia="仿宋_GB2312" w:cs="Times New Roman"/>
          <w:bCs/>
          <w:sz w:val="28"/>
          <w:szCs w:val="28"/>
        </w:rPr>
        <w:t>489</w:t>
      </w:r>
      <w:r>
        <w:rPr>
          <w:rFonts w:hint="eastAsia" w:ascii="仿宋_GB2312" w:hAnsi="Times New Roman" w:eastAsia="仿宋_GB2312" w:cs="Times New Roman"/>
          <w:bCs/>
          <w:sz w:val="28"/>
          <w:szCs w:val="28"/>
        </w:rPr>
        <w:t>户棚户区改造。</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31" w:name="_Toc69314802"/>
      <w:r>
        <w:rPr>
          <w:rFonts w:ascii="仿宋_GB2312" w:hAnsi="Times New Roman" w:eastAsia="仿宋_GB2312" w:cs="Times New Roman"/>
          <w:bCs w:val="0"/>
          <w:kern w:val="2"/>
          <w:sz w:val="30"/>
          <w:szCs w:val="30"/>
        </w:rPr>
        <w:t>3</w:t>
      </w:r>
      <w:r>
        <w:rPr>
          <w:rFonts w:hint="eastAsia" w:ascii="仿宋_GB2312" w:hAnsi="Times New Roman" w:eastAsia="仿宋_GB2312" w:cs="Times New Roman"/>
          <w:bCs w:val="0"/>
          <w:kern w:val="2"/>
          <w:sz w:val="30"/>
          <w:szCs w:val="30"/>
        </w:rPr>
        <w:t>、提高物业服务质量</w:t>
      </w:r>
      <w:bookmarkEnd w:id="31"/>
    </w:p>
    <w:p>
      <w:pPr>
        <w:spacing w:line="576"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进一步完善物业管理体制机制，规范物业管理各方主体行为，通过完善体制机制建设，优化设施配置。强化乡镇、社区属地管理责任，明确部门小区物业管理职责，提升物业管理服务水平，切实解决群众身边的操心事、烦心事和揪心事，打造共建共治共享的基层治理新格局。探索建立物业费及公共收益监管账户，深化住宅专项维修资金缴存制度，提升物业管理智慧化水平。</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32" w:name="_Toc69314803"/>
      <w:r>
        <w:rPr>
          <w:rFonts w:ascii="仿宋_GB2312" w:hAnsi="Times New Roman" w:eastAsia="仿宋_GB2312" w:cs="Times New Roman"/>
          <w:bCs w:val="0"/>
          <w:kern w:val="2"/>
          <w:sz w:val="30"/>
          <w:szCs w:val="30"/>
        </w:rPr>
        <w:t>4</w:t>
      </w:r>
      <w:r>
        <w:rPr>
          <w:rFonts w:hint="eastAsia" w:ascii="仿宋_GB2312" w:hAnsi="Times New Roman" w:eastAsia="仿宋_GB2312" w:cs="Times New Roman"/>
          <w:bCs w:val="0"/>
          <w:kern w:val="2"/>
          <w:sz w:val="30"/>
          <w:szCs w:val="30"/>
        </w:rPr>
        <w:t>、强化农房质量监管</w:t>
      </w:r>
      <w:bookmarkEnd w:id="32"/>
    </w:p>
    <w:p>
      <w:pPr>
        <w:spacing w:line="576"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严格遵循《安徽省农房设计技术导则》要求，组织协调专业技术力量，加强农村住房建设的技术服务指导，加强动态排查，发现一户改造一户，对6类重点人群危房进行改造，并对胜利镇、大渡口镇进行抗震房改。组织建筑设计、施工、监理等企业的技术人员成立技术服务志愿队，开展建筑、结构等专业设计人员下乡活动，对农村住房规划建设现场技术指导，对参加现场技术指导的工程技术人员应在职称评定、继续教育上给予鼓励、支持。开展农村建筑工匠专业技能培训并发放合格证书，探索建立合格证上岗制度，实行诚信行为管理。积极引导具有在外建筑务工经历的返乡人员担任村级质量安全巡查监督员。</w:t>
      </w:r>
    </w:p>
    <w:p>
      <w:pPr>
        <w:pStyle w:val="3"/>
        <w:spacing w:before="120" w:after="120" w:line="240" w:lineRule="auto"/>
        <w:rPr>
          <w:rFonts w:ascii="宋体" w:hAnsi="宋体" w:eastAsia="宋体"/>
          <w:sz w:val="30"/>
          <w:szCs w:val="30"/>
        </w:rPr>
      </w:pPr>
      <w:bookmarkStart w:id="33" w:name="_Toc69314804"/>
      <w:r>
        <w:rPr>
          <w:rFonts w:hint="eastAsia" w:ascii="宋体" w:hAnsi="宋体" w:eastAsia="宋体"/>
          <w:sz w:val="30"/>
          <w:szCs w:val="30"/>
        </w:rPr>
        <w:t>（四）高起点推进基础设施建设</w:t>
      </w:r>
      <w:bookmarkEnd w:id="33"/>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34" w:name="_Toc69314805"/>
      <w:r>
        <w:rPr>
          <w:rFonts w:ascii="仿宋_GB2312" w:hAnsi="Times New Roman" w:eastAsia="仿宋_GB2312" w:cs="Times New Roman"/>
          <w:bCs w:val="0"/>
          <w:kern w:val="2"/>
          <w:sz w:val="30"/>
          <w:szCs w:val="30"/>
        </w:rPr>
        <w:t>1、</w:t>
      </w:r>
      <w:r>
        <w:rPr>
          <w:rFonts w:hint="eastAsia" w:ascii="仿宋_GB2312" w:hAnsi="Times New Roman" w:eastAsia="仿宋_GB2312" w:cs="Times New Roman"/>
          <w:bCs w:val="0"/>
          <w:kern w:val="2"/>
          <w:sz w:val="30"/>
          <w:szCs w:val="30"/>
        </w:rPr>
        <w:t>提升公用设施承载能力</w:t>
      </w:r>
      <w:bookmarkEnd w:id="34"/>
    </w:p>
    <w:p>
      <w:pPr>
        <w:spacing w:line="576"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引导城镇更加注重地上地下协调发展，切实增强城市整体性、系统性和综合承载力。完成城镇基础设施普查</w:t>
      </w:r>
      <w:r>
        <w:rPr>
          <w:rFonts w:ascii="仿宋_GB2312" w:hAnsi="Times New Roman" w:eastAsia="仿宋_GB2312" w:cs="Times New Roman"/>
          <w:bCs/>
          <w:sz w:val="28"/>
          <w:szCs w:val="28"/>
        </w:rPr>
        <w:t>及信息</w:t>
      </w:r>
      <w:r>
        <w:rPr>
          <w:rFonts w:hint="eastAsia" w:ascii="仿宋_GB2312" w:hAnsi="Times New Roman" w:eastAsia="仿宋_GB2312" w:cs="Times New Roman"/>
          <w:bCs/>
          <w:sz w:val="28"/>
          <w:szCs w:val="28"/>
        </w:rPr>
        <w:t>平台建设，建立G</w:t>
      </w:r>
      <w:r>
        <w:rPr>
          <w:rFonts w:ascii="仿宋_GB2312" w:hAnsi="Times New Roman" w:eastAsia="仿宋_GB2312" w:cs="Times New Roman"/>
          <w:bCs/>
          <w:sz w:val="28"/>
          <w:szCs w:val="28"/>
        </w:rPr>
        <w:t>IS</w:t>
      </w:r>
      <w:r>
        <w:rPr>
          <w:rFonts w:hint="eastAsia" w:ascii="仿宋_GB2312" w:hAnsi="Times New Roman" w:eastAsia="仿宋_GB2312" w:cs="Times New Roman"/>
          <w:bCs/>
          <w:sz w:val="28"/>
          <w:szCs w:val="28"/>
        </w:rPr>
        <w:t>信息系统，做好日常信息管理。以城市体检为抓手，全面梳理城市建设管理方面存在的问题和短板，摸清供水、供气、供电和环卫等城市基础设施底数与需求，找准短板，聚焦交通拥堵、垃圾围城、防洪排涝、“拉链马路”等开展系统治理。实施城市更新工程，推进“城市双修”，现有基础设施进行补短，三年内基本实现老城区功能转型。推进</w:t>
      </w:r>
      <w:r>
        <w:rPr>
          <w:rFonts w:ascii="仿宋_GB2312" w:hAnsi="Times New Roman" w:eastAsia="仿宋_GB2312" w:cs="Times New Roman"/>
          <w:bCs/>
          <w:sz w:val="28"/>
          <w:szCs w:val="28"/>
        </w:rPr>
        <w:t>老城区</w:t>
      </w:r>
      <w:r>
        <w:rPr>
          <w:rFonts w:hint="eastAsia" w:ascii="仿宋_GB2312" w:hAnsi="Times New Roman" w:eastAsia="仿宋_GB2312" w:cs="Times New Roman"/>
          <w:bCs/>
          <w:sz w:val="28"/>
          <w:szCs w:val="28"/>
        </w:rPr>
        <w:t>水厂、泵站和</w:t>
      </w:r>
      <w:r>
        <w:rPr>
          <w:rFonts w:ascii="仿宋_GB2312" w:hAnsi="Times New Roman" w:eastAsia="仿宋_GB2312" w:cs="Times New Roman"/>
          <w:bCs/>
          <w:sz w:val="28"/>
          <w:szCs w:val="28"/>
        </w:rPr>
        <w:t>供水管网改造工程</w:t>
      </w:r>
      <w:r>
        <w:rPr>
          <w:rFonts w:hint="eastAsia" w:ascii="仿宋_GB2312" w:hAnsi="Times New Roman" w:eastAsia="仿宋_GB2312" w:cs="Times New Roman"/>
          <w:bCs/>
          <w:sz w:val="28"/>
          <w:szCs w:val="28"/>
        </w:rPr>
        <w:t>，完成备用水源厂区内的设备安装、调试，加快联网管道敷设，强化备用水源地保护。加强饮用水水源地环境隐患排查整治，确保江河湖库水质、水源地水质安全，提高尧渡老河蓄水能力，保障供水安全。</w:t>
      </w:r>
      <w:r>
        <w:rPr>
          <w:rFonts w:hint="eastAsia" w:ascii="仿宋_GB2312" w:hAnsi="Times New Roman" w:eastAsia="仿宋_GB2312" w:cs="Times New Roman"/>
          <w:sz w:val="28"/>
          <w:szCs w:val="28"/>
        </w:rPr>
        <w:t>推进县城污水处理厂改造扩建，新增扩建规模2万吨/日。结合国土空间总体规划的编制，组织修编《东至县海绵城市专项规划》和《东至县雨水排涝专项规划》等专项规划，全面指导尧东一体化排水防涝建设。持续推进尧城片区雨污分流管网改造、尧渡老河沿河截污干管整治改造，力争到2022年基本完成排水系统混接改造、老旧管网改造、破损管网修复工作，完善老旧城区和城乡结合部生活污水收集处理设施，基本实现尧城全收集、全处理。结合舜城新区和菊城片区建设，加速推进尧东一体化污水管网及雨水排涝配套工程建设。推进海绵城市建设，综合采取“渗、滞、蓄、净、用、排”等措施，最大程度实现雨水在城市区域内的自然积存、渗透和净化。</w:t>
      </w:r>
      <w:r>
        <w:rPr>
          <w:rFonts w:hint="eastAsia" w:ascii="仿宋_GB2312" w:hAnsi="Times New Roman" w:eastAsia="仿宋_GB2312" w:cs="Times New Roman"/>
          <w:bCs/>
          <w:sz w:val="28"/>
          <w:szCs w:val="28"/>
        </w:rPr>
        <w:t>有序推进环湖环河周边区域、城区小街小巷整治和积涝点治理，有效防治城市内涝。</w:t>
      </w:r>
      <w:r>
        <w:rPr>
          <w:rFonts w:hint="eastAsia" w:ascii="仿宋_GB2312" w:hAnsi="Times New Roman" w:eastAsia="仿宋_GB2312" w:cs="Times New Roman"/>
          <w:sz w:val="28"/>
          <w:szCs w:val="28"/>
        </w:rPr>
        <w:t>建立日常管护制度，加强定期监测和跟踪问效，建立健全水体水质长效管护机制。</w:t>
      </w:r>
      <w:r>
        <w:rPr>
          <w:rFonts w:hint="eastAsia" w:ascii="仿宋_GB2312" w:hAnsi="Times New Roman" w:eastAsia="仿宋_GB2312" w:cs="Times New Roman"/>
          <w:bCs/>
          <w:sz w:val="28"/>
          <w:szCs w:val="28"/>
        </w:rPr>
        <w:t>新建220K</w:t>
      </w:r>
      <w:r>
        <w:rPr>
          <w:rFonts w:ascii="仿宋_GB2312" w:hAnsi="Times New Roman" w:eastAsia="仿宋_GB2312" w:cs="Times New Roman"/>
          <w:bCs/>
          <w:sz w:val="28"/>
          <w:szCs w:val="28"/>
        </w:rPr>
        <w:t>V</w:t>
      </w:r>
      <w:r>
        <w:rPr>
          <w:rFonts w:hint="eastAsia" w:ascii="仿宋_GB2312" w:hAnsi="Times New Roman" w:eastAsia="仿宋_GB2312" w:cs="Times New Roman"/>
          <w:bCs/>
          <w:sz w:val="28"/>
          <w:szCs w:val="28"/>
        </w:rPr>
        <w:t>东至变，扩建1</w:t>
      </w:r>
      <w:r>
        <w:rPr>
          <w:rFonts w:ascii="仿宋_GB2312" w:hAnsi="Times New Roman" w:eastAsia="仿宋_GB2312" w:cs="Times New Roman"/>
          <w:bCs/>
          <w:sz w:val="28"/>
          <w:szCs w:val="28"/>
        </w:rPr>
        <w:t>10KV</w:t>
      </w:r>
      <w:r>
        <w:rPr>
          <w:rFonts w:hint="eastAsia" w:ascii="仿宋_GB2312" w:hAnsi="Times New Roman" w:eastAsia="仿宋_GB2312" w:cs="Times New Roman"/>
          <w:bCs/>
          <w:sz w:val="28"/>
          <w:szCs w:val="28"/>
        </w:rPr>
        <w:t>兰溪变,完善城区110K</w:t>
      </w:r>
      <w:r>
        <w:rPr>
          <w:rFonts w:ascii="仿宋_GB2312" w:hAnsi="Times New Roman" w:eastAsia="仿宋_GB2312" w:cs="Times New Roman"/>
          <w:bCs/>
          <w:sz w:val="28"/>
          <w:szCs w:val="28"/>
        </w:rPr>
        <w:t>V</w:t>
      </w:r>
      <w:r>
        <w:rPr>
          <w:rFonts w:hint="eastAsia" w:ascii="仿宋_GB2312" w:hAnsi="Times New Roman" w:eastAsia="仿宋_GB2312" w:cs="Times New Roman"/>
          <w:bCs/>
          <w:sz w:val="28"/>
          <w:szCs w:val="28"/>
        </w:rPr>
        <w:t>、35K</w:t>
      </w:r>
      <w:r>
        <w:rPr>
          <w:rFonts w:ascii="仿宋_GB2312" w:hAnsi="Times New Roman" w:eastAsia="仿宋_GB2312" w:cs="Times New Roman"/>
          <w:bCs/>
          <w:sz w:val="28"/>
          <w:szCs w:val="28"/>
        </w:rPr>
        <w:t>V</w:t>
      </w:r>
      <w:r>
        <w:rPr>
          <w:rFonts w:hint="eastAsia" w:ascii="仿宋_GB2312" w:hAnsi="Times New Roman" w:eastAsia="仿宋_GB2312" w:cs="Times New Roman"/>
          <w:bCs/>
          <w:sz w:val="28"/>
          <w:szCs w:val="28"/>
        </w:rPr>
        <w:t>电网线路，在尧渡镇实施强电下地工程。加快推进尧城片区天然气支网建设，从保障能源供应上促进城镇承载能力的提高。加强市政公用应急抢险队伍建设，健全行业安全防控机制。强化城市管理日常巡查，切实保障供水、供电、供气市政公用设施安全稳定运行。</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35" w:name="_Toc69314806"/>
      <w:r>
        <w:rPr>
          <w:rFonts w:hint="eastAsia" w:ascii="仿宋_GB2312" w:hAnsi="Times New Roman" w:eastAsia="仿宋_GB2312" w:cs="Times New Roman"/>
          <w:bCs w:val="0"/>
          <w:kern w:val="2"/>
          <w:sz w:val="30"/>
          <w:szCs w:val="30"/>
        </w:rPr>
        <w:t>2、增进交通系统畅通水平</w:t>
      </w:r>
      <w:bookmarkEnd w:id="35"/>
    </w:p>
    <w:p>
      <w:pPr>
        <w:spacing w:line="576" w:lineRule="exact"/>
        <w:ind w:firstLine="560" w:firstLineChars="200"/>
        <w:rPr>
          <w:rFonts w:ascii="仿宋_GB2312" w:hAnsi="Times New Roman" w:eastAsia="仿宋_GB2312" w:cs="Times New Roman"/>
          <w:sz w:val="28"/>
          <w:szCs w:val="28"/>
        </w:rPr>
      </w:pPr>
      <w:r>
        <w:rPr>
          <w:rFonts w:hint="eastAsia" w:ascii="仿宋_GB2312" w:hAnsi="Times New Roman" w:eastAsia="仿宋_GB2312" w:cs="Times New Roman"/>
          <w:sz w:val="28"/>
          <w:szCs w:val="28"/>
        </w:rPr>
        <w:t>加大老城区交通系统有机更新步伐，优化城市路网结构和道路交通体系。加快县城南北高速出入口交通系统建设，强化周边环境整治和居民生活基本服务设施配套。打通城市主要断头路和丁字路，贯通环城南路、环城北路、环城东路、泥溪路、香樟路、白笏路、建德路、天台山南路和县委巷等。新建纬三路、</w:t>
      </w:r>
      <w:r>
        <w:rPr>
          <w:rFonts w:ascii="仿宋_GB2312" w:hAnsi="Times New Roman" w:eastAsia="仿宋_GB2312" w:cs="Times New Roman"/>
          <w:sz w:val="28"/>
          <w:szCs w:val="28"/>
        </w:rPr>
        <w:t>纬</w:t>
      </w:r>
      <w:r>
        <w:rPr>
          <w:rFonts w:hint="eastAsia" w:ascii="仿宋_GB2312" w:hAnsi="Times New Roman" w:eastAsia="仿宋_GB2312" w:cs="Times New Roman"/>
          <w:sz w:val="28"/>
          <w:szCs w:val="28"/>
        </w:rPr>
        <w:t>二</w:t>
      </w:r>
      <w:r>
        <w:rPr>
          <w:rFonts w:ascii="仿宋_GB2312" w:hAnsi="Times New Roman" w:eastAsia="仿宋_GB2312" w:cs="Times New Roman"/>
          <w:sz w:val="28"/>
          <w:szCs w:val="28"/>
        </w:rPr>
        <w:t>路</w:t>
      </w:r>
      <w:r>
        <w:rPr>
          <w:rFonts w:hint="eastAsia" w:ascii="仿宋_GB2312" w:hAnsi="Times New Roman" w:eastAsia="仿宋_GB2312" w:cs="Times New Roman"/>
          <w:sz w:val="28"/>
          <w:szCs w:val="28"/>
        </w:rPr>
        <w:t>、敬慈东路、河西大道北延段、</w:t>
      </w:r>
      <w:r>
        <w:rPr>
          <w:rFonts w:ascii="仿宋_GB2312" w:hAnsi="Times New Roman" w:eastAsia="仿宋_GB2312" w:cs="Times New Roman"/>
          <w:sz w:val="28"/>
          <w:szCs w:val="28"/>
        </w:rPr>
        <w:t>尧渡老河</w:t>
      </w:r>
      <w:r>
        <w:rPr>
          <w:rFonts w:hint="eastAsia" w:ascii="仿宋_GB2312" w:hAnsi="Times New Roman" w:eastAsia="仿宋_GB2312" w:cs="Times New Roman"/>
          <w:sz w:val="28"/>
          <w:szCs w:val="28"/>
        </w:rPr>
        <w:t>二号</w:t>
      </w:r>
      <w:r>
        <w:rPr>
          <w:rFonts w:ascii="仿宋_GB2312" w:hAnsi="Times New Roman" w:eastAsia="仿宋_GB2312" w:cs="Times New Roman"/>
          <w:sz w:val="28"/>
          <w:szCs w:val="28"/>
        </w:rPr>
        <w:t>桥至击壤桥</w:t>
      </w:r>
      <w:r>
        <w:rPr>
          <w:rFonts w:hint="eastAsia" w:ascii="仿宋_GB2312" w:hAnsi="Times New Roman" w:eastAsia="仿宋_GB2312" w:cs="Times New Roman"/>
          <w:sz w:val="28"/>
          <w:szCs w:val="28"/>
        </w:rPr>
        <w:t>段、河西大道洁源城至梅山河桥段等道路，完善城南汽车站周边站南路、物流路及池州工业学院南侧和城西道路网。改造尧南路、至德大道至梅城路、云峰桥西道路、尧北路(东段</w:t>
      </w:r>
      <w:r>
        <w:rPr>
          <w:rFonts w:ascii="仿宋_GB2312" w:hAnsi="Times New Roman" w:eastAsia="仿宋_GB2312" w:cs="Times New Roman"/>
          <w:sz w:val="28"/>
          <w:szCs w:val="28"/>
        </w:rPr>
        <w:t>)</w:t>
      </w:r>
      <w:r>
        <w:rPr>
          <w:rFonts w:hint="eastAsia" w:ascii="仿宋_GB2312" w:hAnsi="Times New Roman" w:eastAsia="仿宋_GB2312" w:cs="Times New Roman"/>
          <w:sz w:val="28"/>
          <w:szCs w:val="28"/>
        </w:rPr>
        <w:t>、梅城路（周村河西端）、良田路、西湖路、迎宾路、河西路等城市道路，形成完整的道路网系统，同步实施人行道改造工程，增设盲道，减少机非混行的交通情况，缓解城市交通压力，推动城市发展。结合老旧小区改造和公共服务设施建设，</w:t>
      </w:r>
      <w:bookmarkStart w:id="36" w:name="_Hlk69313148"/>
      <w:r>
        <w:rPr>
          <w:rFonts w:hint="eastAsia" w:ascii="仿宋_GB2312" w:hAnsi="Times New Roman" w:eastAsia="仿宋_GB2312" w:cs="Times New Roman"/>
          <w:sz w:val="28"/>
          <w:szCs w:val="28"/>
        </w:rPr>
        <w:t>实施主城区停车场改造提升工程</w:t>
      </w:r>
      <w:bookmarkEnd w:id="36"/>
      <w:r>
        <w:rPr>
          <w:rFonts w:hint="eastAsia" w:ascii="仿宋_GB2312" w:hAnsi="Times New Roman" w:eastAsia="仿宋_GB2312" w:cs="Times New Roman"/>
          <w:sz w:val="28"/>
          <w:szCs w:val="28"/>
        </w:rPr>
        <w:t>，新建东环路梅城村大型停车场、河西大道停车场，对城区现有停车场升级改造，加装充电桩，适时建设立体停车位，推进老城区地下停车空间建设。</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37" w:name="_Toc69314807"/>
      <w:r>
        <w:rPr>
          <w:rFonts w:hint="eastAsia" w:ascii="仿宋_GB2312" w:hAnsi="Times New Roman" w:eastAsia="仿宋_GB2312" w:cs="Times New Roman"/>
          <w:bCs w:val="0"/>
          <w:kern w:val="2"/>
          <w:sz w:val="30"/>
          <w:szCs w:val="30"/>
        </w:rPr>
        <w:t>3、提高公共设施建设品质</w:t>
      </w:r>
      <w:bookmarkEnd w:id="37"/>
    </w:p>
    <w:p>
      <w:pPr>
        <w:spacing w:line="576"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推动基本公共服务均等化水平稳步提高，公共服务体系更加完善。实施尧渡城区水系综合治理工程，加快</w:t>
      </w:r>
      <w:r>
        <w:rPr>
          <w:rFonts w:ascii="仿宋_GB2312" w:hAnsi="Times New Roman" w:eastAsia="仿宋_GB2312" w:cs="Times New Roman"/>
          <w:bCs/>
          <w:sz w:val="28"/>
          <w:szCs w:val="28"/>
        </w:rPr>
        <w:t>尧渡老河生态补水工程建设</w:t>
      </w:r>
      <w:r>
        <w:rPr>
          <w:rFonts w:hint="eastAsia" w:ascii="仿宋_GB2312" w:hAnsi="Times New Roman" w:eastAsia="仿宋_GB2312" w:cs="Times New Roman"/>
          <w:bCs/>
          <w:sz w:val="28"/>
          <w:szCs w:val="28"/>
        </w:rPr>
        <w:t>，逐步推进实施尧渡河复航工程</w:t>
      </w:r>
      <w:r>
        <w:rPr>
          <w:rFonts w:ascii="仿宋_GB2312" w:hAnsi="Times New Roman" w:eastAsia="仿宋_GB2312" w:cs="Times New Roman"/>
          <w:bCs/>
          <w:sz w:val="28"/>
          <w:szCs w:val="28"/>
        </w:rPr>
        <w:t>。</w:t>
      </w:r>
      <w:r>
        <w:rPr>
          <w:rFonts w:hint="eastAsia" w:ascii="仿宋_GB2312" w:hAnsi="Times New Roman" w:eastAsia="仿宋_GB2312" w:cs="Times New Roman"/>
          <w:bCs/>
          <w:sz w:val="28"/>
          <w:szCs w:val="28"/>
        </w:rPr>
        <w:t>完善配套设施，探索特色经验和惠民成果。加快政务超市、金字牌商业综合体、县委党校综合楼、周氏文化园、尧渡二号桥至击壤桥环境提升工程等项目。逐步解决居民家门口一公里问题，让人民群众生产生活更便捷，获得更大满意度和更多幸福感。持续推进“三线三边”和城乡环境整治，促进城镇垃圾处理全覆盖，进一步统筹提升城乡垃圾收集处理能力，新建东至生活垃圾焚烧厂。加大垃圾分类处理宣传力度，引导居民形成垃圾分类习惯，促进生活垃圾从源头上减量，深入开展生活垃圾分类处理。至“十四五”末，基本建成与生活垃圾清运量相匹配的生活垃圾分类收集和分类运输体系，并结合污水处理厂改扩建，新建餐厨垃圾处理中心。结合老旧小区改造，配建、补建城市公厕，分批改造现有老旧公厕，在沿河路滨河公园、袜业小镇、舜城新区新建旅游厕所5座。摸清健身设施建设短板，编制健身设施建设补短板五年行动计划，优先规划建设贴近社区、方便可达的全民健身中心、多功能运动场、体育公园、健身步道、健身广场、小型足球场等健身设施。统筹体育和公共卫生、应急避难（险）设施建设，推广公共体育场馆平战两用改造，强化其在重大疫情防控、避险避灾方面的功能。</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sz w:val="30"/>
          <w:szCs w:val="30"/>
        </w:rPr>
      </w:pPr>
      <w:bookmarkStart w:id="38" w:name="_Toc69314808"/>
      <w:r>
        <w:rPr>
          <w:rFonts w:hint="eastAsia" w:ascii="仿宋_GB2312" w:hAnsi="Times New Roman" w:eastAsia="仿宋_GB2312" w:cs="Times New Roman"/>
          <w:bCs w:val="0"/>
          <w:kern w:val="2"/>
          <w:sz w:val="30"/>
          <w:szCs w:val="30"/>
        </w:rPr>
        <w:t>4、增强乡镇基础设施供给</w:t>
      </w:r>
      <w:bookmarkEnd w:id="38"/>
    </w:p>
    <w:p>
      <w:pPr>
        <w:spacing w:line="576"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建立健全城乡基础设施一体化的建设机制，统筹城乡供水、供电、燃气、污水等基础设施的建设，推动市政设施向城乡郊区和规模比较大的中心镇延伸。率先在张溪、洋湖、葛公、青山等乡镇开展城乡供水一体化工作，扩建龙江水厂，新增D</w:t>
      </w:r>
      <w:r>
        <w:rPr>
          <w:rFonts w:ascii="仿宋_GB2312" w:hAnsi="Times New Roman" w:eastAsia="仿宋_GB2312" w:cs="Times New Roman"/>
          <w:bCs/>
          <w:sz w:val="28"/>
          <w:szCs w:val="28"/>
        </w:rPr>
        <w:t>N500</w:t>
      </w:r>
      <w:r>
        <w:rPr>
          <w:rFonts w:hint="eastAsia" w:ascii="仿宋_GB2312" w:hAnsi="Times New Roman" w:eastAsia="仿宋_GB2312" w:cs="Times New Roman"/>
          <w:bCs/>
          <w:sz w:val="28"/>
          <w:szCs w:val="28"/>
        </w:rPr>
        <w:t>原水输水管道，对原有设施进行改造提升和整合，实行规模化经营，专业化管理。</w:t>
      </w:r>
      <w:r>
        <w:rPr>
          <w:rFonts w:hint="eastAsia" w:ascii="仿宋_GB2312" w:hAnsi="Times New Roman" w:eastAsia="仿宋_GB2312" w:cs="Times New Roman"/>
          <w:sz w:val="28"/>
          <w:szCs w:val="28"/>
        </w:rPr>
        <w:t>全面实施重大水系干流及主要支流污水处理厂提标改造，继续推进城市污水处理厂污泥无害化处置设施建设。推进东至经济开发区和大渡口污水处理厂提标改造，将污水处理标准提高至一级A标准。</w:t>
      </w:r>
      <w:r>
        <w:rPr>
          <w:rFonts w:hint="eastAsia" w:ascii="仿宋_GB2312" w:hAnsi="Times New Roman" w:eastAsia="仿宋_GB2312" w:cs="Times New Roman"/>
          <w:bCs/>
          <w:sz w:val="28"/>
          <w:szCs w:val="28"/>
        </w:rPr>
        <w:t>完善大渡口城镇污水管网环形衔接建设项目，集中收集到城镇污水主管网送至污水处理厂进行处理。继续推进乡村污水处理，完善乡镇和中心村的化粪池、污水管网建设。新建胜利变、洋湖变和大渡口变等3座110K</w:t>
      </w:r>
      <w:r>
        <w:rPr>
          <w:rFonts w:ascii="仿宋_GB2312" w:hAnsi="Times New Roman" w:eastAsia="仿宋_GB2312" w:cs="Times New Roman"/>
          <w:bCs/>
          <w:sz w:val="28"/>
          <w:szCs w:val="28"/>
        </w:rPr>
        <w:t>V</w:t>
      </w:r>
      <w:r>
        <w:rPr>
          <w:rFonts w:hint="eastAsia" w:ascii="仿宋_GB2312" w:hAnsi="Times New Roman" w:eastAsia="仿宋_GB2312" w:cs="Times New Roman"/>
          <w:bCs/>
          <w:sz w:val="28"/>
          <w:szCs w:val="28"/>
        </w:rPr>
        <w:t>变电站并改造农村电网。</w:t>
      </w:r>
      <w:r>
        <w:rPr>
          <w:rFonts w:ascii="仿宋_GB2312" w:hAnsi="Times New Roman" w:eastAsia="仿宋_GB2312" w:cs="Times New Roman"/>
          <w:bCs/>
          <w:sz w:val="28"/>
          <w:szCs w:val="28"/>
        </w:rPr>
        <w:t>推进东至县天然气利用工程建设进度，</w:t>
      </w:r>
      <w:r>
        <w:rPr>
          <w:rFonts w:hint="eastAsia" w:ascii="仿宋_GB2312" w:hAnsi="Times New Roman" w:eastAsia="仿宋_GB2312" w:cs="Times New Roman"/>
          <w:bCs/>
          <w:sz w:val="28"/>
          <w:szCs w:val="28"/>
        </w:rPr>
        <w:t>稳步推进巷口港区加注站增加接收功能评估工作和铁路L</w:t>
      </w:r>
      <w:r>
        <w:rPr>
          <w:rFonts w:ascii="仿宋_GB2312" w:hAnsi="Times New Roman" w:eastAsia="仿宋_GB2312" w:cs="Times New Roman"/>
          <w:bCs/>
          <w:sz w:val="28"/>
          <w:szCs w:val="28"/>
        </w:rPr>
        <w:t>NG</w:t>
      </w:r>
      <w:r>
        <w:rPr>
          <w:rFonts w:hint="eastAsia" w:ascii="仿宋_GB2312" w:hAnsi="Times New Roman" w:eastAsia="仿宋_GB2312" w:cs="Times New Roman"/>
          <w:bCs/>
          <w:sz w:val="28"/>
          <w:szCs w:val="28"/>
        </w:rPr>
        <w:t>接收站建设工程。</w:t>
      </w:r>
      <w:r>
        <w:rPr>
          <w:rFonts w:ascii="仿宋_GB2312" w:hAnsi="Times New Roman" w:eastAsia="仿宋_GB2312" w:cs="Times New Roman"/>
          <w:bCs/>
          <w:sz w:val="28"/>
          <w:szCs w:val="28"/>
        </w:rPr>
        <w:t>敷设裕丰阀室至大渡口</w:t>
      </w:r>
      <w:r>
        <w:rPr>
          <w:rFonts w:hint="eastAsia" w:ascii="仿宋_GB2312" w:hAnsi="Times New Roman" w:eastAsia="仿宋_GB2312" w:cs="Times New Roman"/>
          <w:bCs/>
          <w:sz w:val="28"/>
          <w:szCs w:val="28"/>
        </w:rPr>
        <w:t>末</w:t>
      </w:r>
      <w:r>
        <w:rPr>
          <w:rFonts w:ascii="仿宋_GB2312" w:hAnsi="Times New Roman" w:eastAsia="仿宋_GB2312" w:cs="Times New Roman"/>
          <w:bCs/>
          <w:sz w:val="28"/>
          <w:szCs w:val="28"/>
        </w:rPr>
        <w:t>站</w:t>
      </w:r>
      <w:r>
        <w:rPr>
          <w:rFonts w:hint="eastAsia" w:ascii="仿宋_GB2312" w:hAnsi="Times New Roman" w:eastAsia="仿宋_GB2312" w:cs="Times New Roman"/>
          <w:bCs/>
          <w:sz w:val="28"/>
          <w:szCs w:val="28"/>
        </w:rPr>
        <w:t>至东至段和东流镇输气站至香隅镇末站</w:t>
      </w:r>
      <w:r>
        <w:rPr>
          <w:rFonts w:ascii="仿宋_GB2312" w:hAnsi="Times New Roman" w:eastAsia="仿宋_GB2312" w:cs="Times New Roman"/>
          <w:bCs/>
          <w:sz w:val="28"/>
          <w:szCs w:val="28"/>
        </w:rPr>
        <w:t>段</w:t>
      </w:r>
      <w:r>
        <w:rPr>
          <w:rFonts w:hint="eastAsia" w:ascii="仿宋_GB2312" w:hAnsi="Times New Roman" w:eastAsia="仿宋_GB2312" w:cs="Times New Roman"/>
          <w:bCs/>
          <w:sz w:val="28"/>
          <w:szCs w:val="28"/>
        </w:rPr>
        <w:t>高压</w:t>
      </w:r>
      <w:r>
        <w:rPr>
          <w:rFonts w:ascii="仿宋_GB2312" w:hAnsi="Times New Roman" w:eastAsia="仿宋_GB2312" w:cs="Times New Roman"/>
          <w:bCs/>
          <w:sz w:val="28"/>
          <w:szCs w:val="28"/>
        </w:rPr>
        <w:t>燃气</w:t>
      </w:r>
      <w:r>
        <w:rPr>
          <w:rFonts w:hint="eastAsia" w:ascii="仿宋_GB2312" w:hAnsi="Times New Roman" w:eastAsia="仿宋_GB2312" w:cs="Times New Roman"/>
          <w:bCs/>
          <w:sz w:val="28"/>
          <w:szCs w:val="28"/>
        </w:rPr>
        <w:t>管网</w:t>
      </w:r>
      <w:r>
        <w:rPr>
          <w:rFonts w:ascii="仿宋_GB2312" w:hAnsi="Times New Roman" w:eastAsia="仿宋_GB2312" w:cs="Times New Roman"/>
          <w:bCs/>
          <w:sz w:val="28"/>
          <w:szCs w:val="28"/>
        </w:rPr>
        <w:t>，加快</w:t>
      </w:r>
      <w:r>
        <w:rPr>
          <w:rFonts w:hint="eastAsia" w:ascii="仿宋_GB2312" w:hAnsi="Times New Roman" w:eastAsia="仿宋_GB2312" w:cs="Times New Roman"/>
          <w:bCs/>
          <w:sz w:val="28"/>
          <w:szCs w:val="28"/>
        </w:rPr>
        <w:t>东至门站和大渡口、尧渡、东流、香隅、胜利5座高中压调压站和昭潭小型L</w:t>
      </w:r>
      <w:r>
        <w:rPr>
          <w:rFonts w:ascii="仿宋_GB2312" w:hAnsi="Times New Roman" w:eastAsia="仿宋_GB2312" w:cs="Times New Roman"/>
          <w:bCs/>
          <w:sz w:val="28"/>
          <w:szCs w:val="28"/>
        </w:rPr>
        <w:t>NG</w:t>
      </w:r>
      <w:r>
        <w:rPr>
          <w:rFonts w:hint="eastAsia" w:ascii="仿宋_GB2312" w:hAnsi="Times New Roman" w:eastAsia="仿宋_GB2312" w:cs="Times New Roman"/>
          <w:bCs/>
          <w:sz w:val="28"/>
          <w:szCs w:val="28"/>
        </w:rPr>
        <w:t>气化站建设，通过龙泉、官港等10余个乡镇建设LNG瓶组站满足偏远乡镇供气需求。</w:t>
      </w:r>
    </w:p>
    <w:p>
      <w:pPr>
        <w:pStyle w:val="3"/>
        <w:spacing w:before="120" w:after="120" w:line="240" w:lineRule="auto"/>
        <w:rPr>
          <w:rFonts w:ascii="宋体" w:hAnsi="宋体" w:eastAsia="宋体"/>
          <w:sz w:val="30"/>
          <w:szCs w:val="30"/>
        </w:rPr>
      </w:pPr>
      <w:bookmarkStart w:id="39" w:name="_Toc69314809"/>
      <w:r>
        <w:rPr>
          <w:rFonts w:hint="eastAsia" w:ascii="宋体" w:hAnsi="宋体" w:eastAsia="宋体"/>
          <w:sz w:val="30"/>
          <w:szCs w:val="30"/>
        </w:rPr>
        <w:t>（五）高效率实现建筑业转型升级</w:t>
      </w:r>
      <w:bookmarkEnd w:id="39"/>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40" w:name="_Toc69314810"/>
      <w:r>
        <w:rPr>
          <w:rFonts w:hint="eastAsia" w:ascii="仿宋_GB2312" w:hAnsi="Times New Roman" w:eastAsia="仿宋_GB2312" w:cs="Times New Roman"/>
          <w:bCs w:val="0"/>
          <w:kern w:val="2"/>
          <w:sz w:val="30"/>
          <w:szCs w:val="30"/>
        </w:rPr>
        <w:t>1、提升本地建筑企业竞争力</w:t>
      </w:r>
      <w:bookmarkEnd w:id="40"/>
    </w:p>
    <w:p>
      <w:pPr>
        <w:spacing w:line="560"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重点扶持本地企业做大做强，精心培育扶持本地企业，夯实基础扩大建筑经济总量。主动服务安东集团建材板块和建筑工程管理，支持国有企业领跑建设领域，创建安全生产和质量保障标准体系。采取一定的策略回避竞争区域，制定中长期发展规划确定本地企业产品和服务的市场地位。加大新技术、高技术人才的引进力度，推动企业技术水平的不断提高，打造企业核心竞力。加快推进建材新兴产业发展</w:t>
      </w:r>
      <w:r>
        <w:rPr>
          <w:rFonts w:ascii="仿宋_GB2312" w:hAnsi="Times New Roman" w:eastAsia="仿宋_GB2312" w:cs="Times New Roman"/>
          <w:bCs/>
          <w:sz w:val="28"/>
          <w:szCs w:val="28"/>
        </w:rPr>
        <w:t>,</w:t>
      </w:r>
      <w:r>
        <w:rPr>
          <w:rFonts w:hint="eastAsia" w:ascii="仿宋_GB2312" w:hAnsi="Times New Roman" w:eastAsia="仿宋_GB2312" w:cs="Times New Roman"/>
          <w:bCs/>
          <w:sz w:val="28"/>
          <w:szCs w:val="28"/>
        </w:rPr>
        <w:t xml:space="preserve"> 扶持本地建筑企业做大做强做优建材板块，</w:t>
      </w:r>
      <w:r>
        <w:rPr>
          <w:rFonts w:ascii="仿宋_GB2312" w:hAnsi="Times New Roman" w:eastAsia="仿宋_GB2312" w:cs="Times New Roman"/>
          <w:bCs/>
          <w:sz w:val="28"/>
          <w:szCs w:val="28"/>
        </w:rPr>
        <w:t>提升功能、拓展领域,形成规模</w:t>
      </w:r>
      <w:r>
        <w:rPr>
          <w:rFonts w:hint="eastAsia" w:ascii="仿宋_GB2312" w:hAnsi="Times New Roman" w:eastAsia="仿宋_GB2312" w:cs="Times New Roman"/>
          <w:bCs/>
          <w:sz w:val="28"/>
          <w:szCs w:val="28"/>
        </w:rPr>
        <w:t>，</w:t>
      </w:r>
      <w:r>
        <w:rPr>
          <w:rFonts w:ascii="仿宋_GB2312" w:hAnsi="Times New Roman" w:eastAsia="仿宋_GB2312" w:cs="Times New Roman"/>
          <w:bCs/>
          <w:sz w:val="28"/>
          <w:szCs w:val="28"/>
        </w:rPr>
        <w:t>进一步延伸产业链，做专做精建材产业板块，培育新的经济增长点，全面推进建材板块向新的高度迈进。</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41" w:name="_Toc69314811"/>
      <w:r>
        <w:rPr>
          <w:rFonts w:hint="eastAsia" w:ascii="仿宋_GB2312" w:hAnsi="Times New Roman" w:eastAsia="仿宋_GB2312" w:cs="Times New Roman"/>
          <w:bCs w:val="0"/>
          <w:kern w:val="2"/>
          <w:sz w:val="30"/>
          <w:szCs w:val="30"/>
        </w:rPr>
        <w:t>2、推进建筑产业现代化</w:t>
      </w:r>
      <w:bookmarkEnd w:id="41"/>
    </w:p>
    <w:p>
      <w:pPr>
        <w:spacing w:line="560"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稳步推动装配式建筑发展，发展装配式混凝土结构和钢结构建筑，推动建立以标准部品为基础的专业化、规模化、信息化生产体系。加强政策措施和规划计划的顶层设计，把协同推进标准、设计、生产、施工、运营维护等作为发展装配式建筑的有效抓手，推动各个环节有机结合，以建造方式变革促进工程建设全过程提质增效，带动建筑业整体水平的提升。加快打造建筑产业互联网平台，推广应用钢结构构件智能制造生产线和预制混凝土构件智能生产线。大力推进先进制造设备、智能设备及智慧工地相关装备的研发、制造和推广应用，提升各类施工机具的性能和效率，提高机械化施工程度。加快传感器、高速移动通讯、无线射频、近场通讯及二维码识别等建筑物联网技术应用，提升数据资源利用水平和信息服务能力。健全技术支撑体系</w:t>
      </w:r>
      <w:r>
        <w:rPr>
          <w:rFonts w:ascii="仿宋_GB2312" w:hAnsi="Times New Roman" w:eastAsia="仿宋_GB2312" w:cs="Times New Roman"/>
          <w:bCs/>
          <w:sz w:val="28"/>
          <w:szCs w:val="28"/>
        </w:rPr>
        <w:t>,提升装配施工水平,鼓励有条件的企业建设集科研、制造、示范和人才培养于一体的装配式建筑综合示范基地。</w:t>
      </w:r>
      <w:r>
        <w:rPr>
          <w:rFonts w:hint="eastAsia" w:ascii="仿宋_GB2312" w:hAnsi="Times New Roman" w:eastAsia="仿宋_GB2312" w:cs="Times New Roman"/>
          <w:bCs/>
          <w:sz w:val="28"/>
          <w:szCs w:val="28"/>
        </w:rPr>
        <w:t>围绕数字设计、智能生产、智能施工，构建先进适用的智能建造及建筑工业化标准体系。结合安东集团等龙头企业的培养，开展基础共性标准、关键技术标准、行业应用标准研究。“十四五”期间，计划扶持装配式建筑企业一家，年产量三十万立方，投资额六亿元；培育轻钢企业一家，投资额三亿元，年产建筑面积三十万平米。</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sz w:val="30"/>
          <w:szCs w:val="30"/>
        </w:rPr>
      </w:pPr>
      <w:bookmarkStart w:id="42" w:name="_Toc69314812"/>
      <w:r>
        <w:rPr>
          <w:rFonts w:hint="eastAsia" w:ascii="仿宋_GB2312" w:hAnsi="Times New Roman" w:eastAsia="仿宋_GB2312" w:cs="Times New Roman"/>
          <w:bCs w:val="0"/>
          <w:kern w:val="2"/>
          <w:sz w:val="30"/>
          <w:szCs w:val="30"/>
        </w:rPr>
        <w:t>3、加强建筑技术创新与信息化水平</w:t>
      </w:r>
      <w:bookmarkEnd w:id="42"/>
    </w:p>
    <w:p>
      <w:pPr>
        <w:spacing w:line="560"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加快推动新一代信息技术与建筑工业化技术协同发展，在建造全过程加大建筑信息模型（BIM）、互联网、物联网、大数据、云计算、移动通信、人工智能、区块链等新技术的集成与创新应用。探索具备人机协调、自然交互、自主学习功能的建筑机器人批量应用。推进工业互联网平台在建筑领域的融合应用，结合智慧工地建设建筑产业互联网平台，开发面向建筑各领域的应用程序。推进数字化设计体系建设，统筹建筑结构、机电设备、部品部件、装配施工、装饰装修，推行一体化集成设计。积极应用自主可控的BIM技术，加快构建数字设计基础平台和集成系统，实现设计、工艺、制造协同。加快部品部件生产数字化、智能化升级，推广应用数字化技术、系统集成技术、智能化装备和建筑机器人，实现少人甚至无人工厂。加快人机智能交互、智能物流管理、增材制造等技术和智能装备的应用。以钢筋制作安装、模具安拆、混凝土浇筑、钢构件下料焊接、隔墙板和集成厨卫加工等工厂生产关键工艺环节为重点，推进工艺流程数字化和建筑机器人应用。推动在材料配送、钢筋加工、喷涂、铺贴地砖、安装隔墙板、高空焊接等现场施工环节，加强建筑机器人和智能控制造楼机等一体化施工设备的应用。</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sz w:val="30"/>
          <w:szCs w:val="30"/>
        </w:rPr>
      </w:pPr>
      <w:bookmarkStart w:id="43" w:name="_Toc69314813"/>
      <w:r>
        <w:rPr>
          <w:rFonts w:ascii="仿宋_GB2312" w:hAnsi="Times New Roman" w:eastAsia="仿宋_GB2312" w:cs="Times New Roman"/>
          <w:bCs w:val="0"/>
          <w:kern w:val="2"/>
          <w:sz w:val="30"/>
          <w:szCs w:val="30"/>
        </w:rPr>
        <w:t>4</w:t>
      </w:r>
      <w:r>
        <w:rPr>
          <w:rFonts w:hint="eastAsia" w:ascii="仿宋_GB2312" w:hAnsi="Times New Roman" w:eastAsia="仿宋_GB2312" w:cs="Times New Roman"/>
          <w:bCs w:val="0"/>
          <w:kern w:val="2"/>
          <w:sz w:val="30"/>
          <w:szCs w:val="30"/>
        </w:rPr>
        <w:t>、推行建筑绿色建造</w:t>
      </w:r>
      <w:bookmarkEnd w:id="43"/>
    </w:p>
    <w:p>
      <w:pPr>
        <w:spacing w:line="560" w:lineRule="exact"/>
        <w:ind w:firstLine="560" w:firstLineChars="200"/>
        <w:rPr>
          <w:rFonts w:hint="eastAsia" w:ascii="宋体" w:hAnsi="宋体" w:eastAsia="宋体"/>
          <w:sz w:val="30"/>
          <w:szCs w:val="30"/>
        </w:rPr>
      </w:pPr>
      <w:r>
        <w:rPr>
          <w:rFonts w:hint="eastAsia" w:ascii="仿宋_GB2312" w:hAnsi="Times New Roman" w:eastAsia="仿宋_GB2312" w:cs="Times New Roman"/>
          <w:bCs/>
          <w:sz w:val="28"/>
          <w:szCs w:val="28"/>
        </w:rPr>
        <w:t>实行工程建设项目全生命周期内的绿色建造，以节约资源、保护环境为核心，通过智能建造与建筑工业化协同发展，提高资源利用效率，减少建筑垃圾的产生，大幅降低能耗、物耗和水耗水平。推动建立建筑业绿色供应链，推行循环生产方式，提高建筑垃圾的综合利用水平。加大先进节能环保技术、工艺和装备的研发力度，提高能效水平，加快淘汰落后装备设备和技术，促进建筑业绿色改造升级。在土地出让及规划设计条件中明确绿色建筑的设计要求，在建筑设计图审和施工许可发放中进行把关，把绿建评估纳入政府考核体系。</w:t>
      </w:r>
      <w:r>
        <w:rPr>
          <w:rFonts w:ascii="仿宋_GB2312" w:hAnsi="Times New Roman" w:eastAsia="仿宋_GB2312" w:cs="Times New Roman"/>
          <w:bCs/>
          <w:sz w:val="28"/>
          <w:szCs w:val="28"/>
        </w:rPr>
        <w:t>充分发挥政府投资的保障性住房、公共建筑以及市政工程等的示范作用，推动绿色建筑规模化发展。</w:t>
      </w:r>
      <w:r>
        <w:rPr>
          <w:rFonts w:hint="eastAsia" w:ascii="仿宋_GB2312" w:hAnsi="Times New Roman" w:eastAsia="仿宋_GB2312" w:cs="Times New Roman"/>
          <w:bCs/>
          <w:sz w:val="28"/>
          <w:szCs w:val="28"/>
        </w:rPr>
        <w:t>探索容积率增补作为绿色建筑建设的奖励机制，引导</w:t>
      </w:r>
      <w:r>
        <w:rPr>
          <w:rFonts w:ascii="仿宋_GB2312" w:hAnsi="Times New Roman" w:eastAsia="仿宋_GB2312" w:cs="Times New Roman"/>
          <w:bCs/>
          <w:sz w:val="28"/>
          <w:szCs w:val="28"/>
        </w:rPr>
        <w:t>城镇新建建筑按照绿色建筑标准设计建造，同</w:t>
      </w:r>
      <w:r>
        <w:rPr>
          <w:rFonts w:hint="eastAsia" w:ascii="仿宋_GB2312" w:hAnsi="Times New Roman" w:eastAsia="仿宋_GB2312" w:cs="Times New Roman"/>
          <w:bCs/>
          <w:sz w:val="28"/>
          <w:szCs w:val="28"/>
        </w:rPr>
        <w:t>步实施既有建筑绿色化改造。建成安徽东至绿色智能装配式建筑产业园，打造国家级装配式建筑产业化示范基地。加强绿色建筑运营管理，积极推广绿色建材应用，全面提升绿色建筑设计建造水平。</w:t>
      </w:r>
      <w:bookmarkStart w:id="44" w:name="_Toc69314814"/>
    </w:p>
    <w:p>
      <w:pPr>
        <w:pStyle w:val="3"/>
        <w:spacing w:before="120" w:after="120" w:line="240" w:lineRule="auto"/>
        <w:rPr>
          <w:rFonts w:hint="eastAsia" w:ascii="宋体" w:hAnsi="宋体" w:eastAsia="宋体"/>
          <w:sz w:val="30"/>
          <w:szCs w:val="30"/>
        </w:rPr>
      </w:pPr>
    </w:p>
    <w:p>
      <w:pPr>
        <w:pStyle w:val="3"/>
        <w:spacing w:before="120" w:after="120" w:line="240" w:lineRule="auto"/>
        <w:rPr>
          <w:rFonts w:hint="eastAsia" w:ascii="宋体" w:hAnsi="宋体" w:eastAsia="宋体"/>
          <w:sz w:val="30"/>
          <w:szCs w:val="30"/>
        </w:rPr>
      </w:pPr>
    </w:p>
    <w:p>
      <w:pPr>
        <w:rPr>
          <w:rFonts w:hint="eastAsia" w:ascii="宋体" w:hAnsi="宋体" w:eastAsia="宋体"/>
          <w:sz w:val="30"/>
          <w:szCs w:val="30"/>
        </w:rPr>
      </w:pPr>
    </w:p>
    <w:p>
      <w:pPr>
        <w:rPr>
          <w:rFonts w:hint="eastAsia" w:ascii="宋体" w:hAnsi="宋体" w:eastAsia="宋体"/>
          <w:sz w:val="30"/>
          <w:szCs w:val="30"/>
        </w:rPr>
      </w:pPr>
    </w:p>
    <w:p>
      <w:pPr>
        <w:pStyle w:val="3"/>
        <w:spacing w:before="120" w:after="120" w:line="240" w:lineRule="auto"/>
        <w:rPr>
          <w:rFonts w:ascii="宋体" w:hAnsi="宋体" w:eastAsia="宋体"/>
          <w:sz w:val="30"/>
          <w:szCs w:val="30"/>
        </w:rPr>
      </w:pPr>
      <w:r>
        <w:rPr>
          <w:rFonts w:hint="eastAsia" w:ascii="宋体" w:hAnsi="宋体" w:eastAsia="宋体"/>
          <w:sz w:val="30"/>
          <w:szCs w:val="30"/>
        </w:rPr>
        <w:t>（六）高层次提升人防安全水平</w:t>
      </w:r>
      <w:bookmarkEnd w:id="44"/>
    </w:p>
    <w:p>
      <w:pPr>
        <w:pStyle w:val="4"/>
        <w:spacing w:before="156" w:beforeLines="50" w:beforeAutospacing="0" w:after="156" w:afterLines="50" w:afterAutospacing="0" w:line="600" w:lineRule="exact"/>
        <w:ind w:firstLine="602" w:firstLineChars="200"/>
        <w:rPr>
          <w:rFonts w:hint="eastAsia" w:ascii="仿宋_GB2312" w:hAnsi="Times New Roman" w:eastAsia="仿宋_GB2312" w:cs="Times New Roman"/>
          <w:bCs w:val="0"/>
          <w:kern w:val="2"/>
          <w:sz w:val="30"/>
          <w:szCs w:val="30"/>
        </w:rPr>
      </w:pPr>
      <w:bookmarkStart w:id="45" w:name="_Toc69314815"/>
      <w:r>
        <w:rPr>
          <w:rFonts w:hint="eastAsia" w:ascii="仿宋_GB2312" w:hAnsi="Times New Roman" w:eastAsia="仿宋_GB2312" w:cs="Times New Roman"/>
          <w:bCs w:val="0"/>
          <w:kern w:val="2"/>
          <w:sz w:val="30"/>
          <w:szCs w:val="30"/>
        </w:rPr>
        <w:t>1、加大城镇人防设施保障</w:t>
      </w:r>
      <w:bookmarkEnd w:id="45"/>
    </w:p>
    <w:p>
      <w:pPr>
        <w:ind w:firstLine="600" w:firstLineChars="200"/>
        <w:rPr>
          <w:rFonts w:hint="eastAsia" w:ascii="仿宋_GB2312" w:hAnsi="Times New Roman" w:eastAsia="仿宋_GB2312" w:cs="Times New Roman"/>
          <w:bCs w:val="0"/>
          <w:kern w:val="2"/>
          <w:sz w:val="30"/>
          <w:szCs w:val="30"/>
          <w:lang w:eastAsia="zh-CN"/>
        </w:rPr>
      </w:pPr>
      <w:r>
        <w:rPr>
          <w:rFonts w:hint="eastAsia" w:ascii="仿宋_GB2312" w:hAnsi="Times New Roman" w:eastAsia="仿宋_GB2312" w:cs="Times New Roman"/>
          <w:bCs w:val="0"/>
          <w:kern w:val="2"/>
          <w:sz w:val="30"/>
          <w:szCs w:val="30"/>
          <w:lang w:eastAsia="zh-CN"/>
        </w:rPr>
        <w:t>（</w:t>
      </w:r>
      <w:r>
        <w:rPr>
          <w:rFonts w:hint="eastAsia" w:ascii="仿宋_GB2312" w:hAnsi="Times New Roman" w:eastAsia="仿宋_GB2312" w:cs="Times New Roman"/>
          <w:bCs w:val="0"/>
          <w:kern w:val="2"/>
          <w:sz w:val="30"/>
          <w:szCs w:val="30"/>
          <w:lang w:val="en-US" w:eastAsia="zh-CN"/>
        </w:rPr>
        <w:t>部分涉密</w:t>
      </w:r>
      <w:r>
        <w:rPr>
          <w:rFonts w:hint="eastAsia" w:ascii="仿宋_GB2312" w:hAnsi="Times New Roman" w:eastAsia="仿宋_GB2312" w:cs="Times New Roman"/>
          <w:bCs w:val="0"/>
          <w:kern w:val="2"/>
          <w:sz w:val="30"/>
          <w:szCs w:val="30"/>
          <w:lang w:eastAsia="zh-CN"/>
        </w:rPr>
        <w:t>）</w:t>
      </w:r>
    </w:p>
    <w:p>
      <w:pPr>
        <w:ind w:firstLine="600" w:firstLineChars="200"/>
        <w:rPr>
          <w:rFonts w:hint="eastAsia" w:ascii="仿宋_GB2312" w:hAnsi="Times New Roman" w:eastAsia="仿宋_GB2312" w:cs="Times New Roman"/>
          <w:bCs w:val="0"/>
          <w:kern w:val="2"/>
          <w:sz w:val="30"/>
          <w:szCs w:val="30"/>
          <w:lang w:eastAsia="zh-CN"/>
        </w:rPr>
      </w:pPr>
    </w:p>
    <w:p>
      <w:pPr>
        <w:ind w:firstLine="600" w:firstLineChars="200"/>
        <w:rPr>
          <w:rFonts w:hint="eastAsia" w:ascii="仿宋_GB2312" w:hAnsi="Times New Roman" w:eastAsia="仿宋_GB2312" w:cs="Times New Roman"/>
          <w:bCs w:val="0"/>
          <w:kern w:val="2"/>
          <w:sz w:val="30"/>
          <w:szCs w:val="30"/>
          <w:lang w:eastAsia="zh-CN"/>
        </w:rPr>
      </w:pPr>
    </w:p>
    <w:p>
      <w:pPr>
        <w:ind w:firstLine="600" w:firstLineChars="200"/>
        <w:rPr>
          <w:rFonts w:hint="eastAsia" w:ascii="仿宋_GB2312" w:hAnsi="Times New Roman" w:eastAsia="仿宋_GB2312" w:cs="Times New Roman"/>
          <w:bCs w:val="0"/>
          <w:kern w:val="2"/>
          <w:sz w:val="30"/>
          <w:szCs w:val="30"/>
          <w:lang w:eastAsia="zh-CN"/>
        </w:rPr>
      </w:pPr>
      <w:bookmarkStart w:id="62" w:name="_GoBack"/>
      <w:bookmarkEnd w:id="62"/>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46" w:name="_Toc69314816"/>
      <w:r>
        <w:rPr>
          <w:rFonts w:hint="eastAsia" w:ascii="仿宋_GB2312" w:hAnsi="Times New Roman" w:eastAsia="仿宋_GB2312" w:cs="Times New Roman"/>
          <w:bCs w:val="0"/>
          <w:kern w:val="2"/>
          <w:sz w:val="30"/>
          <w:szCs w:val="30"/>
        </w:rPr>
        <w:t>2、推进城镇消防安全治理体系建设</w:t>
      </w:r>
      <w:bookmarkEnd w:id="46"/>
    </w:p>
    <w:p>
      <w:pPr>
        <w:spacing w:line="560"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严格建筑工程消防设计审批，加强批后监管，依法查处违法违规行为，维护建筑市场秩序。加强建设工程消防验收和监督检查，确保建筑消防设施完好有效。推动公共消防设施建设纳入城乡基础设施建设、改造计划及组织实施。加强对房屋建筑和市政基础设施工程执行消防强制性标准的监督。积极开展房屋建筑和市政基础设施在建工程施工场所消防安全检查。加强消防供水设施的建设和日常管理维护，保证设施的完备、有效。加强城镇民用液化石油气、天然气及管道的安全监督管理，组织编制实施相关的事故紧急救援预案。</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47" w:name="_Toc69314817"/>
      <w:r>
        <w:rPr>
          <w:rFonts w:ascii="仿宋_GB2312" w:hAnsi="Times New Roman" w:eastAsia="仿宋_GB2312" w:cs="Times New Roman"/>
          <w:bCs w:val="0"/>
          <w:kern w:val="2"/>
          <w:sz w:val="30"/>
          <w:szCs w:val="30"/>
        </w:rPr>
        <w:t>3</w:t>
      </w:r>
      <w:r>
        <w:rPr>
          <w:rFonts w:hint="eastAsia" w:ascii="仿宋_GB2312" w:hAnsi="Times New Roman" w:eastAsia="仿宋_GB2312" w:cs="Times New Roman"/>
          <w:bCs w:val="0"/>
          <w:kern w:val="2"/>
          <w:sz w:val="30"/>
          <w:szCs w:val="30"/>
        </w:rPr>
        <w:t>、提高城镇应急防灾能力</w:t>
      </w:r>
      <w:bookmarkEnd w:id="47"/>
    </w:p>
    <w:p>
      <w:pPr>
        <w:spacing w:line="560" w:lineRule="exact"/>
        <w:ind w:firstLine="560" w:firstLineChars="200"/>
        <w:rPr>
          <w:rFonts w:ascii="仿宋_GB2312" w:hAnsi="仿宋_GB2312" w:eastAsia="仿宋_GB2312" w:cs="仿宋_GB2312"/>
          <w:sz w:val="32"/>
          <w:szCs w:val="32"/>
        </w:rPr>
      </w:pPr>
      <w:r>
        <w:rPr>
          <w:rFonts w:hint="eastAsia" w:ascii="仿宋_GB2312" w:hAnsi="Times New Roman" w:eastAsia="仿宋_GB2312" w:cs="Times New Roman"/>
          <w:bCs/>
          <w:sz w:val="28"/>
          <w:szCs w:val="28"/>
        </w:rPr>
        <w:t>推进应急管理体系和能力现代化，提高防灾、减灾、抗灾、救灾能力。健全自然灾害、灾难事故、公共卫生事件、社会安全事件的预防预警和应急处置体系。提高城市基础设施、生命线工程、重要建</w:t>
      </w:r>
      <w:r>
        <w:rPr>
          <w:rFonts w:ascii="仿宋_GB2312" w:hAnsi="Times New Roman" w:eastAsia="仿宋_GB2312" w:cs="Times New Roman"/>
          <w:bCs/>
          <w:sz w:val="28"/>
          <w:szCs w:val="28"/>
        </w:rPr>
        <w:t>(</w:t>
      </w:r>
      <w:r>
        <w:rPr>
          <w:rFonts w:hint="eastAsia" w:ascii="仿宋_GB2312" w:hAnsi="Times New Roman" w:eastAsia="仿宋_GB2312" w:cs="Times New Roman"/>
          <w:bCs/>
          <w:sz w:val="28"/>
          <w:szCs w:val="28"/>
        </w:rPr>
        <w:t>构</w:t>
      </w:r>
      <w:r>
        <w:rPr>
          <w:rFonts w:ascii="仿宋_GB2312" w:hAnsi="Times New Roman" w:eastAsia="仿宋_GB2312" w:cs="Times New Roman"/>
          <w:bCs/>
          <w:sz w:val="28"/>
          <w:szCs w:val="28"/>
        </w:rPr>
        <w:t>)</w:t>
      </w:r>
      <w:r>
        <w:rPr>
          <w:rFonts w:hint="eastAsia" w:ascii="仿宋_GB2312" w:hAnsi="Times New Roman" w:eastAsia="仿宋_GB2312" w:cs="Times New Roman"/>
          <w:bCs/>
          <w:sz w:val="28"/>
          <w:szCs w:val="28"/>
        </w:rPr>
        <w:t>筑物和人员集中场所的灾害防御能力</w:t>
      </w:r>
      <w:r>
        <w:rPr>
          <w:rFonts w:ascii="仿宋_GB2312" w:hAnsi="Times New Roman" w:eastAsia="仿宋_GB2312" w:cs="Times New Roman"/>
          <w:bCs/>
          <w:sz w:val="28"/>
          <w:szCs w:val="28"/>
        </w:rPr>
        <w:t>,</w:t>
      </w:r>
      <w:r>
        <w:rPr>
          <w:rFonts w:hint="eastAsia" w:ascii="仿宋_GB2312" w:hAnsi="Times New Roman" w:eastAsia="仿宋_GB2312" w:cs="Times New Roman"/>
          <w:bCs/>
          <w:sz w:val="28"/>
          <w:szCs w:val="28"/>
        </w:rPr>
        <w:t>减少灾害风险，完善各级各类防灾减灾应急预案。加强应急专业队伍、综合性消防救援队伍建设，推进应急指挥中心建设，开展综合减灾示范社区创建，提高防灾减灾救灾能力。启动防空应急救治中心和公共卫生服务中心建设，完成县三院迁建工程。重点推进建筑结构抗震设防等级、消防技防设施、疏散通道应急场所建设，完善重大疫情预警、救治和应急处置机制，强化重要应急救援物资储备。加强重点地区中小河流的治理，扎实推进落实河长制、湖长制相关任务落实，加快推进排水管渠、排涝泵站建设，合理利用河湖水系进行雨洪调蓄和行泄，减少城镇风险。加大尧渡老河、尧渡河、梅城河、周村河、东山撇洪沟等水体城区段疏浚整治，增加河道蓄水、防洪能力，建设城市防洪信息化管理平台。加强尧渡河和周边小黄泥湖、七里湖、同湖等湖体沟通，充分利用湖体蓄水能力，保证排洪除涝安全。实施百悦片区防涝工程，拆建东流护城圩排涝站，新建小七里湖排涝站、香口排涝站、河西区分散型雨水泵站，提升尧东一体化区域排水防涝能力。</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sz w:val="30"/>
          <w:szCs w:val="30"/>
        </w:rPr>
      </w:pPr>
      <w:bookmarkStart w:id="48" w:name="_Toc69314818"/>
      <w:r>
        <w:rPr>
          <w:rFonts w:hint="eastAsia" w:ascii="仿宋_GB2312" w:hAnsi="Times New Roman" w:eastAsia="仿宋_GB2312" w:cs="Times New Roman"/>
          <w:bCs w:val="0"/>
          <w:kern w:val="2"/>
          <w:sz w:val="30"/>
          <w:szCs w:val="30"/>
        </w:rPr>
        <w:t>4、增强城镇公共安全技术防范水平</w:t>
      </w:r>
      <w:bookmarkEnd w:id="48"/>
    </w:p>
    <w:p>
      <w:pPr>
        <w:spacing w:line="560"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坚持建筑技防设施高起点规划、高标准建设和一次性投入，并注重加强与城市主体工程的配套建设，扩大技防建设覆盖面，提升技防设施设计使用功能，抓好工程建设验收。增强城市道路、广场和重要交通枢纽等公共场所、公共区域的技防设施建设，实现技防设施的全覆盖。推进新建住宅小区技防系统建设和老住宅小区技防设施补建，认真履行和落实技防设施建设监管职责。加强室外公共安全图像信息系统及建筑附属构筑物的设计与建设。</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sz w:val="30"/>
          <w:szCs w:val="30"/>
        </w:rPr>
      </w:pPr>
      <w:bookmarkStart w:id="49" w:name="_Toc69314819"/>
      <w:r>
        <w:rPr>
          <w:rFonts w:hint="eastAsia" w:ascii="仿宋_GB2312" w:hAnsi="Times New Roman" w:eastAsia="仿宋_GB2312" w:cs="Times New Roman"/>
          <w:bCs w:val="0"/>
          <w:kern w:val="2"/>
          <w:sz w:val="30"/>
          <w:szCs w:val="30"/>
        </w:rPr>
        <w:t>5、完善城镇地下空间建设</w:t>
      </w:r>
      <w:bookmarkEnd w:id="49"/>
    </w:p>
    <w:p>
      <w:pPr>
        <w:spacing w:line="576"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结合东至县国土空间总体规划的编制，推进尧东一体化范围内地下空间开发利用规划的编制，协调涉及地下空间开发利用的地下管线、综合管廊等，完善控制性详细规划中涉及地下空间的内容。力争“十四五”期间，在尧东一体化范围内基本建立较为完善的城镇地下空间规划建设管理体系。结合舜城新区建设以及尧城老旧社区改造，大力推进重点建设项目带动地下空间综合利用，把地下空间作为城镇公共服务、停车、慢行交通和人防的重要补充载体，由点及面逐步推进实现现有地下空间的联通，真正实现保控结合，提高地下空间利用率。</w:t>
      </w:r>
    </w:p>
    <w:p>
      <w:pPr>
        <w:pStyle w:val="3"/>
        <w:spacing w:before="120" w:after="120" w:line="240" w:lineRule="auto"/>
        <w:rPr>
          <w:rFonts w:ascii="宋体" w:hAnsi="宋体" w:eastAsia="宋体"/>
          <w:bCs w:val="0"/>
          <w:sz w:val="30"/>
          <w:szCs w:val="30"/>
        </w:rPr>
      </w:pPr>
      <w:bookmarkStart w:id="50" w:name="_Toc69314820"/>
      <w:r>
        <w:rPr>
          <w:rFonts w:ascii="宋体" w:hAnsi="宋体" w:eastAsia="宋体"/>
          <w:sz w:val="30"/>
          <w:szCs w:val="30"/>
        </w:rPr>
        <w:t>（</w:t>
      </w:r>
      <w:r>
        <w:rPr>
          <w:rFonts w:hint="eastAsia" w:ascii="宋体" w:hAnsi="宋体" w:eastAsia="宋体"/>
          <w:sz w:val="30"/>
          <w:szCs w:val="30"/>
        </w:rPr>
        <w:t>七</w:t>
      </w:r>
      <w:r>
        <w:rPr>
          <w:rFonts w:ascii="宋体" w:hAnsi="宋体" w:eastAsia="宋体"/>
          <w:sz w:val="30"/>
          <w:szCs w:val="30"/>
        </w:rPr>
        <w:t>）</w:t>
      </w:r>
      <w:r>
        <w:rPr>
          <w:rFonts w:hint="eastAsia" w:ascii="宋体" w:hAnsi="宋体" w:eastAsia="宋体"/>
          <w:sz w:val="30"/>
          <w:szCs w:val="30"/>
        </w:rPr>
        <w:t>高品质实现城乡特色塑造</w:t>
      </w:r>
      <w:bookmarkEnd w:id="50"/>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51" w:name="_Toc69314821"/>
      <w:r>
        <w:rPr>
          <w:rFonts w:hint="eastAsia" w:ascii="仿宋_GB2312" w:hAnsi="Times New Roman" w:eastAsia="仿宋_GB2312" w:cs="Times New Roman"/>
          <w:bCs w:val="0"/>
          <w:kern w:val="2"/>
          <w:sz w:val="30"/>
          <w:szCs w:val="30"/>
        </w:rPr>
        <w:t>1、加快城镇绿化建设</w:t>
      </w:r>
      <w:bookmarkEnd w:id="51"/>
    </w:p>
    <w:p>
      <w:pPr>
        <w:spacing w:line="560"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打造精品园林工程，完善城市、滨水绿道网络。</w:t>
      </w:r>
      <w:r>
        <w:rPr>
          <w:rFonts w:ascii="仿宋_GB2312" w:hAnsi="Times New Roman" w:eastAsia="仿宋_GB2312" w:cs="Times New Roman"/>
          <w:bCs/>
          <w:sz w:val="28"/>
          <w:szCs w:val="28"/>
        </w:rPr>
        <w:t>常抓不懈</w:t>
      </w:r>
      <w:r>
        <w:rPr>
          <w:rFonts w:hint="eastAsia" w:ascii="仿宋_GB2312" w:hAnsi="Times New Roman" w:eastAsia="仿宋_GB2312" w:cs="Times New Roman"/>
          <w:bCs/>
          <w:sz w:val="28"/>
          <w:szCs w:val="28"/>
        </w:rPr>
        <w:t>尧渡老河、尧渡新河环境治理和景观提升，根据政府财力，逐年推进，久久为功。在尧渡老河、尧渡新河重要节点，增加滨河公园建设，重点打造尧渡滨河绿廊、尧渡新河滨水公园、城南带状公园等三条重点滨水廊道和绿道，增加市民亲水空间。以金字牌公园、沿河北路至赤头段生态修复及停车场建设工程和大青山科普公园工程等大型城市公园建设为契机，采用一园一主题的规划建设模式强化公园特色，着力推进城市生态修复。按照</w:t>
      </w:r>
      <w:r>
        <w:rPr>
          <w:rFonts w:ascii="仿宋_GB2312" w:hAnsi="Times New Roman" w:eastAsia="仿宋_GB2312" w:cs="Times New Roman"/>
          <w:bCs/>
          <w:sz w:val="28"/>
          <w:szCs w:val="28"/>
        </w:rPr>
        <w:t>300米见绿地、500米见公园的原则，增补社区公园与街头游园，丰富公园层级类型，提升市民入园可达性。在街头游园中增加亭廊、座椅、运动设施、儿童游玩设施等，丰富游园性质，增强互动性与交流性。</w:t>
      </w:r>
      <w:r>
        <w:rPr>
          <w:rFonts w:hint="eastAsia" w:ascii="仿宋_GB2312" w:hAnsi="Times New Roman" w:eastAsia="仿宋_GB2312" w:cs="Times New Roman"/>
          <w:bCs/>
          <w:sz w:val="28"/>
          <w:szCs w:val="28"/>
        </w:rPr>
        <w:t>分区分类加强步行和自行车等慢行系统建设，开展人行道净化和自行车专用道建设。</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52" w:name="_Toc69314822"/>
      <w:r>
        <w:rPr>
          <w:rFonts w:hint="eastAsia" w:ascii="仿宋_GB2312" w:hAnsi="Times New Roman" w:eastAsia="仿宋_GB2312" w:cs="Times New Roman"/>
          <w:bCs w:val="0"/>
          <w:kern w:val="2"/>
          <w:sz w:val="30"/>
          <w:szCs w:val="30"/>
        </w:rPr>
        <w:t>2、强化城乡特色风貌塑造</w:t>
      </w:r>
      <w:bookmarkEnd w:id="52"/>
    </w:p>
    <w:p>
      <w:pPr>
        <w:spacing w:line="560"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以街道风貌整治、新建建筑风貌管控和乡村旅游风景绿道建设抓手，着力塑造东至城乡特色风貌。对建设路、尧城路和环城西路等道路的沿街界面进行修复整治，明确划线、增补、改造等重点改造措施。提升道路绿化质量，新增休憩绿化空间，保障店招安全及风貌统一。整治建筑立面，合理设计建筑色彩。整治道路两侧建筑的店面招牌，使其在风格、颜色上与片区整体城市风格、建筑色彩和谐统一。结合“光耀新城”建设，完善老城区道路两侧亮化配套设施。加强建筑设计管理，不断提升城市风貌整体性和文脉延续性。以各片区的公共建筑为片区的标志性空间，带动周边区域的开发建设，形成一个符合人性尺度且具有东至地域特色的城市空间，创造具有传统徽派和现代都市多元文化的全新城市景观。通过建筑群落、街道、广场、水面和绿带等不同要素的有机结合，有效提升新区土地的综合利用，激活城区的城市活力。大力推进乡村旅游风景绿道建设，</w:t>
      </w:r>
      <w:r>
        <w:rPr>
          <w:rFonts w:ascii="仿宋_GB2312" w:hAnsi="Times New Roman" w:eastAsia="仿宋_GB2312" w:cs="Times New Roman"/>
          <w:bCs/>
          <w:sz w:val="28"/>
          <w:szCs w:val="28"/>
        </w:rPr>
        <w:t>结合美丽乡村建设、“四好农村公路”等项目实施，以</w:t>
      </w:r>
      <w:r>
        <w:rPr>
          <w:rFonts w:hint="eastAsia" w:ascii="仿宋_GB2312" w:hAnsi="Times New Roman" w:eastAsia="仿宋_GB2312" w:cs="Times New Roman"/>
          <w:bCs/>
          <w:sz w:val="28"/>
          <w:szCs w:val="28"/>
        </w:rPr>
        <w:t>绿道建设</w:t>
      </w:r>
      <w:r>
        <w:rPr>
          <w:rFonts w:ascii="仿宋_GB2312" w:hAnsi="Times New Roman" w:eastAsia="仿宋_GB2312" w:cs="Times New Roman"/>
          <w:bCs/>
          <w:sz w:val="28"/>
          <w:szCs w:val="28"/>
        </w:rPr>
        <w:t>与旅游融合发展为</w:t>
      </w:r>
      <w:r>
        <w:rPr>
          <w:rFonts w:hint="eastAsia" w:ascii="仿宋_GB2312" w:hAnsi="Times New Roman" w:eastAsia="仿宋_GB2312" w:cs="Times New Roman"/>
          <w:bCs/>
          <w:sz w:val="28"/>
          <w:szCs w:val="28"/>
        </w:rPr>
        <w:t>理念，在现有公路基础上进行改造，增设港湾式停车带、观景台、服务区等配套设施，增加自行车道、步道等慢行系统。采用借景、造景等优化手段，营造丰富多样的动态景观效果，并与乡村风貌建设结合，改善路域周边的景观风貌，提升路域整体视觉景观。</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sz w:val="30"/>
          <w:szCs w:val="30"/>
        </w:rPr>
      </w:pPr>
      <w:bookmarkStart w:id="53" w:name="_Toc69314823"/>
      <w:r>
        <w:rPr>
          <w:rFonts w:hint="eastAsia" w:ascii="仿宋_GB2312" w:hAnsi="Times New Roman" w:eastAsia="仿宋_GB2312" w:cs="Times New Roman"/>
          <w:bCs w:val="0"/>
          <w:kern w:val="2"/>
          <w:sz w:val="30"/>
          <w:szCs w:val="30"/>
        </w:rPr>
        <w:t>3、加大历史文化保护</w:t>
      </w:r>
      <w:bookmarkEnd w:id="53"/>
    </w:p>
    <w:p>
      <w:pPr>
        <w:spacing w:line="560"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系统构建保护体系，保护传统村落和乡村风貌，让人们住得舒心、记得住乡愁。进一步加大历史文化名镇名村保护力度，科学推进东流历史文化名镇、南溪古寨等中国传统村落的规划编制和保护性开发，打造一批价值突出、内涵丰富的历史文化名镇名村。坚持尊重村落、尊重传统，活态保护、有机发展，推进传统村落和农村传统建筑修整保护，探索多样化的保护利用途径和方式。合理利用传统村落资源价值，着力改善人居环境、培育特色产业、促进村民增收，提高传统村落可持续发展能力。加速推进历史建筑的认定、公布、挂牌、测绘和建档工作，做好历史建筑的保护与利用。至“十四五”末新增认定历史建筑十栋，完成已有历史建筑测绘、建档工作，对大渡口红楼历史建筑修复，对</w:t>
      </w:r>
      <w:r>
        <w:rPr>
          <w:rFonts w:ascii="仿宋_GB2312" w:hAnsi="Times New Roman" w:eastAsia="仿宋_GB2312" w:cs="Times New Roman"/>
          <w:bCs/>
          <w:sz w:val="28"/>
          <w:szCs w:val="28"/>
        </w:rPr>
        <w:t>尧渡老街</w:t>
      </w:r>
      <w:r>
        <w:rPr>
          <w:rFonts w:hint="eastAsia" w:ascii="仿宋_GB2312" w:hAnsi="Times New Roman" w:eastAsia="仿宋_GB2312" w:cs="Times New Roman"/>
          <w:bCs/>
          <w:sz w:val="28"/>
          <w:szCs w:val="28"/>
        </w:rPr>
        <w:t>历史建筑进行修缮，助力东至历史文化保护。结合旅游开发，修复许世英故居、周馥接官厅和周氏家风馆等名人故居，加快推进东至县历史文化的弘扬与传播。</w:t>
      </w:r>
    </w:p>
    <w:p>
      <w:pPr>
        <w:pStyle w:val="3"/>
        <w:spacing w:before="120" w:after="120" w:line="240" w:lineRule="auto"/>
        <w:rPr>
          <w:rFonts w:ascii="宋体" w:hAnsi="宋体" w:eastAsia="宋体"/>
          <w:sz w:val="30"/>
          <w:szCs w:val="30"/>
        </w:rPr>
      </w:pPr>
      <w:bookmarkStart w:id="54" w:name="_Toc69314824"/>
      <w:r>
        <w:rPr>
          <w:rFonts w:hint="eastAsia" w:ascii="宋体" w:hAnsi="宋体" w:eastAsia="宋体"/>
          <w:sz w:val="30"/>
          <w:szCs w:val="30"/>
        </w:rPr>
        <w:t>（八）高站位推进智慧管理</w:t>
      </w:r>
      <w:bookmarkEnd w:id="54"/>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55" w:name="_Toc69314825"/>
      <w:r>
        <w:rPr>
          <w:rFonts w:ascii="仿宋_GB2312" w:hAnsi="Times New Roman" w:eastAsia="仿宋_GB2312" w:cs="Times New Roman"/>
          <w:bCs w:val="0"/>
          <w:kern w:val="2"/>
          <w:sz w:val="30"/>
          <w:szCs w:val="30"/>
        </w:rPr>
        <w:t>1</w:t>
      </w:r>
      <w:r>
        <w:rPr>
          <w:rFonts w:hint="eastAsia" w:ascii="仿宋_GB2312" w:hAnsi="Times New Roman" w:eastAsia="仿宋_GB2312" w:cs="Times New Roman"/>
          <w:bCs w:val="0"/>
          <w:kern w:val="2"/>
          <w:sz w:val="30"/>
          <w:szCs w:val="30"/>
        </w:rPr>
        <w:t>、推动智慧城市建设</w:t>
      </w:r>
      <w:bookmarkEnd w:id="55"/>
    </w:p>
    <w:p>
      <w:pPr>
        <w:spacing w:line="560"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以智慧工地和智慧市政建设为抓手，推进东至智慧城市建设。进一步开发智慧工地二期平台，围绕建筑施工安全管理，采用先进的高科技信息化处理技术，逐步实现起重机械安全监测、安全帽监测、施工时段监控、渣土车监控、塔吊监控等建设工程的监督与管理，并实现省市县各级之间以及不同管理部门之间数据的同步交换与共享。研究构建东至智慧市政管理系统，充分应用物联网、互联网、大数据、地理信息等技术为核心，以计算机网络技术为基础，移动网络技术、GPS技术为传输载体，建立城镇供水、污水、排涝、供气、供热、道路桥梁、路灯和环卫等设施一体化的动态监测网络平台和市政公共设施信息库，通过自动化、数字化、智能化市政管理，实现对城市基础设施及资源地精准管理、动态监控和高效运维，统一协调。通过市政大数据平台的统计、分析，为市政综合规划、发展预测提供数据支撑和决策依据，从整体上提升市政管理与服务水平。加快推进东至县5</w:t>
      </w:r>
      <w:r>
        <w:rPr>
          <w:rFonts w:ascii="仿宋_GB2312" w:hAnsi="Times New Roman" w:eastAsia="仿宋_GB2312" w:cs="Times New Roman"/>
          <w:bCs/>
          <w:sz w:val="28"/>
          <w:szCs w:val="28"/>
        </w:rPr>
        <w:t>G</w:t>
      </w:r>
      <w:r>
        <w:rPr>
          <w:rFonts w:hint="eastAsia" w:ascii="仿宋_GB2312" w:hAnsi="Times New Roman" w:eastAsia="仿宋_GB2312" w:cs="Times New Roman"/>
          <w:bCs/>
          <w:sz w:val="28"/>
          <w:szCs w:val="28"/>
        </w:rPr>
        <w:t>信息通信设施建设，通过5G信息通信技术与城市发展深度融合，以信息化手段解决东至县城乡发展进程中带来的问题。</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56" w:name="_Toc69314826"/>
      <w:r>
        <w:rPr>
          <w:rFonts w:hint="eastAsia" w:ascii="仿宋_GB2312" w:hAnsi="Times New Roman" w:eastAsia="仿宋_GB2312" w:cs="Times New Roman"/>
          <w:bCs w:val="0"/>
          <w:kern w:val="2"/>
          <w:sz w:val="30"/>
          <w:szCs w:val="30"/>
        </w:rPr>
        <w:t>2、创新行业监管与服务模式</w:t>
      </w:r>
      <w:bookmarkEnd w:id="56"/>
    </w:p>
    <w:p>
      <w:pPr>
        <w:spacing w:line="560"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以智慧城市信息系统为依托，探索建立大数据辅助科学决策和市场监管的机制，完善数字化成果交付、审查和存档管理体系。通过融合遥感信息、城市多维地理信息、建筑及地上地下设施的BIM、城市感知信息等多源信息，探索建立表达和管理城市三维空间全要素的城市信息模型基础平台。加强机关和中心站所能力建设，基本实现半小时到达施工现场的响应机制。实施建设工程提前介入式服务模式，建立“联合会办、联合踏勘、联合验收”的工程领域服务机制，有效增强项目施工现场的综合管控能力。强化建筑企业信誉建设，优化企业信誉监管，探索建立东至县建筑企业信用信息归集公示制度，强化与各级政府部门企业信用信息交换共享，不断提高企业信用公示水平。深化工程建设标准化改革，加强工程建设标准化人才队伍建设,持续推进房屋和市政工程安全文明施工标准化工地建设。开展工程建设领域专业技术人员职业资格“挂证”等违法违规行为整治，净化市场环境。扩大建筑产业工人队伍培育示范基地试点范围，推动建筑业劳务企业转型。建立全过程咨询专家库，分类分专业为各类企业提供投资、招标代理、勘察、设计、监理、造价、项目管理等专业化的咨询服务。</w:t>
      </w:r>
    </w:p>
    <w:p>
      <w:pPr>
        <w:pStyle w:val="4"/>
        <w:spacing w:before="156" w:beforeLines="50" w:beforeAutospacing="0" w:after="156" w:afterLines="50" w:afterAutospacing="0" w:line="600" w:lineRule="exact"/>
        <w:ind w:firstLine="602" w:firstLineChars="200"/>
        <w:rPr>
          <w:rFonts w:ascii="仿宋_GB2312" w:hAnsi="Times New Roman" w:eastAsia="仿宋_GB2312" w:cs="Times New Roman"/>
          <w:bCs w:val="0"/>
          <w:kern w:val="2"/>
          <w:sz w:val="30"/>
          <w:szCs w:val="30"/>
        </w:rPr>
      </w:pPr>
      <w:bookmarkStart w:id="57" w:name="_Toc69314827"/>
      <w:r>
        <w:rPr>
          <w:rFonts w:hint="eastAsia" w:ascii="仿宋_GB2312" w:hAnsi="Times New Roman" w:eastAsia="仿宋_GB2312" w:cs="Times New Roman"/>
          <w:bCs w:val="0"/>
          <w:kern w:val="2"/>
          <w:sz w:val="30"/>
          <w:szCs w:val="30"/>
        </w:rPr>
        <w:t>3、加强工程质量安全管理</w:t>
      </w:r>
      <w:bookmarkEnd w:id="57"/>
    </w:p>
    <w:p>
      <w:pPr>
        <w:spacing w:line="560"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加强风险管控，完善工程质量安全管理制度体系。严格履行行政监管责任，加强事前、事中、事后监管。严格落实各方主体责任，强化建设单位首要责任，落实主管部门监管责任。提高建筑施工从业人员素质，加强“安管人员”考核管理工作，夯实安全生产基础。建立“建筑师专家委员会”制度，依托智慧工地监管平台，充分发挥智慧监控作用，对工程质量、安全等生产过程进行监管，实现工地的数字化、精细化、智能化管理，保障工程安全、质量、进度和文明施工，切实提高工程质量，坚决遏制重特大安全生产事故。</w:t>
      </w:r>
    </w:p>
    <w:p>
      <w:pPr>
        <w:pStyle w:val="2"/>
        <w:spacing w:before="156" w:beforeLines="50" w:after="156" w:afterLines="50"/>
        <w:rPr>
          <w:rFonts w:ascii="黑体" w:hAnsi="黑体" w:eastAsia="黑体"/>
          <w:sz w:val="32"/>
          <w:szCs w:val="32"/>
        </w:rPr>
      </w:pPr>
      <w:bookmarkStart w:id="58" w:name="_Toc69314828"/>
      <w:r>
        <w:rPr>
          <w:rFonts w:hint="eastAsia" w:ascii="黑体" w:hAnsi="黑体" w:eastAsia="黑体"/>
          <w:sz w:val="32"/>
          <w:szCs w:val="32"/>
        </w:rPr>
        <w:t>五、保障措施</w:t>
      </w:r>
      <w:bookmarkEnd w:id="58"/>
    </w:p>
    <w:p>
      <w:pPr>
        <w:pStyle w:val="3"/>
        <w:spacing w:before="120" w:after="120" w:line="240" w:lineRule="auto"/>
        <w:rPr>
          <w:rFonts w:ascii="宋体" w:hAnsi="宋体" w:eastAsia="宋体"/>
          <w:sz w:val="30"/>
          <w:szCs w:val="30"/>
        </w:rPr>
      </w:pPr>
      <w:bookmarkStart w:id="59" w:name="_Toc69314829"/>
      <w:r>
        <w:rPr>
          <w:rFonts w:hint="eastAsia" w:ascii="宋体" w:hAnsi="宋体" w:eastAsia="宋体"/>
          <w:sz w:val="30"/>
          <w:szCs w:val="30"/>
        </w:rPr>
        <w:t>（一）强化规划协调管理</w:t>
      </w:r>
      <w:bookmarkEnd w:id="59"/>
    </w:p>
    <w:p>
      <w:pPr>
        <w:spacing w:line="560"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发挥规划的战略引领作用，强化规划对各类城乡建设行为的指导。住房</w:t>
      </w:r>
      <w:r>
        <w:rPr>
          <w:rFonts w:ascii="仿宋_GB2312" w:hAnsi="Times New Roman" w:eastAsia="仿宋_GB2312" w:cs="Times New Roman"/>
          <w:bCs/>
          <w:sz w:val="28"/>
          <w:szCs w:val="28"/>
        </w:rPr>
        <w:t>和城乡建设局</w:t>
      </w:r>
      <w:r>
        <w:rPr>
          <w:rFonts w:hint="eastAsia" w:ascii="仿宋_GB2312" w:hAnsi="Times New Roman" w:eastAsia="仿宋_GB2312" w:cs="Times New Roman"/>
          <w:bCs/>
          <w:sz w:val="28"/>
          <w:szCs w:val="28"/>
        </w:rPr>
        <w:t>在县委县政府的领导下，要</w:t>
      </w:r>
      <w:r>
        <w:rPr>
          <w:rFonts w:ascii="仿宋_GB2312" w:hAnsi="Times New Roman" w:eastAsia="仿宋_GB2312" w:cs="Times New Roman"/>
          <w:bCs/>
          <w:sz w:val="28"/>
          <w:szCs w:val="28"/>
        </w:rPr>
        <w:t>加强对本规划实施的组织、协调和</w:t>
      </w:r>
      <w:r>
        <w:rPr>
          <w:rFonts w:hint="eastAsia" w:ascii="仿宋_GB2312" w:hAnsi="Times New Roman" w:eastAsia="仿宋_GB2312" w:cs="Times New Roman"/>
          <w:bCs/>
          <w:sz w:val="28"/>
          <w:szCs w:val="28"/>
        </w:rPr>
        <w:t>监督，加强部门间统筹协调</w:t>
      </w:r>
      <w:r>
        <w:rPr>
          <w:rFonts w:ascii="仿宋_GB2312" w:hAnsi="Times New Roman" w:eastAsia="仿宋_GB2312" w:cs="Times New Roman"/>
          <w:bCs/>
          <w:sz w:val="28"/>
          <w:szCs w:val="28"/>
        </w:rPr>
        <w:t>,</w:t>
      </w:r>
      <w:r>
        <w:rPr>
          <w:rFonts w:hint="eastAsia" w:ascii="仿宋_GB2312" w:hAnsi="Times New Roman" w:eastAsia="仿宋_GB2312" w:cs="Times New Roman"/>
          <w:bCs/>
          <w:sz w:val="28"/>
          <w:szCs w:val="28"/>
        </w:rPr>
        <w:t>住房</w:t>
      </w:r>
      <w:r>
        <w:rPr>
          <w:rFonts w:ascii="仿宋_GB2312" w:hAnsi="Times New Roman" w:eastAsia="仿宋_GB2312" w:cs="Times New Roman"/>
          <w:bCs/>
          <w:sz w:val="28"/>
          <w:szCs w:val="28"/>
        </w:rPr>
        <w:t>和城乡建设局各</w:t>
      </w:r>
      <w:r>
        <w:rPr>
          <w:rFonts w:hint="eastAsia" w:ascii="仿宋_GB2312" w:hAnsi="Times New Roman" w:eastAsia="仿宋_GB2312" w:cs="Times New Roman"/>
          <w:bCs/>
          <w:sz w:val="28"/>
          <w:szCs w:val="28"/>
        </w:rPr>
        <w:t>科室</w:t>
      </w:r>
      <w:r>
        <w:rPr>
          <w:rFonts w:ascii="仿宋_GB2312" w:hAnsi="Times New Roman" w:eastAsia="仿宋_GB2312" w:cs="Times New Roman"/>
          <w:bCs/>
          <w:sz w:val="28"/>
          <w:szCs w:val="28"/>
        </w:rPr>
        <w:t>要</w:t>
      </w:r>
      <w:r>
        <w:rPr>
          <w:rFonts w:hint="eastAsia" w:ascii="仿宋_GB2312" w:hAnsi="Times New Roman" w:eastAsia="仿宋_GB2312" w:cs="Times New Roman"/>
          <w:bCs/>
          <w:sz w:val="28"/>
          <w:szCs w:val="28"/>
        </w:rPr>
        <w:t>制定各科室年度实施方案，细化目标任务，落实支持政策，指导</w:t>
      </w:r>
      <w:r>
        <w:rPr>
          <w:rFonts w:ascii="仿宋_GB2312" w:hAnsi="Times New Roman" w:eastAsia="仿宋_GB2312" w:cs="Times New Roman"/>
          <w:bCs/>
          <w:sz w:val="28"/>
          <w:szCs w:val="28"/>
        </w:rPr>
        <w:t>“十四五”期间东至县住房和城乡建设各项工作的顺利推进。</w:t>
      </w:r>
    </w:p>
    <w:p>
      <w:pPr>
        <w:pStyle w:val="3"/>
        <w:spacing w:before="120" w:after="120" w:line="240" w:lineRule="auto"/>
        <w:rPr>
          <w:rFonts w:ascii="宋体" w:hAnsi="宋体" w:eastAsia="宋体"/>
          <w:sz w:val="30"/>
          <w:szCs w:val="30"/>
        </w:rPr>
      </w:pPr>
      <w:bookmarkStart w:id="60" w:name="_Toc69314830"/>
      <w:r>
        <w:rPr>
          <w:rFonts w:hint="eastAsia" w:ascii="宋体" w:hAnsi="宋体" w:eastAsia="宋体"/>
          <w:sz w:val="30"/>
          <w:szCs w:val="30"/>
        </w:rPr>
        <w:t>（二）加强人才队伍建设</w:t>
      </w:r>
      <w:bookmarkEnd w:id="60"/>
    </w:p>
    <w:p>
      <w:pPr>
        <w:spacing w:line="560"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与时俱进提高队伍素质，加强高层次和高技能人才队伍建设，加快培养高水平、专业化、复合型城乡建设管理人才，做好各类专业人才重点帮促、分类指导和专项服务。加强行业从业人员队伍建设，进一步加强职业教育培训和考核评价，提高职业素质，提升业务能力，提升行业“软实力”。</w:t>
      </w:r>
    </w:p>
    <w:p>
      <w:pPr>
        <w:pStyle w:val="3"/>
        <w:spacing w:before="120" w:after="120" w:line="240" w:lineRule="auto"/>
        <w:rPr>
          <w:rFonts w:ascii="宋体" w:hAnsi="宋体" w:eastAsia="宋体"/>
          <w:sz w:val="30"/>
          <w:szCs w:val="30"/>
        </w:rPr>
      </w:pPr>
      <w:bookmarkStart w:id="61" w:name="_Toc69314831"/>
      <w:r>
        <w:rPr>
          <w:rFonts w:ascii="宋体" w:hAnsi="宋体" w:eastAsia="宋体"/>
          <w:sz w:val="30"/>
          <w:szCs w:val="30"/>
        </w:rPr>
        <w:t>（</w:t>
      </w:r>
      <w:r>
        <w:rPr>
          <w:rFonts w:hint="eastAsia" w:ascii="宋体" w:hAnsi="宋体" w:eastAsia="宋体"/>
          <w:sz w:val="30"/>
          <w:szCs w:val="30"/>
        </w:rPr>
        <w:t>三</w:t>
      </w:r>
      <w:r>
        <w:rPr>
          <w:rFonts w:ascii="宋体" w:hAnsi="宋体" w:eastAsia="宋体"/>
          <w:sz w:val="30"/>
          <w:szCs w:val="30"/>
        </w:rPr>
        <w:t>）</w:t>
      </w:r>
      <w:r>
        <w:rPr>
          <w:rFonts w:hint="eastAsia" w:ascii="宋体" w:hAnsi="宋体" w:eastAsia="宋体"/>
          <w:sz w:val="30"/>
          <w:szCs w:val="30"/>
        </w:rPr>
        <w:t>提高党的建设质量</w:t>
      </w:r>
      <w:bookmarkEnd w:id="61"/>
    </w:p>
    <w:p>
      <w:pPr>
        <w:spacing w:line="560" w:lineRule="exact"/>
        <w:ind w:firstLine="560" w:firstLineChars="2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持续深入学习贯彻习近平新时代中国特色社会主义思想，切实加强党的政治建设。坚持党的全面领导，始终把强化党的领导贯穿到“十四五”东至县住房和城乡建设事业的全过程、各领域，坚持重大事项向县委县政府请示报告，确保住房和城乡建设工作沿正确方向前进。</w:t>
      </w:r>
      <w:r>
        <w:rPr>
          <w:rFonts w:ascii="仿宋_GB2312" w:hAnsi="Times New Roman" w:eastAsia="仿宋_GB2312" w:cs="Times New Roman"/>
          <w:bCs/>
          <w:sz w:val="28"/>
          <w:szCs w:val="28"/>
        </w:rPr>
        <w:t>深入推进全面从严治党，落实从严治党主体责任</w:t>
      </w:r>
      <w:r>
        <w:rPr>
          <w:rFonts w:hint="eastAsia" w:ascii="仿宋_GB2312" w:hAnsi="Times New Roman" w:eastAsia="仿宋_GB2312" w:cs="Times New Roman"/>
          <w:bCs/>
          <w:sz w:val="28"/>
          <w:szCs w:val="28"/>
        </w:rPr>
        <w:t>，强化政风、行风和效能建设，增强服务意识。加强法治和信息化建设，不断加强行业技术标准规范工作，推进行业治理体系和治理能力现代化。严格落实党风廉政建设责任制，提高干部队伍廉洁从政水平，不断调高党的建设质量，</w:t>
      </w:r>
      <w:r>
        <w:rPr>
          <w:rFonts w:ascii="仿宋_GB2312" w:hAnsi="Times New Roman" w:eastAsia="仿宋_GB2312" w:cs="Times New Roman"/>
          <w:bCs/>
          <w:sz w:val="28"/>
          <w:szCs w:val="28"/>
        </w:rPr>
        <w:t>为住房城乡建设事业</w:t>
      </w:r>
      <w:r>
        <w:rPr>
          <w:rFonts w:hint="eastAsia" w:ascii="仿宋_GB2312" w:hAnsi="Times New Roman" w:eastAsia="仿宋_GB2312" w:cs="Times New Roman"/>
          <w:bCs/>
          <w:sz w:val="28"/>
          <w:szCs w:val="28"/>
        </w:rPr>
        <w:t>高质量</w:t>
      </w:r>
      <w:r>
        <w:rPr>
          <w:rFonts w:ascii="仿宋_GB2312" w:hAnsi="Times New Roman" w:eastAsia="仿宋_GB2312" w:cs="Times New Roman"/>
          <w:bCs/>
          <w:sz w:val="28"/>
          <w:szCs w:val="28"/>
        </w:rPr>
        <w:t>提供坚强保障。</w:t>
      </w:r>
    </w:p>
    <w:p>
      <w:pPr>
        <w:spacing w:line="576" w:lineRule="exact"/>
        <w:ind w:firstLine="560" w:firstLineChars="200"/>
        <w:rPr>
          <w:rFonts w:ascii="仿宋_GB2312" w:hAnsi="Times New Roman" w:eastAsia="仿宋_GB2312" w:cs="Times New Roman"/>
          <w:bCs/>
          <w:sz w:val="28"/>
          <w:szCs w:val="28"/>
        </w:rPr>
      </w:pPr>
    </w:p>
    <w:p>
      <w:pPr>
        <w:spacing w:line="576" w:lineRule="exact"/>
        <w:ind w:firstLine="560" w:firstLineChars="200"/>
        <w:rPr>
          <w:rFonts w:ascii="仿宋_GB2312" w:hAnsi="Times New Roman" w:eastAsia="仿宋_GB2312" w:cs="Times New Roman"/>
          <w:bCs/>
          <w:sz w:val="28"/>
          <w:szCs w:val="28"/>
        </w:rPr>
      </w:pPr>
    </w:p>
    <w:p>
      <w:pPr>
        <w:spacing w:line="576" w:lineRule="exact"/>
        <w:ind w:firstLine="560" w:firstLineChars="200"/>
        <w:rPr>
          <w:rFonts w:ascii="仿宋_GB2312" w:hAnsi="Times New Roman" w:eastAsia="仿宋_GB2312" w:cs="Times New Roman"/>
          <w:bCs/>
          <w:sz w:val="28"/>
          <w:szCs w:val="28"/>
        </w:rPr>
      </w:pPr>
    </w:p>
    <w:p>
      <w:pPr>
        <w:spacing w:line="576" w:lineRule="exact"/>
        <w:ind w:firstLine="560" w:firstLineChars="200"/>
        <w:rPr>
          <w:rFonts w:ascii="仿宋_GB2312" w:hAnsi="Times New Roman" w:eastAsia="仿宋_GB2312" w:cs="Times New Roman"/>
          <w:bCs/>
          <w:sz w:val="28"/>
          <w:szCs w:val="28"/>
        </w:rPr>
      </w:pPr>
    </w:p>
    <w:p>
      <w:pPr>
        <w:spacing w:line="576" w:lineRule="exact"/>
        <w:rPr>
          <w:rFonts w:ascii="仿宋_GB2312" w:hAnsi="Times New Roman" w:eastAsia="仿宋_GB2312" w:cs="Times New Roman"/>
          <w:bCs/>
          <w:sz w:val="28"/>
          <w:szCs w:val="28"/>
        </w:rPr>
      </w:pP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58816630"/>
    </w:sdtPr>
    <w:sdtContent>
      <w:p>
        <w:pPr>
          <w:pStyle w:val="10"/>
          <w:jc w:val="center"/>
        </w:pPr>
        <w:r>
          <w:fldChar w:fldCharType="begin"/>
        </w:r>
        <w:r>
          <w:instrText xml:space="preserve">PAGE   \* MERGEFORMAT</w:instrText>
        </w:r>
        <w:r>
          <w:fldChar w:fldCharType="separate"/>
        </w:r>
        <w:r>
          <w:rPr>
            <w:lang w:val="zh-CN"/>
          </w:rPr>
          <w:t>2</w:t>
        </w:r>
        <w:r>
          <w:fldChar w:fldCharType="end"/>
        </w:r>
      </w:p>
    </w:sdtContent>
  </w:sdt>
  <w:p>
    <w:pPr>
      <w:pStyle w:val="1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C96"/>
    <w:rsid w:val="00003AA5"/>
    <w:rsid w:val="00011216"/>
    <w:rsid w:val="00012453"/>
    <w:rsid w:val="00012F64"/>
    <w:rsid w:val="00013D72"/>
    <w:rsid w:val="0001589F"/>
    <w:rsid w:val="000238A9"/>
    <w:rsid w:val="00030BC7"/>
    <w:rsid w:val="000323D5"/>
    <w:rsid w:val="00037412"/>
    <w:rsid w:val="000426B1"/>
    <w:rsid w:val="0004303A"/>
    <w:rsid w:val="00046DBF"/>
    <w:rsid w:val="00047F9C"/>
    <w:rsid w:val="00052130"/>
    <w:rsid w:val="000540FE"/>
    <w:rsid w:val="0005559F"/>
    <w:rsid w:val="00055601"/>
    <w:rsid w:val="000704C5"/>
    <w:rsid w:val="00071674"/>
    <w:rsid w:val="00081F08"/>
    <w:rsid w:val="000821D3"/>
    <w:rsid w:val="00084FC4"/>
    <w:rsid w:val="00090363"/>
    <w:rsid w:val="000927B3"/>
    <w:rsid w:val="0009488C"/>
    <w:rsid w:val="000A0EBF"/>
    <w:rsid w:val="000A19A2"/>
    <w:rsid w:val="000A348E"/>
    <w:rsid w:val="000A62F6"/>
    <w:rsid w:val="000B07EC"/>
    <w:rsid w:val="000B6D7B"/>
    <w:rsid w:val="000C0A97"/>
    <w:rsid w:val="000C2C6A"/>
    <w:rsid w:val="000E1964"/>
    <w:rsid w:val="000E32B8"/>
    <w:rsid w:val="000E3B29"/>
    <w:rsid w:val="000E701C"/>
    <w:rsid w:val="000F0340"/>
    <w:rsid w:val="000F04EB"/>
    <w:rsid w:val="001049E7"/>
    <w:rsid w:val="00106796"/>
    <w:rsid w:val="00107887"/>
    <w:rsid w:val="00120D54"/>
    <w:rsid w:val="00123B9B"/>
    <w:rsid w:val="00126C89"/>
    <w:rsid w:val="00130016"/>
    <w:rsid w:val="00130EE2"/>
    <w:rsid w:val="00142F56"/>
    <w:rsid w:val="00143C09"/>
    <w:rsid w:val="0014423E"/>
    <w:rsid w:val="00144D05"/>
    <w:rsid w:val="00144DBF"/>
    <w:rsid w:val="00153D39"/>
    <w:rsid w:val="00162E5B"/>
    <w:rsid w:val="001671BA"/>
    <w:rsid w:val="001720B6"/>
    <w:rsid w:val="00172C40"/>
    <w:rsid w:val="00174177"/>
    <w:rsid w:val="001749BC"/>
    <w:rsid w:val="00177BED"/>
    <w:rsid w:val="00184296"/>
    <w:rsid w:val="00187273"/>
    <w:rsid w:val="0019472C"/>
    <w:rsid w:val="00194924"/>
    <w:rsid w:val="00195995"/>
    <w:rsid w:val="001A077C"/>
    <w:rsid w:val="001A48F4"/>
    <w:rsid w:val="001B16C7"/>
    <w:rsid w:val="001B1BF4"/>
    <w:rsid w:val="001B4A1A"/>
    <w:rsid w:val="001C3B35"/>
    <w:rsid w:val="001C650A"/>
    <w:rsid w:val="001D0D26"/>
    <w:rsid w:val="001D5A11"/>
    <w:rsid w:val="001E0B24"/>
    <w:rsid w:val="001E298C"/>
    <w:rsid w:val="001E7C13"/>
    <w:rsid w:val="001F5520"/>
    <w:rsid w:val="002019DE"/>
    <w:rsid w:val="0020303C"/>
    <w:rsid w:val="0020681E"/>
    <w:rsid w:val="002071BB"/>
    <w:rsid w:val="00207E2E"/>
    <w:rsid w:val="00207F9A"/>
    <w:rsid w:val="00210A9C"/>
    <w:rsid w:val="00210B9A"/>
    <w:rsid w:val="002115E5"/>
    <w:rsid w:val="002236EC"/>
    <w:rsid w:val="00231397"/>
    <w:rsid w:val="00231F0E"/>
    <w:rsid w:val="0023241C"/>
    <w:rsid w:val="0023249F"/>
    <w:rsid w:val="00235E15"/>
    <w:rsid w:val="0023773F"/>
    <w:rsid w:val="00245781"/>
    <w:rsid w:val="0024703E"/>
    <w:rsid w:val="00254093"/>
    <w:rsid w:val="00262A9C"/>
    <w:rsid w:val="002650AD"/>
    <w:rsid w:val="0026663B"/>
    <w:rsid w:val="00267433"/>
    <w:rsid w:val="00267A9C"/>
    <w:rsid w:val="00270A7A"/>
    <w:rsid w:val="00273058"/>
    <w:rsid w:val="0027667B"/>
    <w:rsid w:val="0029623B"/>
    <w:rsid w:val="00297547"/>
    <w:rsid w:val="002A33ED"/>
    <w:rsid w:val="002A4DD1"/>
    <w:rsid w:val="002B3646"/>
    <w:rsid w:val="002B393C"/>
    <w:rsid w:val="002B5D55"/>
    <w:rsid w:val="002B7E7D"/>
    <w:rsid w:val="002C0785"/>
    <w:rsid w:val="002C5773"/>
    <w:rsid w:val="002D3B05"/>
    <w:rsid w:val="002D6D07"/>
    <w:rsid w:val="002D7C1A"/>
    <w:rsid w:val="002F06F6"/>
    <w:rsid w:val="002F4C74"/>
    <w:rsid w:val="002F687C"/>
    <w:rsid w:val="002F765A"/>
    <w:rsid w:val="002F7AC3"/>
    <w:rsid w:val="003073F9"/>
    <w:rsid w:val="003152DD"/>
    <w:rsid w:val="003169AF"/>
    <w:rsid w:val="00317A54"/>
    <w:rsid w:val="00320AB8"/>
    <w:rsid w:val="0032143D"/>
    <w:rsid w:val="00321744"/>
    <w:rsid w:val="00325442"/>
    <w:rsid w:val="00326F96"/>
    <w:rsid w:val="00330810"/>
    <w:rsid w:val="00345883"/>
    <w:rsid w:val="00366921"/>
    <w:rsid w:val="00366CF0"/>
    <w:rsid w:val="00373CDB"/>
    <w:rsid w:val="003907DB"/>
    <w:rsid w:val="003917C5"/>
    <w:rsid w:val="00397B3A"/>
    <w:rsid w:val="003A1B7B"/>
    <w:rsid w:val="003A687B"/>
    <w:rsid w:val="003B1AC4"/>
    <w:rsid w:val="003B3BCD"/>
    <w:rsid w:val="003C0F27"/>
    <w:rsid w:val="003C38CC"/>
    <w:rsid w:val="003C5A3A"/>
    <w:rsid w:val="003D1A38"/>
    <w:rsid w:val="003D3C96"/>
    <w:rsid w:val="003D3E83"/>
    <w:rsid w:val="003D6DCA"/>
    <w:rsid w:val="003D76D2"/>
    <w:rsid w:val="003E680E"/>
    <w:rsid w:val="003F1B89"/>
    <w:rsid w:val="003F2C53"/>
    <w:rsid w:val="003F3B48"/>
    <w:rsid w:val="003F716A"/>
    <w:rsid w:val="003F7BCC"/>
    <w:rsid w:val="00402073"/>
    <w:rsid w:val="00406221"/>
    <w:rsid w:val="0040698C"/>
    <w:rsid w:val="00410CE4"/>
    <w:rsid w:val="00412892"/>
    <w:rsid w:val="004128C4"/>
    <w:rsid w:val="00421099"/>
    <w:rsid w:val="00424245"/>
    <w:rsid w:val="0042516B"/>
    <w:rsid w:val="0042667D"/>
    <w:rsid w:val="00432D6A"/>
    <w:rsid w:val="00434DCD"/>
    <w:rsid w:val="00435762"/>
    <w:rsid w:val="0044563B"/>
    <w:rsid w:val="00445A61"/>
    <w:rsid w:val="00453D63"/>
    <w:rsid w:val="00456D64"/>
    <w:rsid w:val="00457A7D"/>
    <w:rsid w:val="0046363B"/>
    <w:rsid w:val="00475546"/>
    <w:rsid w:val="004804E3"/>
    <w:rsid w:val="00480DBC"/>
    <w:rsid w:val="004819D5"/>
    <w:rsid w:val="004852DA"/>
    <w:rsid w:val="00485377"/>
    <w:rsid w:val="004864AB"/>
    <w:rsid w:val="004A065B"/>
    <w:rsid w:val="004A178A"/>
    <w:rsid w:val="004A3320"/>
    <w:rsid w:val="004A376D"/>
    <w:rsid w:val="004A4E61"/>
    <w:rsid w:val="004B6C0B"/>
    <w:rsid w:val="004D0372"/>
    <w:rsid w:val="004E25FA"/>
    <w:rsid w:val="004E3B01"/>
    <w:rsid w:val="004E42B8"/>
    <w:rsid w:val="004E4AD3"/>
    <w:rsid w:val="004F24AC"/>
    <w:rsid w:val="004F33E8"/>
    <w:rsid w:val="004F37B9"/>
    <w:rsid w:val="004F48C6"/>
    <w:rsid w:val="004F7294"/>
    <w:rsid w:val="004F7677"/>
    <w:rsid w:val="00501E58"/>
    <w:rsid w:val="00512599"/>
    <w:rsid w:val="00517B6D"/>
    <w:rsid w:val="00523D0C"/>
    <w:rsid w:val="0053076E"/>
    <w:rsid w:val="0053191A"/>
    <w:rsid w:val="005375AC"/>
    <w:rsid w:val="00537DF0"/>
    <w:rsid w:val="00553C92"/>
    <w:rsid w:val="00553CE2"/>
    <w:rsid w:val="005629FD"/>
    <w:rsid w:val="00570DAC"/>
    <w:rsid w:val="0057260C"/>
    <w:rsid w:val="00581E70"/>
    <w:rsid w:val="005825EA"/>
    <w:rsid w:val="00583E9D"/>
    <w:rsid w:val="0058529C"/>
    <w:rsid w:val="00585F41"/>
    <w:rsid w:val="0058737E"/>
    <w:rsid w:val="00587B5B"/>
    <w:rsid w:val="00587F7F"/>
    <w:rsid w:val="0059045B"/>
    <w:rsid w:val="00595A8E"/>
    <w:rsid w:val="00595F93"/>
    <w:rsid w:val="005A0139"/>
    <w:rsid w:val="005A2907"/>
    <w:rsid w:val="005B0658"/>
    <w:rsid w:val="005B22CA"/>
    <w:rsid w:val="005B71AB"/>
    <w:rsid w:val="005C2BE6"/>
    <w:rsid w:val="005D3B1C"/>
    <w:rsid w:val="005D4EB2"/>
    <w:rsid w:val="005E3001"/>
    <w:rsid w:val="005E7FDE"/>
    <w:rsid w:val="005F1F67"/>
    <w:rsid w:val="005F4CD6"/>
    <w:rsid w:val="005F53C6"/>
    <w:rsid w:val="0060010C"/>
    <w:rsid w:val="00600D6C"/>
    <w:rsid w:val="00603227"/>
    <w:rsid w:val="00604A24"/>
    <w:rsid w:val="00607884"/>
    <w:rsid w:val="0061038E"/>
    <w:rsid w:val="00610D1F"/>
    <w:rsid w:val="00614565"/>
    <w:rsid w:val="006234F2"/>
    <w:rsid w:val="00627847"/>
    <w:rsid w:val="00637020"/>
    <w:rsid w:val="0064384E"/>
    <w:rsid w:val="00645441"/>
    <w:rsid w:val="00651F43"/>
    <w:rsid w:val="0065304D"/>
    <w:rsid w:val="006578FC"/>
    <w:rsid w:val="0066017E"/>
    <w:rsid w:val="00660E83"/>
    <w:rsid w:val="00665A8F"/>
    <w:rsid w:val="00665E28"/>
    <w:rsid w:val="00670D71"/>
    <w:rsid w:val="00675C36"/>
    <w:rsid w:val="00677719"/>
    <w:rsid w:val="0068088F"/>
    <w:rsid w:val="00683582"/>
    <w:rsid w:val="00684060"/>
    <w:rsid w:val="0068544A"/>
    <w:rsid w:val="00687EA4"/>
    <w:rsid w:val="006906E0"/>
    <w:rsid w:val="006B72D1"/>
    <w:rsid w:val="006C3235"/>
    <w:rsid w:val="006C35A6"/>
    <w:rsid w:val="006D21F6"/>
    <w:rsid w:val="006E04D9"/>
    <w:rsid w:val="006E11C7"/>
    <w:rsid w:val="006E4308"/>
    <w:rsid w:val="006E5A4B"/>
    <w:rsid w:val="006E7D66"/>
    <w:rsid w:val="006F01B5"/>
    <w:rsid w:val="006F2091"/>
    <w:rsid w:val="006F590A"/>
    <w:rsid w:val="007127A5"/>
    <w:rsid w:val="00713E6E"/>
    <w:rsid w:val="00715F29"/>
    <w:rsid w:val="007229BB"/>
    <w:rsid w:val="00730358"/>
    <w:rsid w:val="00731300"/>
    <w:rsid w:val="00740A20"/>
    <w:rsid w:val="007414BD"/>
    <w:rsid w:val="007426DA"/>
    <w:rsid w:val="0074609C"/>
    <w:rsid w:val="00753ED1"/>
    <w:rsid w:val="007542C4"/>
    <w:rsid w:val="00755051"/>
    <w:rsid w:val="00755540"/>
    <w:rsid w:val="00755C48"/>
    <w:rsid w:val="00760737"/>
    <w:rsid w:val="00762949"/>
    <w:rsid w:val="00764629"/>
    <w:rsid w:val="00774AB1"/>
    <w:rsid w:val="007768D0"/>
    <w:rsid w:val="00776C11"/>
    <w:rsid w:val="00784992"/>
    <w:rsid w:val="00786EF3"/>
    <w:rsid w:val="00795A8C"/>
    <w:rsid w:val="007A1DC7"/>
    <w:rsid w:val="007B0859"/>
    <w:rsid w:val="007B2164"/>
    <w:rsid w:val="007B583A"/>
    <w:rsid w:val="007C06B8"/>
    <w:rsid w:val="007C29BC"/>
    <w:rsid w:val="007C55C5"/>
    <w:rsid w:val="007D01B0"/>
    <w:rsid w:val="007D2D67"/>
    <w:rsid w:val="007E0E30"/>
    <w:rsid w:val="007E2522"/>
    <w:rsid w:val="007E258D"/>
    <w:rsid w:val="007E79ED"/>
    <w:rsid w:val="00800440"/>
    <w:rsid w:val="00802826"/>
    <w:rsid w:val="008053C0"/>
    <w:rsid w:val="00807286"/>
    <w:rsid w:val="00810B0B"/>
    <w:rsid w:val="008146B2"/>
    <w:rsid w:val="00831CF6"/>
    <w:rsid w:val="00832C48"/>
    <w:rsid w:val="00832DFB"/>
    <w:rsid w:val="00840AB4"/>
    <w:rsid w:val="0085047C"/>
    <w:rsid w:val="00850745"/>
    <w:rsid w:val="008508EB"/>
    <w:rsid w:val="0086331C"/>
    <w:rsid w:val="00863C31"/>
    <w:rsid w:val="008667E2"/>
    <w:rsid w:val="00871C86"/>
    <w:rsid w:val="00873C92"/>
    <w:rsid w:val="00881D72"/>
    <w:rsid w:val="0088284A"/>
    <w:rsid w:val="0088429E"/>
    <w:rsid w:val="0088588D"/>
    <w:rsid w:val="00887383"/>
    <w:rsid w:val="00893700"/>
    <w:rsid w:val="008971B3"/>
    <w:rsid w:val="008A11D6"/>
    <w:rsid w:val="008B267D"/>
    <w:rsid w:val="008B381B"/>
    <w:rsid w:val="008B5A3A"/>
    <w:rsid w:val="008C2632"/>
    <w:rsid w:val="008C2964"/>
    <w:rsid w:val="008C2BD4"/>
    <w:rsid w:val="008C6AD7"/>
    <w:rsid w:val="008D190A"/>
    <w:rsid w:val="008D1CC3"/>
    <w:rsid w:val="008D2858"/>
    <w:rsid w:val="008D2C08"/>
    <w:rsid w:val="008D69B5"/>
    <w:rsid w:val="008E23E0"/>
    <w:rsid w:val="008E4980"/>
    <w:rsid w:val="008E5173"/>
    <w:rsid w:val="008F1908"/>
    <w:rsid w:val="008F2325"/>
    <w:rsid w:val="00900D00"/>
    <w:rsid w:val="009067A3"/>
    <w:rsid w:val="00906D62"/>
    <w:rsid w:val="00907100"/>
    <w:rsid w:val="0091134E"/>
    <w:rsid w:val="009167C9"/>
    <w:rsid w:val="00916D76"/>
    <w:rsid w:val="00920356"/>
    <w:rsid w:val="00926909"/>
    <w:rsid w:val="0093184E"/>
    <w:rsid w:val="0093473C"/>
    <w:rsid w:val="009408C9"/>
    <w:rsid w:val="00940B05"/>
    <w:rsid w:val="0094206B"/>
    <w:rsid w:val="00942325"/>
    <w:rsid w:val="00946AA8"/>
    <w:rsid w:val="00955B34"/>
    <w:rsid w:val="00957C0B"/>
    <w:rsid w:val="00960610"/>
    <w:rsid w:val="00962018"/>
    <w:rsid w:val="009631E8"/>
    <w:rsid w:val="00964544"/>
    <w:rsid w:val="00964640"/>
    <w:rsid w:val="00967387"/>
    <w:rsid w:val="00967E42"/>
    <w:rsid w:val="0097026F"/>
    <w:rsid w:val="0097405C"/>
    <w:rsid w:val="00975319"/>
    <w:rsid w:val="009775FC"/>
    <w:rsid w:val="0097788C"/>
    <w:rsid w:val="009802AF"/>
    <w:rsid w:val="00983C5B"/>
    <w:rsid w:val="00990A70"/>
    <w:rsid w:val="009924C6"/>
    <w:rsid w:val="009A24C2"/>
    <w:rsid w:val="009A476F"/>
    <w:rsid w:val="009A5090"/>
    <w:rsid w:val="009B634C"/>
    <w:rsid w:val="009C0EE5"/>
    <w:rsid w:val="009C379E"/>
    <w:rsid w:val="009C578D"/>
    <w:rsid w:val="009C6F9A"/>
    <w:rsid w:val="009D2BCC"/>
    <w:rsid w:val="009E2358"/>
    <w:rsid w:val="009E5729"/>
    <w:rsid w:val="009E7425"/>
    <w:rsid w:val="009F207D"/>
    <w:rsid w:val="00A00BD8"/>
    <w:rsid w:val="00A023F0"/>
    <w:rsid w:val="00A1040E"/>
    <w:rsid w:val="00A129C0"/>
    <w:rsid w:val="00A131E5"/>
    <w:rsid w:val="00A13A9A"/>
    <w:rsid w:val="00A13E51"/>
    <w:rsid w:val="00A15260"/>
    <w:rsid w:val="00A20A56"/>
    <w:rsid w:val="00A242E0"/>
    <w:rsid w:val="00A27523"/>
    <w:rsid w:val="00A275A9"/>
    <w:rsid w:val="00A3017F"/>
    <w:rsid w:val="00A341CB"/>
    <w:rsid w:val="00A368F2"/>
    <w:rsid w:val="00A405E7"/>
    <w:rsid w:val="00A41A74"/>
    <w:rsid w:val="00A4344E"/>
    <w:rsid w:val="00A43E08"/>
    <w:rsid w:val="00A47100"/>
    <w:rsid w:val="00A475A2"/>
    <w:rsid w:val="00A52B74"/>
    <w:rsid w:val="00A6031C"/>
    <w:rsid w:val="00A64F45"/>
    <w:rsid w:val="00A66E5B"/>
    <w:rsid w:val="00A748E4"/>
    <w:rsid w:val="00A7765A"/>
    <w:rsid w:val="00A77AC8"/>
    <w:rsid w:val="00A77CDA"/>
    <w:rsid w:val="00A80584"/>
    <w:rsid w:val="00A807A9"/>
    <w:rsid w:val="00A83D12"/>
    <w:rsid w:val="00A90CC7"/>
    <w:rsid w:val="00A94040"/>
    <w:rsid w:val="00AA3076"/>
    <w:rsid w:val="00AB150F"/>
    <w:rsid w:val="00AC7FFB"/>
    <w:rsid w:val="00AD33E0"/>
    <w:rsid w:val="00AD373C"/>
    <w:rsid w:val="00AD426B"/>
    <w:rsid w:val="00AD5BC8"/>
    <w:rsid w:val="00AD773B"/>
    <w:rsid w:val="00AE2809"/>
    <w:rsid w:val="00AE3A8E"/>
    <w:rsid w:val="00AF0A63"/>
    <w:rsid w:val="00AF300F"/>
    <w:rsid w:val="00B061C0"/>
    <w:rsid w:val="00B10AA0"/>
    <w:rsid w:val="00B16F39"/>
    <w:rsid w:val="00B21386"/>
    <w:rsid w:val="00B31800"/>
    <w:rsid w:val="00B31E88"/>
    <w:rsid w:val="00B3286F"/>
    <w:rsid w:val="00B364D2"/>
    <w:rsid w:val="00B37588"/>
    <w:rsid w:val="00B37F41"/>
    <w:rsid w:val="00B40624"/>
    <w:rsid w:val="00B46F54"/>
    <w:rsid w:val="00B50A5D"/>
    <w:rsid w:val="00B54B9B"/>
    <w:rsid w:val="00B63019"/>
    <w:rsid w:val="00B6633B"/>
    <w:rsid w:val="00B6674F"/>
    <w:rsid w:val="00B70538"/>
    <w:rsid w:val="00B729C5"/>
    <w:rsid w:val="00B77E1A"/>
    <w:rsid w:val="00B77FE7"/>
    <w:rsid w:val="00B851E8"/>
    <w:rsid w:val="00B8774E"/>
    <w:rsid w:val="00B940D9"/>
    <w:rsid w:val="00B944AC"/>
    <w:rsid w:val="00B9584F"/>
    <w:rsid w:val="00BA1E6E"/>
    <w:rsid w:val="00BA6F92"/>
    <w:rsid w:val="00BB2BF0"/>
    <w:rsid w:val="00BB2DC5"/>
    <w:rsid w:val="00BB38C4"/>
    <w:rsid w:val="00BB538C"/>
    <w:rsid w:val="00BC2253"/>
    <w:rsid w:val="00BC4997"/>
    <w:rsid w:val="00BC66CF"/>
    <w:rsid w:val="00BC783F"/>
    <w:rsid w:val="00BD32B8"/>
    <w:rsid w:val="00BD57F1"/>
    <w:rsid w:val="00BE0D14"/>
    <w:rsid w:val="00BE299F"/>
    <w:rsid w:val="00BE4328"/>
    <w:rsid w:val="00BE7E6D"/>
    <w:rsid w:val="00BF1A53"/>
    <w:rsid w:val="00BF31FA"/>
    <w:rsid w:val="00BF3C6C"/>
    <w:rsid w:val="00C02876"/>
    <w:rsid w:val="00C071BA"/>
    <w:rsid w:val="00C138FD"/>
    <w:rsid w:val="00C16171"/>
    <w:rsid w:val="00C170AA"/>
    <w:rsid w:val="00C219D7"/>
    <w:rsid w:val="00C34042"/>
    <w:rsid w:val="00C34EF2"/>
    <w:rsid w:val="00C41837"/>
    <w:rsid w:val="00C45E69"/>
    <w:rsid w:val="00C518A6"/>
    <w:rsid w:val="00C521FC"/>
    <w:rsid w:val="00C5590F"/>
    <w:rsid w:val="00C6177E"/>
    <w:rsid w:val="00C61FBA"/>
    <w:rsid w:val="00C6799F"/>
    <w:rsid w:val="00C7173B"/>
    <w:rsid w:val="00C7631C"/>
    <w:rsid w:val="00C7780B"/>
    <w:rsid w:val="00C83B8F"/>
    <w:rsid w:val="00C83DB0"/>
    <w:rsid w:val="00C84EFC"/>
    <w:rsid w:val="00C87033"/>
    <w:rsid w:val="00C9282D"/>
    <w:rsid w:val="00CA149E"/>
    <w:rsid w:val="00CA22F5"/>
    <w:rsid w:val="00CA368F"/>
    <w:rsid w:val="00CA47DF"/>
    <w:rsid w:val="00CA550F"/>
    <w:rsid w:val="00CA553D"/>
    <w:rsid w:val="00CB0D16"/>
    <w:rsid w:val="00CB50AC"/>
    <w:rsid w:val="00CC5D14"/>
    <w:rsid w:val="00CC6A8F"/>
    <w:rsid w:val="00CE022E"/>
    <w:rsid w:val="00CE299F"/>
    <w:rsid w:val="00CE75EC"/>
    <w:rsid w:val="00CE7EF1"/>
    <w:rsid w:val="00CF0AEE"/>
    <w:rsid w:val="00CF7645"/>
    <w:rsid w:val="00D0075F"/>
    <w:rsid w:val="00D03163"/>
    <w:rsid w:val="00D0333A"/>
    <w:rsid w:val="00D07958"/>
    <w:rsid w:val="00D10CD5"/>
    <w:rsid w:val="00D20E8B"/>
    <w:rsid w:val="00D220EA"/>
    <w:rsid w:val="00D22FCD"/>
    <w:rsid w:val="00D33916"/>
    <w:rsid w:val="00D3537B"/>
    <w:rsid w:val="00D41333"/>
    <w:rsid w:val="00D419B0"/>
    <w:rsid w:val="00D4360E"/>
    <w:rsid w:val="00D51EB5"/>
    <w:rsid w:val="00D613E5"/>
    <w:rsid w:val="00D63D61"/>
    <w:rsid w:val="00D6403E"/>
    <w:rsid w:val="00D6523E"/>
    <w:rsid w:val="00D729D2"/>
    <w:rsid w:val="00D7699D"/>
    <w:rsid w:val="00D8104A"/>
    <w:rsid w:val="00D85B1A"/>
    <w:rsid w:val="00D9316E"/>
    <w:rsid w:val="00D94717"/>
    <w:rsid w:val="00D96516"/>
    <w:rsid w:val="00DA068C"/>
    <w:rsid w:val="00DA1644"/>
    <w:rsid w:val="00DA3331"/>
    <w:rsid w:val="00DA454B"/>
    <w:rsid w:val="00DA75C1"/>
    <w:rsid w:val="00DB2458"/>
    <w:rsid w:val="00DB43D7"/>
    <w:rsid w:val="00DB467C"/>
    <w:rsid w:val="00DB6169"/>
    <w:rsid w:val="00DD3DDD"/>
    <w:rsid w:val="00DD451F"/>
    <w:rsid w:val="00DD52ED"/>
    <w:rsid w:val="00DE2C57"/>
    <w:rsid w:val="00DE5F5D"/>
    <w:rsid w:val="00DF5394"/>
    <w:rsid w:val="00E025D9"/>
    <w:rsid w:val="00E0433A"/>
    <w:rsid w:val="00E044BB"/>
    <w:rsid w:val="00E047BC"/>
    <w:rsid w:val="00E05938"/>
    <w:rsid w:val="00E05C6E"/>
    <w:rsid w:val="00E075AC"/>
    <w:rsid w:val="00E1247C"/>
    <w:rsid w:val="00E12605"/>
    <w:rsid w:val="00E1402C"/>
    <w:rsid w:val="00E276C6"/>
    <w:rsid w:val="00E31D05"/>
    <w:rsid w:val="00E3261A"/>
    <w:rsid w:val="00E32DEB"/>
    <w:rsid w:val="00E41308"/>
    <w:rsid w:val="00E433C0"/>
    <w:rsid w:val="00E454DA"/>
    <w:rsid w:val="00E46EA1"/>
    <w:rsid w:val="00E4741F"/>
    <w:rsid w:val="00E50E7D"/>
    <w:rsid w:val="00E50E84"/>
    <w:rsid w:val="00E51CDC"/>
    <w:rsid w:val="00E51F92"/>
    <w:rsid w:val="00E53B98"/>
    <w:rsid w:val="00E56AFC"/>
    <w:rsid w:val="00E66BE1"/>
    <w:rsid w:val="00E7081F"/>
    <w:rsid w:val="00E71FEF"/>
    <w:rsid w:val="00E73D1B"/>
    <w:rsid w:val="00E75350"/>
    <w:rsid w:val="00E82E8D"/>
    <w:rsid w:val="00E83C11"/>
    <w:rsid w:val="00E83C20"/>
    <w:rsid w:val="00E93A3B"/>
    <w:rsid w:val="00E94707"/>
    <w:rsid w:val="00E96183"/>
    <w:rsid w:val="00EA18D5"/>
    <w:rsid w:val="00EA195D"/>
    <w:rsid w:val="00EA393B"/>
    <w:rsid w:val="00EA5F2B"/>
    <w:rsid w:val="00EB1256"/>
    <w:rsid w:val="00EB2B73"/>
    <w:rsid w:val="00EB4845"/>
    <w:rsid w:val="00EB7336"/>
    <w:rsid w:val="00EB7EE4"/>
    <w:rsid w:val="00EC03AD"/>
    <w:rsid w:val="00ED0777"/>
    <w:rsid w:val="00ED1824"/>
    <w:rsid w:val="00ED69EF"/>
    <w:rsid w:val="00ED7059"/>
    <w:rsid w:val="00ED7C46"/>
    <w:rsid w:val="00EE0198"/>
    <w:rsid w:val="00EE2EAA"/>
    <w:rsid w:val="00EE3CC6"/>
    <w:rsid w:val="00EE530F"/>
    <w:rsid w:val="00EF14ED"/>
    <w:rsid w:val="00F053F2"/>
    <w:rsid w:val="00F05CA9"/>
    <w:rsid w:val="00F063AC"/>
    <w:rsid w:val="00F12E4C"/>
    <w:rsid w:val="00F1351E"/>
    <w:rsid w:val="00F13A16"/>
    <w:rsid w:val="00F1782E"/>
    <w:rsid w:val="00F2009F"/>
    <w:rsid w:val="00F21B2B"/>
    <w:rsid w:val="00F22261"/>
    <w:rsid w:val="00F22DD9"/>
    <w:rsid w:val="00F26DBC"/>
    <w:rsid w:val="00F319F1"/>
    <w:rsid w:val="00F34B4F"/>
    <w:rsid w:val="00F35728"/>
    <w:rsid w:val="00F4104B"/>
    <w:rsid w:val="00F44671"/>
    <w:rsid w:val="00F47E9F"/>
    <w:rsid w:val="00F50552"/>
    <w:rsid w:val="00F566F5"/>
    <w:rsid w:val="00F645DC"/>
    <w:rsid w:val="00F72A6F"/>
    <w:rsid w:val="00F80884"/>
    <w:rsid w:val="00F81159"/>
    <w:rsid w:val="00F81C28"/>
    <w:rsid w:val="00F82070"/>
    <w:rsid w:val="00F87576"/>
    <w:rsid w:val="00F90322"/>
    <w:rsid w:val="00F90962"/>
    <w:rsid w:val="00F909F2"/>
    <w:rsid w:val="00F94593"/>
    <w:rsid w:val="00F96C04"/>
    <w:rsid w:val="00F97A25"/>
    <w:rsid w:val="00FA180F"/>
    <w:rsid w:val="00FA49DE"/>
    <w:rsid w:val="00FA68E7"/>
    <w:rsid w:val="00FC03D7"/>
    <w:rsid w:val="00FC3527"/>
    <w:rsid w:val="00FD11A1"/>
    <w:rsid w:val="00FD47D1"/>
    <w:rsid w:val="00FD5703"/>
    <w:rsid w:val="00FE227B"/>
    <w:rsid w:val="00FF0FEB"/>
    <w:rsid w:val="00FF4592"/>
    <w:rsid w:val="00FF6F74"/>
    <w:rsid w:val="0B8C1EC2"/>
    <w:rsid w:val="1491209D"/>
    <w:rsid w:val="29995680"/>
    <w:rsid w:val="3E5C1E97"/>
    <w:rsid w:val="477D0131"/>
    <w:rsid w:val="48BD21ED"/>
    <w:rsid w:val="6C2E64AF"/>
    <w:rsid w:val="76C20E07"/>
    <w:rsid w:val="7BFD27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8"/>
    <w:qFormat/>
    <w:uiPriority w:val="9"/>
    <w:pPr>
      <w:keepNext/>
      <w:keepLines/>
      <w:spacing w:before="340" w:after="330" w:line="578" w:lineRule="auto"/>
      <w:outlineLvl w:val="0"/>
    </w:pPr>
    <w:rPr>
      <w:b/>
      <w:bCs/>
      <w:kern w:val="44"/>
      <w:sz w:val="30"/>
      <w:szCs w:val="44"/>
    </w:rPr>
  </w:style>
  <w:style w:type="paragraph" w:styleId="3">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28"/>
      <w:szCs w:val="32"/>
    </w:rPr>
  </w:style>
  <w:style w:type="paragraph" w:styleId="4">
    <w:name w:val="heading 3"/>
    <w:basedOn w:val="1"/>
    <w:next w:val="1"/>
    <w:link w:val="25"/>
    <w:qFormat/>
    <w:uiPriority w:val="9"/>
    <w:pPr>
      <w:widowControl/>
      <w:spacing w:before="100" w:beforeAutospacing="1" w:after="100" w:afterAutospacing="1"/>
      <w:jc w:val="left"/>
      <w:outlineLvl w:val="2"/>
    </w:pPr>
    <w:rPr>
      <w:rFonts w:ascii="宋体" w:hAnsi="宋体" w:eastAsia="宋体" w:cs="宋体"/>
      <w:b/>
      <w:bCs/>
      <w:kern w:val="0"/>
      <w:sz w:val="28"/>
      <w:szCs w:val="27"/>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caption"/>
    <w:basedOn w:val="1"/>
    <w:next w:val="1"/>
    <w:qFormat/>
    <w:uiPriority w:val="35"/>
    <w:rPr>
      <w:rFonts w:ascii="Cambria" w:hAnsi="Cambria" w:eastAsia="黑体" w:cs="Times New Roman"/>
      <w:sz w:val="20"/>
      <w:szCs w:val="20"/>
    </w:rPr>
  </w:style>
  <w:style w:type="paragraph" w:styleId="6">
    <w:name w:val="annotation text"/>
    <w:basedOn w:val="1"/>
    <w:link w:val="32"/>
    <w:semiHidden/>
    <w:unhideWhenUsed/>
    <w:qFormat/>
    <w:uiPriority w:val="99"/>
    <w:pPr>
      <w:jc w:val="left"/>
    </w:pPr>
  </w:style>
  <w:style w:type="paragraph" w:styleId="7">
    <w:name w:val="toc 3"/>
    <w:basedOn w:val="1"/>
    <w:next w:val="1"/>
    <w:unhideWhenUsed/>
    <w:qFormat/>
    <w:uiPriority w:val="39"/>
    <w:pPr>
      <w:ind w:left="840" w:leftChars="400"/>
    </w:pPr>
  </w:style>
  <w:style w:type="paragraph" w:styleId="8">
    <w:name w:val="Date"/>
    <w:basedOn w:val="1"/>
    <w:next w:val="1"/>
    <w:link w:val="34"/>
    <w:semiHidden/>
    <w:unhideWhenUsed/>
    <w:qFormat/>
    <w:uiPriority w:val="99"/>
    <w:pPr>
      <w:ind w:left="100" w:leftChars="2500"/>
    </w:pPr>
  </w:style>
  <w:style w:type="paragraph" w:styleId="9">
    <w:name w:val="Balloon Text"/>
    <w:basedOn w:val="1"/>
    <w:link w:val="26"/>
    <w:semiHidden/>
    <w:unhideWhenUsed/>
    <w:qFormat/>
    <w:uiPriority w:val="99"/>
    <w:rPr>
      <w:sz w:val="18"/>
      <w:szCs w:val="18"/>
    </w:rPr>
  </w:style>
  <w:style w:type="paragraph" w:styleId="10">
    <w:name w:val="footer"/>
    <w:basedOn w:val="1"/>
    <w:link w:val="24"/>
    <w:unhideWhenUsed/>
    <w:qFormat/>
    <w:uiPriority w:val="99"/>
    <w:pPr>
      <w:tabs>
        <w:tab w:val="center" w:pos="4153"/>
        <w:tab w:val="right" w:pos="8306"/>
      </w:tabs>
      <w:snapToGrid w:val="0"/>
      <w:jc w:val="left"/>
    </w:pPr>
    <w:rPr>
      <w:sz w:val="18"/>
      <w:szCs w:val="18"/>
    </w:rPr>
  </w:style>
  <w:style w:type="paragraph" w:styleId="11">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style>
  <w:style w:type="paragraph" w:styleId="13">
    <w:name w:val="toc 2"/>
    <w:basedOn w:val="1"/>
    <w:next w:val="1"/>
    <w:unhideWhenUsed/>
    <w:qFormat/>
    <w:uiPriority w:val="39"/>
    <w:pPr>
      <w:ind w:left="420" w:leftChars="200"/>
    </w:pPr>
  </w:style>
  <w:style w:type="paragraph" w:styleId="1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5">
    <w:name w:val="annotation subject"/>
    <w:basedOn w:val="6"/>
    <w:next w:val="6"/>
    <w:link w:val="33"/>
    <w:semiHidden/>
    <w:unhideWhenUsed/>
    <w:qFormat/>
    <w:uiPriority w:val="99"/>
    <w:rPr>
      <w:b/>
      <w:bCs/>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22"/>
    <w:rPr>
      <w:b/>
      <w:bCs/>
    </w:rPr>
  </w:style>
  <w:style w:type="character" w:styleId="20">
    <w:name w:val="Emphasis"/>
    <w:basedOn w:val="18"/>
    <w:qFormat/>
    <w:uiPriority w:val="20"/>
    <w:rPr>
      <w:i/>
      <w:iCs/>
    </w:rPr>
  </w:style>
  <w:style w:type="character" w:styleId="21">
    <w:name w:val="Hyperlink"/>
    <w:basedOn w:val="18"/>
    <w:unhideWhenUsed/>
    <w:qFormat/>
    <w:uiPriority w:val="99"/>
    <w:rPr>
      <w:color w:val="0000FF"/>
      <w:u w:val="single"/>
    </w:rPr>
  </w:style>
  <w:style w:type="character" w:styleId="22">
    <w:name w:val="annotation reference"/>
    <w:basedOn w:val="18"/>
    <w:semiHidden/>
    <w:unhideWhenUsed/>
    <w:qFormat/>
    <w:uiPriority w:val="99"/>
    <w:rPr>
      <w:sz w:val="21"/>
      <w:szCs w:val="21"/>
    </w:rPr>
  </w:style>
  <w:style w:type="character" w:customStyle="1" w:styleId="23">
    <w:name w:val="页眉 字符"/>
    <w:basedOn w:val="18"/>
    <w:link w:val="11"/>
    <w:qFormat/>
    <w:uiPriority w:val="99"/>
    <w:rPr>
      <w:sz w:val="18"/>
      <w:szCs w:val="18"/>
    </w:rPr>
  </w:style>
  <w:style w:type="character" w:customStyle="1" w:styleId="24">
    <w:name w:val="页脚 字符"/>
    <w:basedOn w:val="18"/>
    <w:link w:val="10"/>
    <w:qFormat/>
    <w:uiPriority w:val="99"/>
    <w:rPr>
      <w:sz w:val="18"/>
      <w:szCs w:val="18"/>
    </w:rPr>
  </w:style>
  <w:style w:type="character" w:customStyle="1" w:styleId="25">
    <w:name w:val="标题 3 字符"/>
    <w:basedOn w:val="18"/>
    <w:link w:val="4"/>
    <w:qFormat/>
    <w:uiPriority w:val="9"/>
    <w:rPr>
      <w:rFonts w:ascii="宋体" w:hAnsi="宋体" w:eastAsia="宋体" w:cs="宋体"/>
      <w:b/>
      <w:bCs/>
      <w:kern w:val="0"/>
      <w:sz w:val="28"/>
      <w:szCs w:val="27"/>
    </w:rPr>
  </w:style>
  <w:style w:type="character" w:customStyle="1" w:styleId="26">
    <w:name w:val="批注框文本 字符"/>
    <w:basedOn w:val="18"/>
    <w:link w:val="9"/>
    <w:semiHidden/>
    <w:qFormat/>
    <w:uiPriority w:val="99"/>
    <w:rPr>
      <w:sz w:val="18"/>
      <w:szCs w:val="18"/>
    </w:rPr>
  </w:style>
  <w:style w:type="paragraph" w:customStyle="1" w:styleId="27">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28">
    <w:name w:val="标题 1 字符"/>
    <w:basedOn w:val="18"/>
    <w:link w:val="2"/>
    <w:qFormat/>
    <w:uiPriority w:val="9"/>
    <w:rPr>
      <w:b/>
      <w:bCs/>
      <w:kern w:val="44"/>
      <w:sz w:val="30"/>
      <w:szCs w:val="44"/>
    </w:rPr>
  </w:style>
  <w:style w:type="character" w:customStyle="1" w:styleId="29">
    <w:name w:val="标题 2 字符"/>
    <w:basedOn w:val="18"/>
    <w:link w:val="3"/>
    <w:qFormat/>
    <w:uiPriority w:val="9"/>
    <w:rPr>
      <w:rFonts w:asciiTheme="majorHAnsi" w:hAnsiTheme="majorHAnsi" w:eastAsiaTheme="majorEastAsia" w:cstheme="majorBidi"/>
      <w:b/>
      <w:bCs/>
      <w:sz w:val="28"/>
      <w:szCs w:val="32"/>
    </w:rPr>
  </w:style>
  <w:style w:type="paragraph" w:customStyle="1" w:styleId="30">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paragraph" w:customStyle="1" w:styleId="31">
    <w:name w:val="_Style 2"/>
    <w:basedOn w:val="1"/>
    <w:qFormat/>
    <w:uiPriority w:val="0"/>
    <w:pPr>
      <w:spacing w:line="351" w:lineRule="atLeast"/>
      <w:ind w:firstLine="623"/>
      <w:textAlignment w:val="baseline"/>
    </w:pPr>
    <w:rPr>
      <w:rFonts w:ascii="仿宋_GB2312" w:hAnsi="Times New Roman" w:eastAsia="仿宋_GB2312" w:cs="Times New Roman"/>
      <w:color w:val="000000"/>
      <w:sz w:val="31"/>
      <w:szCs w:val="31"/>
    </w:rPr>
  </w:style>
  <w:style w:type="character" w:customStyle="1" w:styleId="32">
    <w:name w:val="批注文字 字符"/>
    <w:basedOn w:val="18"/>
    <w:link w:val="6"/>
    <w:semiHidden/>
    <w:qFormat/>
    <w:uiPriority w:val="99"/>
  </w:style>
  <w:style w:type="character" w:customStyle="1" w:styleId="33">
    <w:name w:val="批注主题 字符"/>
    <w:basedOn w:val="32"/>
    <w:link w:val="15"/>
    <w:semiHidden/>
    <w:qFormat/>
    <w:uiPriority w:val="99"/>
    <w:rPr>
      <w:b/>
      <w:bCs/>
    </w:rPr>
  </w:style>
  <w:style w:type="character" w:customStyle="1" w:styleId="34">
    <w:name w:val="日期 字符"/>
    <w:basedOn w:val="18"/>
    <w:link w:val="8"/>
    <w:semiHidden/>
    <w:qFormat/>
    <w:uiPriority w:val="99"/>
  </w:style>
  <w:style w:type="paragraph" w:styleId="35">
    <w:name w:val="List Paragraph"/>
    <w:basedOn w:val="1"/>
    <w:qFormat/>
    <w:uiPriority w:val="34"/>
    <w:pPr>
      <w:ind w:firstLine="420" w:firstLineChars="200"/>
    </w:pPr>
  </w:style>
  <w:style w:type="paragraph" w:customStyle="1" w:styleId="36">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B0556A-E815-42F4-B26E-9EC601C0668F}">
  <ds:schemaRefs/>
</ds:datastoreItem>
</file>

<file path=docProps/app.xml><?xml version="1.0" encoding="utf-8"?>
<Properties xmlns="http://schemas.openxmlformats.org/officeDocument/2006/extended-properties" xmlns:vt="http://schemas.openxmlformats.org/officeDocument/2006/docPropsVTypes">
  <Template>Normal.dotm</Template>
  <Pages>44</Pages>
  <Words>4627</Words>
  <Characters>26378</Characters>
  <Lines>219</Lines>
  <Paragraphs>61</Paragraphs>
  <TotalTime>42</TotalTime>
  <ScaleCrop>false</ScaleCrop>
  <LinksUpToDate>false</LinksUpToDate>
  <CharactersWithSpaces>30944</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2021-12-13T07:19:00Z</dcterms:created>
  <dc:creator>wang ping</dc:creator>
  <cp:lastModifiedBy>PC</cp:lastModifiedBy>
  <cp:lastPrinted>2021-12-13T07:20:00Z</cp:lastPrinted>
  <dcterms:modified xsi:type="dcterms:W3CDTF">2021-12-21T00:17:24Z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9AE77B455B7A4C99A99407FA9FC5B2E1</vt:lpwstr>
  </property>
</Properties>
</file>