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800" w:lineRule="exact"/>
        <w:ind w:firstLine="245" w:firstLineChars="49"/>
        <w:rPr>
          <w:rFonts w:ascii="方正小标宋简体" w:eastAsia="方正小标宋简体"/>
          <w:spacing w:val="10"/>
          <w:w w:val="60"/>
          <w:sz w:val="80"/>
          <w:szCs w:val="80"/>
        </w:rPr>
      </w:pPr>
      <w:bookmarkStart w:id="1" w:name="_GoBack"/>
      <w:bookmarkEnd w:id="1"/>
    </w:p>
    <w:p>
      <w:pPr>
        <w:spacing w:before="360" w:beforeLines="150" w:after="360" w:afterLines="150" w:line="500" w:lineRule="exact"/>
        <w:jc w:val="center"/>
        <w:rPr>
          <w:rFonts w:ascii="仿宋_GB2312" w:hAnsi="新宋体" w:eastAsia="仿宋_GB2312"/>
          <w:bCs/>
          <w:sz w:val="32"/>
          <w:szCs w:val="36"/>
        </w:rPr>
      </w:pPr>
      <w:r>
        <w:rPr>
          <w:lang/>
        </w:rPr>
        <w:pict>
          <v:shape id="_x0000_s2057" o:spid="_x0000_s2057" o:spt="202" type="#_x0000_t202" style="position:absolute;left:0pt;margin-left:161.25pt;margin-top:45.8pt;height:85.8pt;width:180pt;mso-wrap-distance-bottom:0pt;mso-wrap-distance-left:9pt;mso-wrap-distance-right:9pt;mso-wrap-distance-top:0pt;z-index:251659264;mso-width-relative:page;mso-height-relative:page;" stroked="f" coordsize="21600,21600">
            <v:path/>
            <v:fill focussize="0,0"/>
            <v:stroke on="f"/>
            <v:imagedata o:title=""/>
            <o:lock v:ext="edit"/>
            <v:textbox>
              <w:txbxContent>
                <w:p>
                  <w:pPr>
                    <w:spacing w:line="500" w:lineRule="exact"/>
                    <w:jc w:val="distribute"/>
                    <w:rPr>
                      <w:rFonts w:ascii="黑体" w:eastAsia="黑体"/>
                      <w:w w:val="90"/>
                      <w:sz w:val="36"/>
                      <w:szCs w:val="36"/>
                    </w:rPr>
                  </w:pPr>
                  <w:r>
                    <w:rPr>
                      <w:rFonts w:hint="eastAsia" w:ascii="黑体" w:eastAsia="黑体"/>
                      <w:w w:val="90"/>
                      <w:sz w:val="36"/>
                      <w:szCs w:val="36"/>
                    </w:rPr>
                    <w:t>人力资源和社会保障局</w:t>
                  </w:r>
                </w:p>
                <w:p>
                  <w:pPr>
                    <w:spacing w:line="500" w:lineRule="exact"/>
                    <w:jc w:val="distribute"/>
                    <w:rPr>
                      <w:rFonts w:hint="eastAsia" w:ascii="黑体" w:eastAsia="黑体"/>
                      <w:w w:val="90"/>
                      <w:sz w:val="36"/>
                      <w:szCs w:val="36"/>
                    </w:rPr>
                  </w:pPr>
                  <w:r>
                    <w:rPr>
                      <w:rFonts w:hint="eastAsia" w:ascii="黑体" w:eastAsia="黑体"/>
                      <w:w w:val="90"/>
                      <w:sz w:val="36"/>
                      <w:szCs w:val="36"/>
                    </w:rPr>
                    <w:t>财       政       局</w:t>
                  </w:r>
                </w:p>
                <w:p>
                  <w:pPr>
                    <w:spacing w:line="500" w:lineRule="exact"/>
                    <w:jc w:val="distribute"/>
                    <w:rPr>
                      <w:rFonts w:ascii="黑体" w:eastAsia="黑体"/>
                      <w:spacing w:val="-20"/>
                      <w:w w:val="90"/>
                      <w:sz w:val="36"/>
                      <w:szCs w:val="36"/>
                    </w:rPr>
                  </w:pPr>
                  <w:r>
                    <w:rPr>
                      <w:rFonts w:hint="eastAsia" w:ascii="黑体" w:eastAsia="黑体"/>
                      <w:spacing w:val="-20"/>
                      <w:w w:val="90"/>
                      <w:sz w:val="36"/>
                      <w:szCs w:val="36"/>
                    </w:rPr>
                    <w:t>人才工作领导小组办公室</w:t>
                  </w:r>
                </w:p>
              </w:txbxContent>
            </v:textbox>
            <w10:wrap type="square"/>
          </v:shape>
        </w:pict>
      </w:r>
    </w:p>
    <w:p>
      <w:pPr>
        <w:spacing w:before="240" w:beforeLines="100"/>
        <w:jc w:val="center"/>
        <w:rPr>
          <w:rFonts w:ascii="仿宋_GB2312" w:eastAsia="仿宋_GB2312"/>
          <w:sz w:val="32"/>
          <w:szCs w:val="32"/>
        </w:rPr>
      </w:pPr>
    </w:p>
    <w:p>
      <w:pPr>
        <w:spacing w:before="420" w:beforeLines="175" w:after="240" w:afterLines="100"/>
        <w:jc w:val="center"/>
        <w:rPr>
          <w:rFonts w:ascii="仿宋_GB2312" w:eastAsia="仿宋_GB2312"/>
          <w:sz w:val="32"/>
          <w:szCs w:val="32"/>
        </w:rPr>
      </w:pPr>
    </w:p>
    <w:p>
      <w:pPr>
        <w:jc w:val="center"/>
        <w:rPr>
          <w:rFonts w:hint="eastAsia" w:ascii="仿宋_GB2312" w:eastAsia="仿宋_GB2312"/>
          <w:sz w:val="32"/>
          <w:szCs w:val="32"/>
        </w:rPr>
      </w:pPr>
    </w:p>
    <w:p>
      <w:pPr>
        <w:jc w:val="center"/>
        <w:rPr>
          <w:rFonts w:hint="eastAsia" w:ascii="仿宋_GB2312" w:eastAsia="仿宋_GB2312"/>
          <w:sz w:val="32"/>
          <w:szCs w:val="32"/>
        </w:rPr>
      </w:pPr>
    </w:p>
    <w:p>
      <w:pPr>
        <w:spacing w:before="240" w:beforeLines="100"/>
        <w:jc w:val="center"/>
        <w:rPr>
          <w:rFonts w:ascii="仿宋_GB2312" w:eastAsia="仿宋_GB2312"/>
          <w:sz w:val="32"/>
          <w:szCs w:val="32"/>
        </w:rPr>
      </w:pPr>
      <w:r>
        <w:rPr>
          <w:rFonts w:hint="eastAsia" w:ascii="仿宋_GB2312" w:eastAsia="仿宋_GB2312"/>
          <w:sz w:val="32"/>
          <w:szCs w:val="32"/>
        </w:rPr>
        <w:t>东人社秘〔</w:t>
      </w:r>
      <w:r>
        <w:rPr>
          <w:rFonts w:ascii="仿宋_GB2312" w:eastAsia="仿宋_GB2312"/>
          <w:sz w:val="32"/>
          <w:szCs w:val="32"/>
        </w:rPr>
        <w:t>2018</w:t>
      </w:r>
      <w:r>
        <w:rPr>
          <w:rFonts w:hint="eastAsia" w:ascii="仿宋_GB2312" w:eastAsia="仿宋_GB2312"/>
          <w:sz w:val="32"/>
          <w:szCs w:val="32"/>
        </w:rPr>
        <w:t>〕126号</w:t>
      </w:r>
    </w:p>
    <w:p>
      <w:pPr>
        <w:spacing w:line="800" w:lineRule="exact"/>
        <w:jc w:val="center"/>
        <w:rPr>
          <w:rFonts w:ascii="仿宋_GB2312" w:eastAsia="仿宋_GB2312"/>
          <w:sz w:val="32"/>
          <w:szCs w:val="32"/>
        </w:rPr>
      </w:pPr>
    </w:p>
    <w:p>
      <w:pPr>
        <w:widowControl w:val="0"/>
        <w:snapToGrid w:val="0"/>
        <w:spacing w:line="600" w:lineRule="exact"/>
        <w:jc w:val="center"/>
        <w:rPr>
          <w:rFonts w:hint="eastAsia" w:ascii="方正大标宋简体" w:eastAsia="方正大标宋简体"/>
          <w:sz w:val="40"/>
          <w:szCs w:val="40"/>
        </w:rPr>
      </w:pPr>
      <w:r>
        <w:rPr>
          <w:rFonts w:hint="eastAsia" w:ascii="方正大标宋简体" w:eastAsia="方正大标宋简体"/>
          <w:sz w:val="40"/>
          <w:szCs w:val="40"/>
        </w:rPr>
        <w:t>关于印发《东至县级技能大师工作室建设</w:t>
      </w:r>
    </w:p>
    <w:p>
      <w:pPr>
        <w:widowControl w:val="0"/>
        <w:snapToGrid w:val="0"/>
        <w:spacing w:after="240" w:afterLines="100" w:line="600" w:lineRule="exact"/>
        <w:jc w:val="center"/>
        <w:rPr>
          <w:rFonts w:hint="eastAsia" w:ascii="方正大标宋简体" w:eastAsia="方正大标宋简体"/>
          <w:sz w:val="40"/>
          <w:szCs w:val="40"/>
        </w:rPr>
      </w:pPr>
      <w:r>
        <w:rPr>
          <w:rFonts w:hint="eastAsia" w:ascii="方正大标宋简体" w:eastAsia="方正大标宋简体"/>
          <w:sz w:val="40"/>
          <w:szCs w:val="40"/>
        </w:rPr>
        <w:t>管理办法（试行）》的通知</w:t>
      </w:r>
    </w:p>
    <w:p>
      <w:pPr>
        <w:widowControl w:val="0"/>
        <w:snapToGrid w:val="0"/>
        <w:spacing w:line="440" w:lineRule="exact"/>
        <w:rPr>
          <w:rFonts w:hint="eastAsia" w:ascii="仿宋_GB2312" w:eastAsia="仿宋_GB2312"/>
          <w:sz w:val="32"/>
          <w:szCs w:val="32"/>
        </w:rPr>
      </w:pPr>
      <w:r>
        <w:rPr>
          <w:rFonts w:hint="eastAsia" w:ascii="仿宋_GB2312" w:eastAsia="仿宋_GB2312"/>
          <w:sz w:val="32"/>
          <w:szCs w:val="32"/>
        </w:rPr>
        <w:t>各有关单位，县级技能大师工作室试点单位：</w:t>
      </w:r>
    </w:p>
    <w:p>
      <w:pPr>
        <w:widowControl w:val="0"/>
        <w:snapToGrid w:val="0"/>
        <w:spacing w:line="440" w:lineRule="exact"/>
        <w:ind w:firstLine="645"/>
        <w:rPr>
          <w:rFonts w:hint="eastAsia" w:ascii="仿宋_GB2312" w:eastAsia="仿宋_GB2312"/>
          <w:sz w:val="32"/>
          <w:szCs w:val="32"/>
        </w:rPr>
      </w:pPr>
      <w:r>
        <w:rPr>
          <w:rFonts w:hint="eastAsia" w:ascii="仿宋_GB2312" w:eastAsia="仿宋_GB2312"/>
          <w:sz w:val="32"/>
          <w:szCs w:val="32"/>
        </w:rPr>
        <w:t>根据《池州市人民政府关于贯彻支持技工大省建设若干政策的实施意见》（池政〔2017〕51号），根据市人社局、市财政局、市人才办《关于印发〈池州市级技能大师工作室建设管理办法（试行）〉的通知》（池人社发〔2015〕1号）文件精神，结合我县实际，制定《东至县级技能大师工作室建设管理办法（试行）》，现印发给你们，请遵照执行。</w:t>
      </w:r>
    </w:p>
    <w:p>
      <w:pPr>
        <w:widowControl w:val="0"/>
        <w:snapToGrid w:val="0"/>
        <w:spacing w:line="440" w:lineRule="exact"/>
        <w:ind w:firstLine="645"/>
        <w:rPr>
          <w:rFonts w:hint="eastAsia" w:ascii="仿宋_GB2312" w:eastAsia="仿宋_GB2312"/>
          <w:sz w:val="32"/>
          <w:szCs w:val="32"/>
        </w:rPr>
      </w:pPr>
    </w:p>
    <w:p>
      <w:pPr>
        <w:widowControl w:val="0"/>
        <w:snapToGrid w:val="0"/>
        <w:spacing w:line="440" w:lineRule="exact"/>
        <w:ind w:firstLine="645"/>
        <w:rPr>
          <w:rFonts w:hint="eastAsia" w:ascii="仿宋_GB2312" w:eastAsia="仿宋_GB2312"/>
          <w:sz w:val="32"/>
          <w:szCs w:val="32"/>
        </w:rPr>
      </w:pPr>
    </w:p>
    <w:p>
      <w:pPr>
        <w:widowControl w:val="0"/>
        <w:snapToGrid w:val="0"/>
        <w:spacing w:after="240" w:afterLines="100" w:line="440" w:lineRule="exact"/>
        <w:ind w:firstLine="640" w:firstLineChars="200"/>
        <w:rPr>
          <w:rFonts w:hint="eastAsia" w:ascii="仿宋_GB2312" w:eastAsia="仿宋_GB2312"/>
          <w:sz w:val="32"/>
          <w:szCs w:val="32"/>
        </w:rPr>
      </w:pPr>
      <w:r>
        <w:rPr>
          <w:rFonts w:hint="eastAsia" w:ascii="仿宋_GB2312" w:eastAsia="仿宋_GB2312"/>
          <w:sz w:val="32"/>
          <w:szCs w:val="32"/>
        </w:rPr>
        <w:t xml:space="preserve">东至县人力资源和社会保障局           东至县财政局 </w:t>
      </w:r>
    </w:p>
    <w:p>
      <w:pPr>
        <w:widowControl w:val="0"/>
        <w:snapToGrid w:val="0"/>
        <w:spacing w:after="240" w:afterLines="100" w:line="440" w:lineRule="exact"/>
        <w:ind w:firstLine="2240" w:firstLineChars="700"/>
        <w:rPr>
          <w:rFonts w:hint="eastAsia" w:ascii="仿宋_GB2312" w:eastAsia="仿宋_GB2312"/>
          <w:sz w:val="32"/>
          <w:szCs w:val="32"/>
        </w:rPr>
      </w:pPr>
    </w:p>
    <w:p>
      <w:pPr>
        <w:spacing w:after="240" w:afterLines="100" w:line="440" w:lineRule="exact"/>
        <w:jc w:val="center"/>
        <w:rPr>
          <w:rFonts w:ascii="仿宋_GB2312" w:eastAsia="仿宋_GB2312"/>
          <w:sz w:val="32"/>
          <w:szCs w:val="32"/>
        </w:rPr>
      </w:pPr>
      <w:r>
        <w:rPr>
          <w:rFonts w:hint="eastAsia" w:ascii="仿宋_GB2312" w:eastAsia="仿宋_GB2312"/>
          <w:sz w:val="32"/>
          <w:szCs w:val="32"/>
        </w:rPr>
        <w:t>东至县人才工作领导小组办公室</w:t>
      </w:r>
    </w:p>
    <w:p>
      <w:pPr>
        <w:widowControl w:val="0"/>
        <w:snapToGrid w:val="0"/>
        <w:spacing w:line="440" w:lineRule="exact"/>
        <w:rPr>
          <w:rFonts w:ascii="仿宋_GB2312" w:eastAsia="仿宋_GB2312"/>
          <w:sz w:val="32"/>
          <w:szCs w:val="32"/>
        </w:rPr>
        <w:sectPr>
          <w:headerReference r:id="rId5" w:type="default"/>
          <w:footerReference r:id="rId6" w:type="default"/>
          <w:footerReference r:id="rId7" w:type="even"/>
          <w:pgSz w:w="11905" w:h="16837"/>
          <w:pgMar w:top="1418" w:right="1701" w:bottom="851" w:left="1701" w:header="567" w:footer="567" w:gutter="0"/>
          <w:pgNumType w:fmt="numberInDash" w:start="0"/>
          <w:cols w:space="368" w:num="1"/>
          <w:titlePg/>
        </w:sectPr>
      </w:pPr>
      <w:r>
        <w:rPr>
          <w:rFonts w:hint="eastAsia" w:ascii="仿宋_GB2312" w:eastAsia="仿宋_GB2312"/>
          <w:sz w:val="32"/>
          <w:szCs w:val="32"/>
        </w:rPr>
        <w:t xml:space="preserve">                             2018年10月11日</w:t>
      </w:r>
    </w:p>
    <w:p>
      <w:pPr>
        <w:widowControl w:val="0"/>
        <w:snapToGrid w:val="0"/>
        <w:spacing w:line="500" w:lineRule="exact"/>
        <w:jc w:val="center"/>
        <w:rPr>
          <w:rFonts w:hint="eastAsia" w:ascii="方正大标宋简体" w:eastAsia="方正大标宋简体"/>
          <w:sz w:val="40"/>
          <w:szCs w:val="40"/>
        </w:rPr>
      </w:pPr>
      <w:r>
        <w:rPr>
          <w:rFonts w:hint="eastAsia" w:ascii="方正大标宋简体" w:eastAsia="方正大标宋简体"/>
          <w:sz w:val="40"/>
          <w:szCs w:val="40"/>
        </w:rPr>
        <w:t>东至县级技能大师工作室建设管理办法</w:t>
      </w:r>
    </w:p>
    <w:p>
      <w:pPr>
        <w:widowControl w:val="0"/>
        <w:snapToGrid w:val="0"/>
        <w:spacing w:before="240" w:beforeLines="100" w:after="240" w:afterLines="100" w:line="600" w:lineRule="exact"/>
        <w:jc w:val="center"/>
        <w:rPr>
          <w:rFonts w:hint="eastAsia" w:ascii="楷体_GB2312" w:eastAsia="楷体_GB2312"/>
          <w:sz w:val="32"/>
          <w:szCs w:val="32"/>
        </w:rPr>
      </w:pPr>
      <w:r>
        <w:rPr>
          <w:rFonts w:hint="eastAsia" w:ascii="楷体_GB2312" w:eastAsia="楷体_GB2312"/>
          <w:sz w:val="32"/>
          <w:szCs w:val="32"/>
        </w:rPr>
        <w:t>（试  行）</w:t>
      </w:r>
    </w:p>
    <w:p>
      <w:pPr>
        <w:widowControl w:val="0"/>
        <w:snapToGrid w:val="0"/>
        <w:spacing w:before="180" w:beforeLines="75" w:after="180" w:afterLines="75" w:line="600" w:lineRule="exact"/>
        <w:jc w:val="center"/>
        <w:rPr>
          <w:rFonts w:hint="eastAsia" w:ascii="黑体" w:eastAsia="黑体"/>
          <w:sz w:val="32"/>
          <w:szCs w:val="32"/>
        </w:rPr>
      </w:pPr>
      <w:r>
        <w:rPr>
          <w:rFonts w:hint="eastAsia" w:ascii="黑体" w:eastAsia="黑体"/>
          <w:sz w:val="32"/>
          <w:szCs w:val="32"/>
        </w:rPr>
        <w:t>第一章　总  则</w:t>
      </w:r>
    </w:p>
    <w:p>
      <w:pPr>
        <w:widowControl w:val="0"/>
        <w:snapToGrid w:val="0"/>
        <w:spacing w:line="600" w:lineRule="exact"/>
        <w:ind w:firstLine="643" w:firstLineChars="200"/>
        <w:rPr>
          <w:rFonts w:hint="eastAsia" w:ascii="仿宋_GB2312" w:eastAsia="仿宋_GB2312"/>
          <w:sz w:val="32"/>
          <w:szCs w:val="32"/>
        </w:rPr>
      </w:pPr>
      <w:r>
        <w:rPr>
          <w:rFonts w:hint="eastAsia" w:ascii="仿宋_GB2312" w:eastAsia="仿宋_GB2312"/>
          <w:b/>
          <w:sz w:val="32"/>
          <w:szCs w:val="32"/>
        </w:rPr>
        <w:t xml:space="preserve">第一条  </w:t>
      </w:r>
      <w:r>
        <w:rPr>
          <w:rFonts w:hint="eastAsia" w:ascii="仿宋_GB2312" w:eastAsia="仿宋_GB2312"/>
          <w:sz w:val="32"/>
          <w:szCs w:val="32"/>
        </w:rPr>
        <w:t>为贯彻落实《池州市人民政府关于贯彻支持技工大省建设若干政策的实施意见》（池政〔2017〕51号），根据市人社局、市财政局、市人才办《关于印发〈池州市级技能大师工作室建设管理办法（试行）〉的通知》（池人社发〔2015〕1号）要求，进一步发挥企业高技能人才在技术创新、技能研修、技艺传承、带徒传技等方面的重要作用，努力为建设“三美东至”提供更有力的技能人才保证，结合我县实际，创新高技能人才的培养模式，规范县级技能大师工作室的建设和管理，特制定本办法。</w:t>
      </w:r>
    </w:p>
    <w:p>
      <w:pPr>
        <w:widowControl w:val="0"/>
        <w:snapToGrid w:val="0"/>
        <w:spacing w:line="600" w:lineRule="exact"/>
        <w:rPr>
          <w:rFonts w:hint="eastAsia" w:ascii="仿宋_GB2312" w:eastAsia="仿宋_GB2312"/>
          <w:spacing w:val="-6"/>
          <w:sz w:val="32"/>
          <w:szCs w:val="32"/>
        </w:rPr>
      </w:pPr>
      <w:r>
        <w:rPr>
          <w:rFonts w:hint="eastAsia" w:ascii="仿宋_GB2312" w:eastAsia="仿宋_GB2312"/>
          <w:b/>
          <w:sz w:val="32"/>
          <w:szCs w:val="32"/>
        </w:rPr>
        <w:t xml:space="preserve">    </w:t>
      </w:r>
      <w:r>
        <w:rPr>
          <w:rFonts w:hint="eastAsia" w:ascii="仿宋_GB2312" w:eastAsia="仿宋_GB2312"/>
          <w:b/>
          <w:spacing w:val="-6"/>
          <w:sz w:val="32"/>
          <w:szCs w:val="32"/>
        </w:rPr>
        <w:t xml:space="preserve">第二条 </w:t>
      </w:r>
      <w:r>
        <w:rPr>
          <w:rFonts w:hint="eastAsia" w:ascii="仿宋_GB2312" w:eastAsia="仿宋_GB2312"/>
          <w:spacing w:val="-6"/>
          <w:sz w:val="32"/>
          <w:szCs w:val="32"/>
        </w:rPr>
        <w:t xml:space="preserve"> 本办法所称的县级技能大师工作室，是指由县人力资源和社会保障局会同县财政局、县人才办等相关部门考察评估确定，以县人力资源和社会保障局命名，选择在生产、服务一线，具有高超的技能技艺、良好的职业道德、丰富实践经验的高技能人才领办的，开展技术攻关创新和高技能人才培养的场所。</w:t>
      </w:r>
    </w:p>
    <w:p>
      <w:pPr>
        <w:widowControl w:val="0"/>
        <w:snapToGrid w:val="0"/>
        <w:spacing w:line="600" w:lineRule="exact"/>
        <w:rPr>
          <w:rFonts w:hint="eastAsia" w:ascii="仿宋_GB2312" w:eastAsia="仿宋_GB2312"/>
          <w:sz w:val="32"/>
          <w:szCs w:val="32"/>
        </w:rPr>
      </w:pPr>
      <w:r>
        <w:rPr>
          <w:rFonts w:hint="eastAsia" w:ascii="仿宋_GB2312" w:eastAsia="仿宋_GB2312"/>
          <w:sz w:val="32"/>
          <w:szCs w:val="32"/>
        </w:rPr>
        <w:t xml:space="preserve">   </w:t>
      </w:r>
      <w:r>
        <w:rPr>
          <w:rFonts w:hint="eastAsia" w:ascii="仿宋_GB2312" w:eastAsia="仿宋_GB2312"/>
          <w:b/>
          <w:sz w:val="32"/>
          <w:szCs w:val="32"/>
        </w:rPr>
        <w:t xml:space="preserve"> 第三条</w:t>
      </w:r>
      <w:r>
        <w:rPr>
          <w:rFonts w:hint="eastAsia" w:ascii="仿宋_GB2312" w:eastAsia="仿宋_GB2312"/>
          <w:sz w:val="32"/>
          <w:szCs w:val="32"/>
        </w:rPr>
        <w:t xml:space="preserve">  县级技能大师工作室应坚持公开平等、竞争择优、注重技能、突出实绩的原则，一般每年申报认定一次。 </w:t>
      </w:r>
    </w:p>
    <w:p>
      <w:pPr>
        <w:widowControl w:val="0"/>
        <w:snapToGrid w:val="0"/>
        <w:spacing w:before="180" w:beforeLines="75" w:after="180" w:afterLines="75" w:line="600" w:lineRule="exact"/>
        <w:jc w:val="center"/>
        <w:rPr>
          <w:rFonts w:hint="eastAsia" w:ascii="黑体" w:eastAsia="黑体"/>
          <w:sz w:val="32"/>
          <w:szCs w:val="32"/>
        </w:rPr>
      </w:pPr>
      <w:r>
        <w:rPr>
          <w:rFonts w:hint="eastAsia" w:ascii="黑体" w:eastAsia="黑体"/>
          <w:sz w:val="32"/>
          <w:szCs w:val="32"/>
        </w:rPr>
        <w:t>第二章　职责任务</w:t>
      </w:r>
    </w:p>
    <w:p>
      <w:pPr>
        <w:widowControl w:val="0"/>
        <w:snapToGrid w:val="0"/>
        <w:spacing w:line="600" w:lineRule="exact"/>
        <w:rPr>
          <w:rFonts w:hint="eastAsia" w:ascii="仿宋_GB2312" w:eastAsia="仿宋_GB2312"/>
          <w:sz w:val="32"/>
          <w:szCs w:val="32"/>
        </w:rPr>
      </w:pPr>
      <w:r>
        <w:rPr>
          <w:rFonts w:hint="eastAsia" w:ascii="仿宋_GB2312" w:eastAsia="仿宋_GB2312"/>
          <w:b/>
          <w:sz w:val="32"/>
          <w:szCs w:val="32"/>
        </w:rPr>
        <w:t xml:space="preserve">    第四条 </w:t>
      </w:r>
      <w:r>
        <w:rPr>
          <w:rFonts w:hint="eastAsia" w:ascii="仿宋_GB2312" w:eastAsia="仿宋_GB2312"/>
          <w:sz w:val="32"/>
          <w:szCs w:val="32"/>
        </w:rPr>
        <w:t xml:space="preserve"> 带徒传技，通过在生产实践中传、帮、带，加快培养一批高技能人才。每个县级技能大师工作室每年为企业或社会培养5名以上（含5名）技能考核鉴定合格的高级工以上的高技能人才。</w:t>
      </w:r>
    </w:p>
    <w:p>
      <w:pPr>
        <w:widowControl w:val="0"/>
        <w:snapToGrid w:val="0"/>
        <w:spacing w:line="600" w:lineRule="exact"/>
        <w:rPr>
          <w:rFonts w:hint="eastAsia" w:ascii="仿宋_GB2312" w:eastAsia="仿宋_GB2312"/>
          <w:sz w:val="32"/>
          <w:szCs w:val="32"/>
        </w:rPr>
      </w:pPr>
      <w:r>
        <w:rPr>
          <w:rFonts w:hint="eastAsia" w:ascii="仿宋_GB2312" w:eastAsia="仿宋_GB2312"/>
          <w:b/>
          <w:sz w:val="32"/>
          <w:szCs w:val="32"/>
        </w:rPr>
        <w:t xml:space="preserve">    第五条 </w:t>
      </w:r>
      <w:r>
        <w:rPr>
          <w:rFonts w:hint="eastAsia" w:ascii="仿宋_GB2312" w:eastAsia="仿宋_GB2312"/>
          <w:sz w:val="32"/>
          <w:szCs w:val="32"/>
        </w:rPr>
        <w:t xml:space="preserve"> 组织重大技术技能革新的技术攻关项目，解决重大技术难题，并将创新成果、绝技绝活、具有特色的生产操作法及时总结推广。</w:t>
      </w:r>
    </w:p>
    <w:p>
      <w:pPr>
        <w:widowControl w:val="0"/>
        <w:snapToGrid w:val="0"/>
        <w:spacing w:line="600" w:lineRule="exact"/>
        <w:rPr>
          <w:rFonts w:hint="eastAsia" w:ascii="仿宋_GB2312" w:eastAsia="仿宋_GB2312"/>
          <w:sz w:val="32"/>
          <w:szCs w:val="32"/>
        </w:rPr>
      </w:pPr>
      <w:r>
        <w:rPr>
          <w:rFonts w:hint="eastAsia" w:ascii="仿宋_GB2312" w:eastAsia="仿宋_GB2312"/>
          <w:b/>
          <w:sz w:val="32"/>
          <w:szCs w:val="32"/>
        </w:rPr>
        <w:t xml:space="preserve">    第六条</w:t>
      </w:r>
      <w:r>
        <w:rPr>
          <w:rFonts w:hint="eastAsia" w:ascii="仿宋_GB2312" w:eastAsia="仿宋_GB2312"/>
          <w:sz w:val="32"/>
          <w:szCs w:val="32"/>
        </w:rPr>
        <w:t xml:space="preserve">  承担和参与行业性、区域性技能技术培训、交流、协作和推广活动，推动行业、区域技能人才队伍建设。</w:t>
      </w:r>
    </w:p>
    <w:p>
      <w:pPr>
        <w:widowControl w:val="0"/>
        <w:snapToGrid w:val="0"/>
        <w:spacing w:before="180" w:beforeLines="75" w:after="180" w:afterLines="75" w:line="600" w:lineRule="exact"/>
        <w:jc w:val="center"/>
        <w:rPr>
          <w:rFonts w:hint="eastAsia" w:ascii="黑体" w:eastAsia="黑体"/>
          <w:sz w:val="32"/>
          <w:szCs w:val="32"/>
        </w:rPr>
      </w:pPr>
      <w:r>
        <w:rPr>
          <w:rFonts w:hint="eastAsia" w:ascii="黑体" w:eastAsia="黑体"/>
          <w:sz w:val="32"/>
          <w:szCs w:val="32"/>
        </w:rPr>
        <w:t>第三章　　申报条件</w:t>
      </w:r>
    </w:p>
    <w:p>
      <w:pPr>
        <w:widowControl w:val="0"/>
        <w:snapToGrid w:val="0"/>
        <w:spacing w:line="600" w:lineRule="exact"/>
        <w:ind w:firstLine="645"/>
        <w:rPr>
          <w:rFonts w:hint="eastAsia" w:ascii="仿宋_GB2312" w:eastAsia="仿宋_GB2312"/>
          <w:sz w:val="32"/>
          <w:szCs w:val="32"/>
        </w:rPr>
      </w:pPr>
      <w:r>
        <w:rPr>
          <w:rFonts w:hint="eastAsia" w:ascii="仿宋_GB2312" w:eastAsia="仿宋_GB2312"/>
          <w:b/>
          <w:sz w:val="32"/>
          <w:szCs w:val="32"/>
        </w:rPr>
        <w:t>第七条</w:t>
      </w:r>
      <w:r>
        <w:rPr>
          <w:rFonts w:hint="eastAsia" w:ascii="仿宋_GB2312" w:eastAsia="仿宋_GB2312"/>
          <w:sz w:val="32"/>
          <w:szCs w:val="32"/>
        </w:rPr>
        <w:t xml:space="preserve">  技能大师工作室是由具有绝招绝技的高技能人才和技能带头人依托企事业单位、行业研发中心、技工院校（职业院校）和高技能人才培养示范基地等载体领办或创办。工作室一般设在企事业单位班组、工段、实训（研发）中心等场所。申报县级技能大师工作室试点单位应具备以下条件：</w:t>
      </w:r>
    </w:p>
    <w:p>
      <w:pPr>
        <w:pStyle w:val="5"/>
        <w:shd w:val="clear" w:color="auto" w:fill="FFFFFF"/>
        <w:spacing w:before="0" w:beforeAutospacing="0" w:after="0" w:afterAutospacing="0" w:line="600" w:lineRule="exact"/>
        <w:ind w:firstLine="640" w:firstLineChars="200"/>
        <w:rPr>
          <w:rFonts w:hint="eastAsia" w:ascii="仿宋_GB2312" w:eastAsia="仿宋_GB2312"/>
          <w:sz w:val="32"/>
          <w:szCs w:val="32"/>
        </w:rPr>
      </w:pPr>
      <w:r>
        <w:rPr>
          <w:rFonts w:hint="eastAsia" w:ascii="仿宋_GB2312" w:eastAsia="仿宋_GB2312"/>
          <w:sz w:val="32"/>
          <w:szCs w:val="32"/>
        </w:rPr>
        <w:t>1.有大师</w:t>
      </w:r>
      <w:r>
        <w:rPr>
          <w:rFonts w:hint="eastAsia" w:ascii="仿宋_GB2312" w:hAnsi="Times New Roman" w:eastAsia="仿宋_GB2312" w:cs="Times New Roman"/>
          <w:color w:val="000000"/>
          <w:sz w:val="32"/>
          <w:szCs w:val="32"/>
          <w:u w:val="none" w:color="000000"/>
        </w:rPr>
        <w:t>（在我县工作，拥护党的基本路线、方针、政策，能够与以习近平同志为核心的党中央保持高度一致，遵纪守法，具有良好的职业道德和社会公德，专业素质突出，业务技能拔尖，在工作岗位表现出色，身体健康，年龄在60周岁以下并符合下列条件者：中华技能大奖、安徽技能大奖、池州技能大奖获得者，享受政府特殊津贴的首席技师，全国、全省、全市技术能手，行业、</w:t>
      </w:r>
      <w:r>
        <w:rPr>
          <w:rFonts w:hint="eastAsia" w:ascii="仿宋_GB2312" w:eastAsia="仿宋_GB2312"/>
          <w:sz w:val="32"/>
          <w:szCs w:val="32"/>
        </w:rPr>
        <w:t>省、市技术能手，行业公认有绝技绝活的高技能人才）；</w:t>
      </w:r>
    </w:p>
    <w:p>
      <w:pPr>
        <w:widowControl w:val="0"/>
        <w:snapToGrid w:val="0"/>
        <w:spacing w:line="600" w:lineRule="exact"/>
        <w:ind w:firstLine="645"/>
        <w:rPr>
          <w:rFonts w:hint="eastAsia" w:ascii="仿宋_GB2312" w:eastAsia="仿宋_GB2312"/>
          <w:sz w:val="32"/>
          <w:szCs w:val="32"/>
        </w:rPr>
      </w:pPr>
      <w:r>
        <w:rPr>
          <w:rFonts w:hint="eastAsia" w:ascii="仿宋_GB2312" w:eastAsia="仿宋_GB2312"/>
          <w:sz w:val="32"/>
          <w:szCs w:val="32"/>
        </w:rPr>
        <w:t>2.有工作室和必备的工作条件（有单独的办公室及办公条件，有进行技术革新、创造所需的设备、设施，配备了工作人员或助手，有必要的经费支持，有相应的工作制度和管理制度）；</w:t>
      </w:r>
    </w:p>
    <w:p>
      <w:pPr>
        <w:widowControl w:val="0"/>
        <w:snapToGrid w:val="0"/>
        <w:spacing w:line="600" w:lineRule="exact"/>
        <w:ind w:firstLine="645"/>
        <w:rPr>
          <w:rFonts w:hint="eastAsia" w:ascii="仿宋_GB2312" w:eastAsia="仿宋_GB2312"/>
          <w:sz w:val="32"/>
          <w:szCs w:val="32"/>
        </w:rPr>
      </w:pPr>
      <w:r>
        <w:rPr>
          <w:rFonts w:hint="eastAsia" w:ascii="仿宋_GB2312" w:eastAsia="仿宋_GB2312"/>
          <w:sz w:val="32"/>
          <w:szCs w:val="32"/>
        </w:rPr>
        <w:t>3.有项目（有企业需要解决的技术工艺难题或技改项目，这些项目交由领衔的技能大师组织完成）。</w:t>
      </w:r>
    </w:p>
    <w:p>
      <w:pPr>
        <w:widowControl w:val="0"/>
        <w:snapToGrid w:val="0"/>
        <w:spacing w:line="600" w:lineRule="exact"/>
        <w:rPr>
          <w:rFonts w:hint="eastAsia" w:ascii="仿宋_GB2312" w:eastAsia="仿宋_GB2312"/>
          <w:sz w:val="32"/>
          <w:szCs w:val="32"/>
        </w:rPr>
      </w:pPr>
      <w:r>
        <w:rPr>
          <w:rFonts w:hint="eastAsia" w:ascii="仿宋_GB2312" w:eastAsia="仿宋_GB2312"/>
          <w:b/>
          <w:sz w:val="32"/>
          <w:szCs w:val="32"/>
        </w:rPr>
        <w:t xml:space="preserve">    第八条 </w:t>
      </w:r>
      <w:r>
        <w:rPr>
          <w:rFonts w:hint="eastAsia" w:ascii="仿宋_GB2312" w:eastAsia="仿宋_GB2312"/>
          <w:sz w:val="32"/>
          <w:szCs w:val="32"/>
        </w:rPr>
        <w:t xml:space="preserve"> 鼓励企业与中高等院校合作申报建立技能大师工作室，充分发挥理论学习与技能实训有机结合的优势，为企业培养高技能人才。</w:t>
      </w:r>
    </w:p>
    <w:p>
      <w:pPr>
        <w:widowControl w:val="0"/>
        <w:snapToGrid w:val="0"/>
        <w:spacing w:before="180" w:beforeLines="75" w:after="180" w:afterLines="75" w:line="600" w:lineRule="exact"/>
        <w:jc w:val="center"/>
        <w:rPr>
          <w:rFonts w:hint="eastAsia" w:ascii="黑体" w:eastAsia="黑体"/>
          <w:sz w:val="32"/>
          <w:szCs w:val="32"/>
        </w:rPr>
      </w:pPr>
      <w:r>
        <w:rPr>
          <w:rFonts w:hint="eastAsia" w:ascii="黑体" w:eastAsia="黑体"/>
          <w:sz w:val="32"/>
          <w:szCs w:val="32"/>
        </w:rPr>
        <w:t>第四章　申报程序</w:t>
      </w:r>
    </w:p>
    <w:p>
      <w:pPr>
        <w:widowControl w:val="0"/>
        <w:snapToGrid w:val="0"/>
        <w:spacing w:line="600" w:lineRule="exact"/>
        <w:rPr>
          <w:rFonts w:hint="eastAsia" w:ascii="仿宋_GB2312" w:eastAsia="仿宋_GB2312"/>
          <w:sz w:val="32"/>
          <w:szCs w:val="32"/>
        </w:rPr>
      </w:pPr>
      <w:r>
        <w:rPr>
          <w:rFonts w:hint="eastAsia" w:ascii="仿宋_GB2312" w:eastAsia="仿宋_GB2312"/>
          <w:b/>
          <w:sz w:val="32"/>
          <w:szCs w:val="32"/>
        </w:rPr>
        <w:t xml:space="preserve">    第九条</w:t>
      </w:r>
      <w:r>
        <w:rPr>
          <w:rFonts w:hint="eastAsia" w:ascii="仿宋_GB2312" w:eastAsia="仿宋_GB2312"/>
          <w:sz w:val="32"/>
          <w:szCs w:val="32"/>
        </w:rPr>
        <w:t xml:space="preserve">  申报。技能大师工作室必须由各企事业单位和社会组织提出申请，申报材料应包括：</w:t>
      </w:r>
    </w:p>
    <w:p>
      <w:pPr>
        <w:widowControl w:val="0"/>
        <w:snapToGrid w:val="0"/>
        <w:spacing w:line="600" w:lineRule="exact"/>
        <w:rPr>
          <w:rFonts w:hint="eastAsia" w:ascii="仿宋_GB2312" w:eastAsia="仿宋_GB2312"/>
          <w:sz w:val="32"/>
          <w:szCs w:val="32"/>
        </w:rPr>
      </w:pPr>
      <w:r>
        <w:rPr>
          <w:rFonts w:hint="eastAsia" w:ascii="仿宋_GB2312" w:eastAsia="仿宋_GB2312"/>
          <w:sz w:val="32"/>
          <w:szCs w:val="32"/>
        </w:rPr>
        <w:t xml:space="preserve">    1.《东至县技能大师工作室申报表》；</w:t>
      </w:r>
    </w:p>
    <w:p>
      <w:pPr>
        <w:widowControl w:val="0"/>
        <w:snapToGrid w:val="0"/>
        <w:spacing w:line="600" w:lineRule="exact"/>
        <w:rPr>
          <w:rFonts w:hint="eastAsia" w:ascii="仿宋_GB2312" w:eastAsia="仿宋_GB2312"/>
          <w:sz w:val="32"/>
          <w:szCs w:val="32"/>
        </w:rPr>
      </w:pPr>
      <w:r>
        <w:rPr>
          <w:rFonts w:hint="eastAsia" w:ascii="仿宋_GB2312" w:eastAsia="仿宋_GB2312"/>
          <w:sz w:val="32"/>
          <w:szCs w:val="32"/>
        </w:rPr>
        <w:t xml:space="preserve">    2.申办报告，内容包括申报工作室名称（可以技能大师个人命名，名称为“领衔人姓名+职业(工种)+技能大师工作室”；也可以企业命名，作为企业多位技能大师发挥作用的平台，名称为“企业+技能大师工作室”）、领衔人和工作室成员简介、工作室基本条件、单位对工作室的支持措施以及工作室建立后的工作开展计划、主要工作方向等；</w:t>
      </w:r>
    </w:p>
    <w:p>
      <w:pPr>
        <w:widowControl w:val="0"/>
        <w:snapToGrid w:val="0"/>
        <w:spacing w:line="600" w:lineRule="exact"/>
        <w:ind w:firstLine="623"/>
        <w:rPr>
          <w:rFonts w:hint="eastAsia" w:ascii="仿宋_GB2312" w:eastAsia="仿宋_GB2312"/>
          <w:sz w:val="32"/>
          <w:szCs w:val="32"/>
        </w:rPr>
      </w:pPr>
      <w:r>
        <w:rPr>
          <w:rFonts w:hint="eastAsia" w:ascii="仿宋_GB2312" w:eastAsia="仿宋_GB2312"/>
          <w:sz w:val="32"/>
          <w:szCs w:val="32"/>
        </w:rPr>
        <w:t>3.技能大师工作室的领衔人和成员的身份证、职业资格证书、学历证书复印件；</w:t>
      </w:r>
    </w:p>
    <w:p>
      <w:pPr>
        <w:widowControl w:val="0"/>
        <w:snapToGrid w:val="0"/>
        <w:spacing w:line="600" w:lineRule="exact"/>
        <w:rPr>
          <w:rFonts w:hint="eastAsia" w:ascii="仿宋_GB2312" w:eastAsia="仿宋_GB2312"/>
          <w:sz w:val="32"/>
          <w:szCs w:val="32"/>
        </w:rPr>
      </w:pPr>
      <w:r>
        <w:rPr>
          <w:rFonts w:hint="eastAsia" w:ascii="仿宋_GB2312" w:eastAsia="仿宋_GB2312"/>
          <w:sz w:val="32"/>
          <w:szCs w:val="32"/>
        </w:rPr>
        <w:t xml:space="preserve">    4.申办单位的营业执照（或法人登记证书）复印件；</w:t>
      </w:r>
    </w:p>
    <w:p>
      <w:pPr>
        <w:widowControl w:val="0"/>
        <w:snapToGrid w:val="0"/>
        <w:spacing w:line="600" w:lineRule="exact"/>
        <w:rPr>
          <w:rFonts w:hint="eastAsia" w:ascii="仿宋_GB2312" w:eastAsia="仿宋_GB2312"/>
          <w:sz w:val="32"/>
          <w:szCs w:val="32"/>
        </w:rPr>
      </w:pPr>
      <w:r>
        <w:rPr>
          <w:rFonts w:hint="eastAsia" w:ascii="仿宋_GB2312" w:eastAsia="仿宋_GB2312"/>
          <w:sz w:val="32"/>
          <w:szCs w:val="32"/>
        </w:rPr>
        <w:t xml:space="preserve">    5.相关证明材料，包括县级及以上获奖证书和技术认定、出版物、新闻媒体报道、技术创新、有关单位的证明等。</w:t>
      </w:r>
    </w:p>
    <w:p>
      <w:pPr>
        <w:widowControl w:val="0"/>
        <w:snapToGrid w:val="0"/>
        <w:spacing w:line="600" w:lineRule="exact"/>
        <w:rPr>
          <w:rFonts w:hint="eastAsia" w:ascii="仿宋_GB2312" w:eastAsia="仿宋_GB2312"/>
          <w:sz w:val="32"/>
          <w:szCs w:val="32"/>
        </w:rPr>
      </w:pPr>
      <w:r>
        <w:rPr>
          <w:rFonts w:hint="eastAsia" w:ascii="仿宋_GB2312" w:eastAsia="仿宋_GB2312"/>
          <w:b/>
          <w:sz w:val="32"/>
          <w:szCs w:val="32"/>
        </w:rPr>
        <w:t xml:space="preserve">    第十条</w:t>
      </w:r>
      <w:r>
        <w:rPr>
          <w:rFonts w:hint="eastAsia" w:ascii="仿宋_GB2312" w:eastAsia="仿宋_GB2312"/>
          <w:sz w:val="32"/>
          <w:szCs w:val="32"/>
        </w:rPr>
        <w:t xml:space="preserve">  评审。由县人力资源和社会保障局牵头，设立县级技能大师工作室评审小组，评审小组由县人力资源和社会保障局、县财政局、县人才办等部门负责人组成，对申请设立县级技能大师工作室单位进行评审，确定技能大师工作室名单。</w:t>
      </w:r>
    </w:p>
    <w:p>
      <w:pPr>
        <w:widowControl w:val="0"/>
        <w:snapToGrid w:val="0"/>
        <w:spacing w:line="600" w:lineRule="exact"/>
        <w:rPr>
          <w:rFonts w:hint="eastAsia" w:ascii="仿宋_GB2312" w:eastAsia="仿宋_GB2312"/>
          <w:sz w:val="32"/>
          <w:szCs w:val="32"/>
        </w:rPr>
      </w:pPr>
      <w:r>
        <w:rPr>
          <w:rFonts w:hint="eastAsia" w:ascii="仿宋_GB2312" w:eastAsia="仿宋_GB2312"/>
          <w:b/>
          <w:sz w:val="32"/>
          <w:szCs w:val="32"/>
        </w:rPr>
        <w:t xml:space="preserve">    第十一条</w:t>
      </w:r>
      <w:r>
        <w:rPr>
          <w:rFonts w:hint="eastAsia" w:ascii="仿宋_GB2312" w:eastAsia="仿宋_GB2312"/>
          <w:sz w:val="32"/>
          <w:szCs w:val="32"/>
        </w:rPr>
        <w:t xml:space="preserve">  审批命名。确定的县级技能大师工作室名单经公示无异议，由县人力资源和社会保障局发文命名，并授予牌匾。</w:t>
      </w:r>
    </w:p>
    <w:p>
      <w:pPr>
        <w:widowControl w:val="0"/>
        <w:snapToGrid w:val="0"/>
        <w:spacing w:before="180" w:beforeLines="75" w:after="180" w:afterLines="75" w:line="600" w:lineRule="exact"/>
        <w:jc w:val="center"/>
        <w:rPr>
          <w:rFonts w:hint="eastAsia" w:ascii="黑体" w:eastAsia="黑体"/>
          <w:sz w:val="32"/>
          <w:szCs w:val="32"/>
        </w:rPr>
      </w:pPr>
      <w:r>
        <w:rPr>
          <w:rFonts w:hint="eastAsia" w:ascii="黑体" w:eastAsia="黑体"/>
          <w:sz w:val="32"/>
          <w:szCs w:val="32"/>
        </w:rPr>
        <w:t>第五章  　经费支持</w:t>
      </w:r>
    </w:p>
    <w:p>
      <w:pPr>
        <w:widowControl w:val="0"/>
        <w:snapToGrid w:val="0"/>
        <w:spacing w:line="600" w:lineRule="exact"/>
        <w:rPr>
          <w:rFonts w:hint="eastAsia" w:ascii="仿宋_GB2312" w:eastAsia="仿宋_GB2312"/>
          <w:sz w:val="32"/>
          <w:szCs w:val="32"/>
        </w:rPr>
      </w:pPr>
      <w:r>
        <w:rPr>
          <w:rFonts w:hint="eastAsia" w:ascii="仿宋_GB2312" w:eastAsia="仿宋_GB2312"/>
          <w:b/>
          <w:sz w:val="32"/>
          <w:szCs w:val="32"/>
        </w:rPr>
        <w:t xml:space="preserve">    第十二条</w:t>
      </w:r>
      <w:r>
        <w:rPr>
          <w:rFonts w:hint="eastAsia" w:ascii="仿宋_GB2312" w:eastAsia="仿宋_GB2312"/>
          <w:sz w:val="32"/>
          <w:szCs w:val="32"/>
        </w:rPr>
        <w:t xml:space="preserve">  技能大师工作室经费原则上由所在单位负担。被确定为县级技能大师工作室的，由县财政从就业专项资金结余中拨给3万元工作启动经费，以后每年根据工作目标完成考核情况，按每新培养1名高级工1000元、技师2000元、高级技师3000元的标准给予工作补助经费。工作室所在单位须参照补助经费按不低于1:1的比例标准提供资金配套。经费主要用于工作室技能人才培训、技能交流推广、技术技能创新研发、领衔人带徒津贴等。</w:t>
      </w:r>
    </w:p>
    <w:p>
      <w:pPr>
        <w:widowControl w:val="0"/>
        <w:snapToGrid w:val="0"/>
        <w:spacing w:before="180" w:beforeLines="75" w:after="180" w:afterLines="75" w:line="600" w:lineRule="exact"/>
        <w:jc w:val="center"/>
        <w:rPr>
          <w:rFonts w:hint="eastAsia" w:ascii="黑体" w:eastAsia="黑体"/>
          <w:sz w:val="32"/>
          <w:szCs w:val="32"/>
        </w:rPr>
      </w:pPr>
      <w:r>
        <w:rPr>
          <w:rFonts w:hint="eastAsia" w:ascii="黑体" w:eastAsia="黑体"/>
          <w:sz w:val="32"/>
          <w:szCs w:val="32"/>
        </w:rPr>
        <w:t>第六章   监督管理</w:t>
      </w:r>
    </w:p>
    <w:p>
      <w:pPr>
        <w:widowControl w:val="0"/>
        <w:snapToGrid w:val="0"/>
        <w:spacing w:line="600" w:lineRule="exact"/>
        <w:rPr>
          <w:rFonts w:hint="eastAsia" w:ascii="仿宋_GB2312" w:eastAsia="仿宋_GB2312"/>
          <w:sz w:val="32"/>
          <w:szCs w:val="32"/>
        </w:rPr>
      </w:pPr>
      <w:r>
        <w:rPr>
          <w:rFonts w:hint="eastAsia" w:ascii="仿宋_GB2312" w:eastAsia="仿宋_GB2312"/>
          <w:b/>
          <w:sz w:val="32"/>
          <w:szCs w:val="32"/>
        </w:rPr>
        <w:t xml:space="preserve">    第十三条</w:t>
      </w:r>
      <w:r>
        <w:rPr>
          <w:rFonts w:hint="eastAsia" w:ascii="仿宋_GB2312" w:eastAsia="仿宋_GB2312"/>
          <w:sz w:val="32"/>
          <w:szCs w:val="32"/>
        </w:rPr>
        <w:t xml:space="preserve">  县级技能大师工作室建设工作在县人才工作领导小组领导下，由县人力资源和社会保障局牵头负责申报受理、组织评审、监督检查、年度考核评估等工作。</w:t>
      </w:r>
    </w:p>
    <w:p>
      <w:pPr>
        <w:widowControl w:val="0"/>
        <w:snapToGrid w:val="0"/>
        <w:spacing w:line="600" w:lineRule="exact"/>
        <w:rPr>
          <w:rFonts w:hint="eastAsia" w:ascii="仿宋_GB2312" w:eastAsia="仿宋_GB2312"/>
          <w:sz w:val="32"/>
          <w:szCs w:val="32"/>
        </w:rPr>
      </w:pPr>
      <w:r>
        <w:rPr>
          <w:rFonts w:hint="eastAsia" w:ascii="仿宋_GB2312" w:eastAsia="仿宋_GB2312"/>
          <w:b/>
          <w:sz w:val="32"/>
          <w:szCs w:val="32"/>
        </w:rPr>
        <w:t xml:space="preserve">    第十四条</w:t>
      </w:r>
      <w:r>
        <w:rPr>
          <w:rFonts w:hint="eastAsia" w:ascii="仿宋_GB2312" w:eastAsia="仿宋_GB2312"/>
          <w:sz w:val="32"/>
          <w:szCs w:val="32"/>
        </w:rPr>
        <w:t xml:space="preserve">  县人社、财政、人才部门以及行业主管部门要高度重视技能大师工作室建设工作，加强业务指导和日常管理，对技能大师工作室开展项目研发、技术革新、成果转化、传艺带徒等工作给予指导。积极探索加快培养高技能人才的新途径、新办法，及时总结、推广技能大师工作室在实践中积累的成功经验和做法。</w:t>
      </w:r>
    </w:p>
    <w:p>
      <w:pPr>
        <w:widowControl w:val="0"/>
        <w:snapToGrid w:val="0"/>
        <w:spacing w:line="600" w:lineRule="exact"/>
        <w:ind w:firstLine="648"/>
        <w:rPr>
          <w:rFonts w:hint="eastAsia" w:ascii="仿宋_GB2312" w:eastAsia="仿宋_GB2312"/>
          <w:sz w:val="32"/>
          <w:szCs w:val="32"/>
        </w:rPr>
      </w:pPr>
      <w:r>
        <w:rPr>
          <w:rFonts w:hint="eastAsia" w:ascii="仿宋_GB2312" w:eastAsia="仿宋_GB2312"/>
          <w:b/>
          <w:sz w:val="32"/>
          <w:szCs w:val="32"/>
        </w:rPr>
        <w:t>第十五条</w:t>
      </w:r>
      <w:r>
        <w:rPr>
          <w:rFonts w:hint="eastAsia" w:ascii="仿宋_GB2312" w:eastAsia="仿宋_GB2312"/>
          <w:sz w:val="32"/>
          <w:szCs w:val="32"/>
        </w:rPr>
        <w:t xml:space="preserve">  技能大师工作室应按既定制度及工作任务，定期开展活动；对技能大师工作室工作补助资金实行专款专用，确保资金发挥作用。技能大师工作室所在单位要与技能大师工作室领衔人签订年度目标任务责任书，并做好平时考核工作。</w:t>
      </w:r>
    </w:p>
    <w:p>
      <w:pPr>
        <w:adjustRightInd w:val="0"/>
        <w:spacing w:line="600" w:lineRule="exact"/>
        <w:ind w:firstLine="643" w:firstLineChars="200"/>
        <w:jc w:val="left"/>
        <w:rPr>
          <w:rFonts w:hint="eastAsia" w:ascii="仿宋_GB2312" w:hAnsi="宋体" w:eastAsia="仿宋_GB2312" w:cs="宋体"/>
          <w:sz w:val="32"/>
          <w:szCs w:val="32"/>
        </w:rPr>
      </w:pPr>
      <w:r>
        <w:rPr>
          <w:rFonts w:hint="eastAsia" w:ascii="仿宋_GB2312" w:eastAsia="仿宋_GB2312"/>
          <w:b/>
          <w:sz w:val="32"/>
          <w:szCs w:val="32"/>
        </w:rPr>
        <w:t>第十六条</w:t>
      </w:r>
      <w:r>
        <w:rPr>
          <w:rFonts w:hint="eastAsia" w:ascii="仿宋_GB2312" w:hAnsi="宋体" w:eastAsia="仿宋_GB2312" w:cs="宋体"/>
          <w:sz w:val="32"/>
          <w:szCs w:val="32"/>
        </w:rPr>
        <w:t xml:space="preserve">  建立带头人调整制度。县级技能大师工作室主要带头人因退休、离职、转岗等原因离开本单位、本岗位，如本单位有符合条件的大师，报经县人力资源和社会保障局、财政局、县人才办审核同意，由县人力资源和社会保障局换发牌匾。以中华技能大奖获得者命名的县级技能大师工作室，命名大师在本单位退休后牌匾可继续保留，以发挥国家杰出高技能人才的品牌效应。</w:t>
      </w:r>
    </w:p>
    <w:p>
      <w:pPr>
        <w:adjustRightInd w:val="0"/>
        <w:spacing w:line="600" w:lineRule="exact"/>
        <w:ind w:firstLine="643" w:firstLineChars="200"/>
        <w:jc w:val="left"/>
        <w:rPr>
          <w:rFonts w:hint="eastAsia" w:ascii="仿宋_GB2312" w:hAnsi="宋体" w:eastAsia="仿宋_GB2312" w:cs="宋体"/>
          <w:sz w:val="32"/>
          <w:szCs w:val="32"/>
        </w:rPr>
      </w:pPr>
      <w:r>
        <w:rPr>
          <w:rFonts w:hint="eastAsia" w:ascii="仿宋_GB2312" w:eastAsia="仿宋_GB2312"/>
          <w:b/>
          <w:sz w:val="32"/>
          <w:szCs w:val="32"/>
        </w:rPr>
        <w:t>第十七条</w:t>
      </w:r>
      <w:r>
        <w:rPr>
          <w:rFonts w:hint="eastAsia" w:ascii="仿宋_GB2312" w:hAnsi="宋体" w:eastAsia="仿宋_GB2312" w:cs="宋体"/>
          <w:sz w:val="32"/>
          <w:szCs w:val="32"/>
        </w:rPr>
        <w:t xml:space="preserve">  建立退出制度。自然退出或被强制退出的县级技能大师工作室，由县人力资源和社会保障局发文注（撤）销，县人力资源和社会保障局具体负责摘牌。</w:t>
      </w:r>
      <w:bookmarkStart w:id="0" w:name="_GoBack"/>
      <w:bookmarkEnd w:id="0"/>
    </w:p>
    <w:p>
      <w:pPr>
        <w:adjustRightInd w:val="0"/>
        <w:spacing w:line="600" w:lineRule="exact"/>
        <w:ind w:firstLine="643" w:firstLineChars="200"/>
        <w:jc w:val="left"/>
        <w:rPr>
          <w:rFonts w:hint="eastAsia" w:ascii="仿宋_GB2312" w:hAnsi="宋体" w:eastAsia="仿宋_GB2312" w:cs="宋体"/>
          <w:sz w:val="32"/>
          <w:szCs w:val="32"/>
        </w:rPr>
      </w:pPr>
      <w:r>
        <w:rPr>
          <w:rFonts w:hint="eastAsia" w:ascii="仿宋_GB2312" w:hAnsi="宋体" w:eastAsia="仿宋_GB2312" w:cs="宋体"/>
          <w:b/>
          <w:sz w:val="32"/>
          <w:szCs w:val="32"/>
        </w:rPr>
        <w:t>1.自然退出。</w:t>
      </w:r>
      <w:r>
        <w:rPr>
          <w:rFonts w:hint="eastAsia" w:ascii="仿宋_GB2312" w:hAnsi="宋体" w:eastAsia="仿宋_GB2312" w:cs="宋体"/>
          <w:sz w:val="32"/>
          <w:szCs w:val="32"/>
        </w:rPr>
        <w:t>技能大师工作室所在单位依法破产、倒闭、机构设置调整等情形终止法人资格，丧失生产经营资质及能力或不再继续履行职能的；技能大师工作室主要带头人因退休、离职、转岗、死亡等原因离开本单位、本岗位，不适合存续的；技能大师工作室所在单位自主申请要求注销的。</w:t>
      </w:r>
    </w:p>
    <w:p>
      <w:pPr>
        <w:spacing w:line="600" w:lineRule="exact"/>
        <w:ind w:firstLine="643" w:firstLineChars="200"/>
        <w:rPr>
          <w:rFonts w:hint="eastAsia" w:ascii="仿宋_GB2312" w:eastAsia="仿宋_GB2312"/>
          <w:sz w:val="32"/>
          <w:szCs w:val="32"/>
        </w:rPr>
      </w:pPr>
      <w:r>
        <w:rPr>
          <w:rFonts w:hint="eastAsia" w:ascii="仿宋_GB2312" w:hAnsi="宋体" w:eastAsia="仿宋_GB2312" w:cs="宋体"/>
          <w:b/>
          <w:sz w:val="32"/>
          <w:szCs w:val="32"/>
        </w:rPr>
        <w:t>2.强制退出。</w:t>
      </w:r>
      <w:r>
        <w:rPr>
          <w:rFonts w:hint="eastAsia" w:ascii="仿宋_GB2312" w:hAnsi="宋体" w:eastAsia="仿宋_GB2312" w:cs="宋体"/>
          <w:sz w:val="32"/>
          <w:szCs w:val="32"/>
        </w:rPr>
        <w:t>技能大师工作室所在单位违反社会主义市场经济有关法律法规被依法吊销营业执照、撤销法人资格，或因政府宏观政策被依法无限期关停的；技能大师工作室未按相关财经制度规定使用管理财政补助资金，造成严重后果或恶劣社会影响的；技能大师工作室经考核评估不合格，限期整改仍不达标的；在县级技能大师工作室申报</w:t>
      </w:r>
      <w:r>
        <w:rPr>
          <w:rFonts w:hint="eastAsia" w:ascii="仿宋_GB2312" w:eastAsia="仿宋_GB2312"/>
          <w:sz w:val="32"/>
          <w:szCs w:val="32"/>
        </w:rPr>
        <w:t>认定、工作成果申报评鉴中弄虚作假，情节严重的；技能大师工作室带头人有下列情形之一的应由所在单位及时向县人力资源和社会保障局报告，由县人力资源和社会保障局会同县人才办、县财政局执行强制退出制度或更换其它符合条件带头人：</w:t>
      </w:r>
    </w:p>
    <w:p>
      <w:pPr>
        <w:pStyle w:val="5"/>
        <w:shd w:val="clear" w:color="auto" w:fill="FFFFFF"/>
        <w:spacing w:before="0" w:beforeAutospacing="0" w:after="0" w:afterAutospacing="0" w:line="600" w:lineRule="exact"/>
        <w:ind w:firstLine="480"/>
        <w:rPr>
          <w:rFonts w:hint="eastAsia" w:ascii="仿宋_GB2312" w:hAnsi="Times New Roman" w:eastAsia="仿宋_GB2312" w:cs="Times New Roman"/>
          <w:color w:val="000000"/>
          <w:sz w:val="32"/>
          <w:szCs w:val="32"/>
          <w:u w:val="none" w:color="000000"/>
        </w:rPr>
      </w:pPr>
      <w:r>
        <w:rPr>
          <w:rFonts w:hint="eastAsia" w:ascii="仿宋_GB2312" w:hAnsi="Times New Roman" w:eastAsia="仿宋_GB2312" w:cs="Times New Roman"/>
          <w:color w:val="000000"/>
          <w:sz w:val="32"/>
          <w:szCs w:val="32"/>
          <w:u w:val="none" w:color="000000"/>
        </w:rPr>
        <w:t>（1）近五年以来有违法违纪行为，在纪检监察、计生、社会治安综合治理等方面受过组织处理或党纪政纪处分的。</w:t>
      </w:r>
    </w:p>
    <w:p>
      <w:pPr>
        <w:pStyle w:val="5"/>
        <w:shd w:val="clear" w:color="auto" w:fill="FFFFFF"/>
        <w:spacing w:before="0" w:beforeAutospacing="0" w:after="0" w:afterAutospacing="0" w:line="600" w:lineRule="exact"/>
        <w:ind w:firstLine="480"/>
        <w:rPr>
          <w:rFonts w:hint="eastAsia" w:ascii="仿宋_GB2312" w:hAnsi="Times New Roman" w:eastAsia="仿宋_GB2312" w:cs="Times New Roman"/>
          <w:color w:val="000000"/>
          <w:sz w:val="32"/>
          <w:szCs w:val="32"/>
          <w:u w:val="none" w:color="000000"/>
        </w:rPr>
      </w:pPr>
      <w:r>
        <w:rPr>
          <w:rFonts w:hint="eastAsia" w:ascii="仿宋_GB2312" w:hAnsi="Times New Roman" w:eastAsia="仿宋_GB2312" w:cs="Times New Roman"/>
          <w:color w:val="000000"/>
          <w:sz w:val="32"/>
          <w:szCs w:val="32"/>
          <w:u w:val="none" w:color="000000"/>
        </w:rPr>
        <w:t>（2）职业道德低下，有不廉洁、不诚信行为的。</w:t>
      </w:r>
    </w:p>
    <w:p>
      <w:pPr>
        <w:pStyle w:val="5"/>
        <w:shd w:val="clear" w:color="auto" w:fill="FFFFFF"/>
        <w:spacing w:before="0" w:beforeAutospacing="0" w:after="0" w:afterAutospacing="0" w:line="600" w:lineRule="exact"/>
        <w:ind w:firstLine="480"/>
        <w:rPr>
          <w:rFonts w:hint="eastAsia" w:ascii="仿宋_GB2312" w:hAnsi="Times New Roman" w:eastAsia="仿宋_GB2312" w:cs="Times New Roman"/>
          <w:color w:val="000000"/>
          <w:sz w:val="32"/>
          <w:szCs w:val="32"/>
          <w:u w:val="none" w:color="000000"/>
        </w:rPr>
      </w:pPr>
      <w:r>
        <w:rPr>
          <w:rFonts w:hint="eastAsia" w:ascii="仿宋_GB2312" w:hAnsi="Times New Roman" w:eastAsia="仿宋_GB2312" w:cs="Times New Roman"/>
          <w:color w:val="000000"/>
          <w:sz w:val="32"/>
          <w:szCs w:val="32"/>
          <w:u w:val="none" w:color="000000"/>
        </w:rPr>
        <w:t>（3）正在接受纪检、司法机关等相关单位调查的。</w:t>
      </w:r>
    </w:p>
    <w:p>
      <w:pPr>
        <w:pStyle w:val="5"/>
        <w:shd w:val="clear" w:color="auto" w:fill="FFFFFF"/>
        <w:spacing w:before="0" w:beforeAutospacing="0" w:after="0" w:afterAutospacing="0" w:line="600" w:lineRule="exact"/>
        <w:ind w:firstLine="480"/>
        <w:rPr>
          <w:rFonts w:hint="eastAsia" w:ascii="仿宋_GB2312" w:hAnsi="Times New Roman" w:eastAsia="仿宋_GB2312" w:cs="Times New Roman"/>
          <w:color w:val="000000"/>
          <w:sz w:val="32"/>
          <w:szCs w:val="32"/>
          <w:u w:val="none" w:color="000000"/>
        </w:rPr>
      </w:pPr>
      <w:r>
        <w:rPr>
          <w:rFonts w:hint="eastAsia" w:ascii="仿宋_GB2312" w:hAnsi="Times New Roman" w:eastAsia="仿宋_GB2312" w:cs="Times New Roman"/>
          <w:color w:val="000000"/>
          <w:sz w:val="32"/>
          <w:szCs w:val="32"/>
          <w:u w:val="none" w:color="000000"/>
        </w:rPr>
        <w:t>（4）参加或组织他人参加非法组织或活动，恶意造谣、散播反动言论的。</w:t>
      </w:r>
    </w:p>
    <w:p>
      <w:pPr>
        <w:adjustRightInd w:val="0"/>
        <w:spacing w:line="600" w:lineRule="exact"/>
        <w:ind w:firstLine="640" w:firstLineChars="200"/>
        <w:jc w:val="left"/>
        <w:rPr>
          <w:rFonts w:hint="eastAsia" w:ascii="仿宋_GB2312" w:eastAsia="仿宋_GB2312"/>
          <w:sz w:val="32"/>
          <w:szCs w:val="32"/>
        </w:rPr>
      </w:pPr>
      <w:r>
        <w:rPr>
          <w:rFonts w:hint="eastAsia" w:ascii="仿宋_GB2312" w:eastAsia="仿宋_GB2312"/>
          <w:sz w:val="32"/>
          <w:szCs w:val="32"/>
        </w:rPr>
        <w:t>（5）有其他劣迹行为，产生不良影响的。</w:t>
      </w:r>
    </w:p>
    <w:p>
      <w:pPr>
        <w:widowControl w:val="0"/>
        <w:snapToGrid w:val="0"/>
        <w:spacing w:line="600" w:lineRule="exact"/>
        <w:ind w:firstLine="648"/>
        <w:rPr>
          <w:rFonts w:hint="eastAsia" w:ascii="仿宋_GB2312" w:eastAsia="仿宋_GB2312"/>
          <w:sz w:val="32"/>
          <w:szCs w:val="32"/>
        </w:rPr>
      </w:pPr>
      <w:r>
        <w:rPr>
          <w:rFonts w:hint="eastAsia" w:ascii="仿宋_GB2312" w:eastAsia="仿宋_GB2312"/>
          <w:b/>
          <w:sz w:val="32"/>
          <w:szCs w:val="32"/>
        </w:rPr>
        <w:t>第十八条</w:t>
      </w:r>
      <w:r>
        <w:rPr>
          <w:rFonts w:hint="eastAsia" w:ascii="仿宋_GB2312" w:hAnsi="宋体" w:eastAsia="仿宋_GB2312" w:cs="宋体"/>
          <w:sz w:val="32"/>
          <w:szCs w:val="32"/>
        </w:rPr>
        <w:t xml:space="preserve">  实行重大事项报告制度。技能大师工作室在技术革新、人才培养方面取得重大成果和进展，或技能大师工作室带头人出现重大变化的，应及时向所在县人力资源和社会保障局、财政局报告。</w:t>
      </w:r>
    </w:p>
    <w:p>
      <w:pPr>
        <w:widowControl w:val="0"/>
        <w:snapToGrid w:val="0"/>
        <w:spacing w:line="600" w:lineRule="exact"/>
        <w:ind w:firstLine="643" w:firstLineChars="200"/>
        <w:rPr>
          <w:rFonts w:hint="eastAsia" w:ascii="仿宋_GB2312" w:eastAsia="仿宋_GB2312"/>
          <w:sz w:val="32"/>
          <w:szCs w:val="32"/>
        </w:rPr>
      </w:pPr>
      <w:r>
        <w:rPr>
          <w:rFonts w:hint="eastAsia" w:ascii="仿宋_GB2312" w:eastAsia="仿宋_GB2312"/>
          <w:b/>
          <w:sz w:val="32"/>
          <w:szCs w:val="32"/>
        </w:rPr>
        <w:t>第十九条</w:t>
      </w:r>
      <w:r>
        <w:rPr>
          <w:rFonts w:hint="eastAsia" w:ascii="仿宋_GB2312" w:eastAsia="仿宋_GB2312"/>
          <w:sz w:val="32"/>
          <w:szCs w:val="32"/>
        </w:rPr>
        <w:t xml:space="preserve">  每年12月上旬，县级技能大师工作室所在单位向县人力资源和社会保障局报告全年工作总结以及下一年度工作计划，由县人力资源和社会保障局进行年度考核。考核结果分为优秀、合格和不合格三个等级。年度考核认定 “不合格”的，限期整改，整改后仍不合格的，将撤销工作室称号，收回牌匾；期满考核为“合格”以上者将进入下一周期的工作室管理。</w:t>
      </w:r>
    </w:p>
    <w:p>
      <w:pPr>
        <w:widowControl w:val="0"/>
        <w:snapToGrid w:val="0"/>
        <w:spacing w:line="600" w:lineRule="exact"/>
        <w:ind w:firstLine="648"/>
        <w:rPr>
          <w:rFonts w:hint="eastAsia" w:ascii="仿宋_GB2312" w:eastAsia="仿宋_GB2312"/>
          <w:sz w:val="32"/>
          <w:szCs w:val="32"/>
        </w:rPr>
      </w:pPr>
      <w:r>
        <w:rPr>
          <w:rFonts w:hint="eastAsia" w:ascii="仿宋_GB2312" w:eastAsia="仿宋_GB2312"/>
          <w:b/>
          <w:sz w:val="32"/>
          <w:szCs w:val="32"/>
        </w:rPr>
        <w:t>第二十条</w:t>
      </w:r>
      <w:r>
        <w:rPr>
          <w:rFonts w:hint="eastAsia" w:ascii="仿宋_GB2312" w:eastAsia="仿宋_GB2312"/>
          <w:sz w:val="32"/>
          <w:szCs w:val="32"/>
        </w:rPr>
        <w:t xml:space="preserve">  发现弄虚作假或谎报成果的，经查明属实，撤销工作室称号，追回补助资金，今后不得参加此项申报。对相关责任人员，提请有关部门予以处理。</w:t>
      </w:r>
    </w:p>
    <w:p>
      <w:pPr>
        <w:widowControl w:val="0"/>
        <w:snapToGrid w:val="0"/>
        <w:spacing w:before="180" w:beforeLines="75" w:after="180" w:afterLines="75" w:line="600" w:lineRule="exact"/>
        <w:jc w:val="center"/>
        <w:rPr>
          <w:rFonts w:hint="eastAsia" w:ascii="黑体" w:eastAsia="黑体"/>
          <w:sz w:val="32"/>
          <w:szCs w:val="32"/>
        </w:rPr>
      </w:pPr>
      <w:r>
        <w:rPr>
          <w:rFonts w:hint="eastAsia" w:ascii="黑体" w:eastAsia="黑体"/>
          <w:sz w:val="32"/>
          <w:szCs w:val="32"/>
        </w:rPr>
        <w:t>第七章　附　则</w:t>
      </w:r>
    </w:p>
    <w:p>
      <w:pPr>
        <w:widowControl w:val="0"/>
        <w:snapToGrid w:val="0"/>
        <w:spacing w:line="600" w:lineRule="exact"/>
        <w:rPr>
          <w:rFonts w:hint="eastAsia" w:ascii="仿宋_GB2312" w:eastAsia="仿宋_GB2312"/>
          <w:sz w:val="32"/>
          <w:szCs w:val="32"/>
        </w:rPr>
      </w:pPr>
      <w:r>
        <w:rPr>
          <w:rFonts w:hint="eastAsia" w:ascii="仿宋_GB2312" w:eastAsia="仿宋_GB2312"/>
          <w:b/>
          <w:sz w:val="32"/>
          <w:szCs w:val="32"/>
        </w:rPr>
        <w:t xml:space="preserve">    第二十一条 </w:t>
      </w:r>
      <w:r>
        <w:rPr>
          <w:rFonts w:hint="eastAsia" w:ascii="仿宋_GB2312" w:eastAsia="仿宋_GB2312"/>
          <w:sz w:val="32"/>
          <w:szCs w:val="32"/>
        </w:rPr>
        <w:t xml:space="preserve"> 本办法由县人力资源和社会保障局会同县财政局、县人才办负责解释。</w:t>
      </w:r>
    </w:p>
    <w:p>
      <w:pPr>
        <w:widowControl w:val="0"/>
        <w:snapToGrid w:val="0"/>
        <w:spacing w:line="600" w:lineRule="exact"/>
        <w:ind w:firstLine="645"/>
        <w:rPr>
          <w:rFonts w:hint="eastAsia" w:ascii="仿宋_GB2312" w:eastAsia="仿宋_GB2312"/>
          <w:sz w:val="32"/>
          <w:szCs w:val="32"/>
        </w:rPr>
      </w:pPr>
      <w:r>
        <w:rPr>
          <w:rFonts w:hint="eastAsia" w:ascii="仿宋_GB2312" w:eastAsia="仿宋_GB2312"/>
          <w:b/>
          <w:sz w:val="32"/>
          <w:szCs w:val="32"/>
        </w:rPr>
        <w:t>第二十二条</w:t>
      </w:r>
      <w:r>
        <w:rPr>
          <w:rFonts w:hint="eastAsia" w:ascii="仿宋_GB2312" w:eastAsia="仿宋_GB2312"/>
          <w:sz w:val="32"/>
          <w:szCs w:val="32"/>
        </w:rPr>
        <w:t xml:space="preserve">  本办法自发布之日起施行。</w:t>
      </w:r>
    </w:p>
    <w:p>
      <w:pPr>
        <w:widowControl w:val="0"/>
        <w:snapToGrid w:val="0"/>
        <w:spacing w:line="600" w:lineRule="exact"/>
        <w:ind w:firstLine="645"/>
        <w:rPr>
          <w:rFonts w:hint="eastAsia" w:ascii="仿宋_GB2312" w:eastAsia="仿宋_GB2312"/>
          <w:sz w:val="32"/>
          <w:szCs w:val="32"/>
        </w:rPr>
      </w:pPr>
    </w:p>
    <w:sectPr>
      <w:pgSz w:w="11905" w:h="16837"/>
      <w:pgMar w:top="1418" w:right="1701" w:bottom="1418" w:left="1701" w:header="567" w:footer="964" w:gutter="0"/>
      <w:pgNumType w:fmt="numberInDash" w:start="1"/>
      <w:cols w:space="368"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altName w:val="仿宋_GB2312"/>
    <w:panose1 w:val="03000509000000000000"/>
    <w:charset w:val="86"/>
    <w:family w:val="script"/>
    <w:pitch w:val="default"/>
    <w:sig w:usb0="00000000" w:usb1="080E0000" w:usb2="00000010" w:usb3="00000000" w:csb0="00040000" w:csb1="00000000"/>
  </w:font>
  <w:font w:name="仿宋_GB2312">
    <w:panose1 w:val="02010609030101010101"/>
    <w:charset w:val="86"/>
    <w:family w:val="auto"/>
    <w:pitch w:val="default"/>
    <w:sig w:usb0="00000001" w:usb1="080E0000" w:usb2="00000000" w:usb3="00000000" w:csb0="00040000" w:csb1="00000000"/>
  </w:font>
  <w:font w:name="新宋体">
    <w:panose1 w:val="02010609030101010101"/>
    <w:charset w:val="86"/>
    <w:family w:val="modern"/>
    <w:pitch w:val="default"/>
    <w:sig w:usb0="00000003" w:usb1="288F0000" w:usb2="00000006" w:usb3="00000000" w:csb0="00040001" w:csb1="00000000"/>
  </w:font>
  <w:font w:name="方正大标宋简体">
    <w:altName w:val="微软雅黑"/>
    <w:panose1 w:val="02010601030101010101"/>
    <w:charset w:val="86"/>
    <w:family w:val="auto"/>
    <w:pitch w:val="default"/>
    <w:sig w:usb0="00000000"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楷体_GB2312">
    <w:altName w:val="楷体"/>
    <w:panose1 w:val="02010609030101010101"/>
    <w:charset w:val="86"/>
    <w:family w:val="modern"/>
    <w:pitch w:val="default"/>
    <w:sig w:usb0="00000000" w:usb1="080E0000" w:usb2="0000001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8"/>
      </w:rPr>
    </w:pPr>
    <w:r>
      <w:rPr>
        <w:rStyle w:val="8"/>
      </w:rPr>
      <w:fldChar w:fldCharType="begin"/>
    </w:r>
    <w:r>
      <w:rPr>
        <w:rStyle w:val="8"/>
      </w:rPr>
      <w:instrText xml:space="preserve">PAGE  </w:instrText>
    </w:r>
    <w:r>
      <w:rPr>
        <w:rStyle w:val="8"/>
      </w:rPr>
      <w:fldChar w:fldCharType="separate"/>
    </w:r>
    <w:r>
      <w:rPr>
        <w:rStyle w:val="8"/>
        <w:lang/>
      </w:rPr>
      <w:t>- 1 -</w:t>
    </w:r>
    <w:r>
      <w:rPr>
        <w:rStyle w:val="8"/>
      </w:rPr>
      <w:fldChar w:fldCharType="end"/>
    </w:r>
  </w:p>
  <w:p>
    <w:pPr>
      <w:widowControl w:val="0"/>
      <w:snapToGrid w:val="0"/>
      <w:spacing w:line="0" w:lineRule="atLeast"/>
    </w:pPr>
    <w:r>
      <w:rPr>
        <w:lang/>
      </w:rPr>
      <w:pict>
        <v:shape id="_x0000_s1026" o:spid="_x0000_s1026" o:spt="202" type="#_x0000_t202" style="position:absolute;left:0pt;margin-left:79.35pt;margin-top:799.35pt;height:14.15pt;width:436.5pt;mso-position-horizontal-relative:page;mso-position-vertical-relative:page;z-index:-251656192;mso-width-relative:page;mso-height-relative:page;" filled="f" stroked="f" coordsize="21600,21600" o:allowincell="f">
          <v:path/>
          <v:fill on="f" opacity="0f" o:opacity2="65535f" alignshape="1" focussize="0,0"/>
          <v:stroke on="f"/>
          <v:imagedata o:title=""/>
          <o:lock v:ext="edit"/>
          <v:shadow on="t" color="#A0A0A4" offset="0pt,0pt"/>
          <v:textbox inset="0mm,0mm,0mm,0mm"/>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8"/>
      </w:rPr>
    </w:pPr>
    <w:r>
      <w:rPr>
        <w:rStyle w:val="8"/>
      </w:rPr>
      <w:fldChar w:fldCharType="begin"/>
    </w:r>
    <w:r>
      <w:rPr>
        <w:rStyle w:val="8"/>
      </w:rPr>
      <w:instrText xml:space="preserve">PAGE  </w:instrText>
    </w:r>
    <w:r>
      <w:rPr>
        <w:rStyle w:val="8"/>
      </w:rPr>
      <w:fldChar w:fldCharType="end"/>
    </w:r>
  </w:p>
  <w:p>
    <w:pPr>
      <w:pStyle w:val="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0" w:lineRule="atLeast"/>
    </w:pPr>
    <w:r>
      <w:rPr>
        <w:lang/>
      </w:rPr>
      <w:pict>
        <v:shape id="_x0000_s1025" o:spid="_x0000_s1025" o:spt="202" type="#_x0000_t202" style="position:absolute;left:0pt;margin-left:79.35pt;margin-top:28.3pt;height:14.15pt;width:436.5pt;mso-position-horizontal-relative:page;mso-position-vertical-relative:page;z-index:-251657216;mso-width-relative:page;mso-height-relative:page;" filled="f" stroked="f" coordsize="21600,21600" o:allowincell="f">
          <v:path/>
          <v:fill on="f" opacity="0f" o:opacity2="65535f" alignshape="1" focussize="0,0"/>
          <v:stroke on="f"/>
          <v:imagedata o:title=""/>
          <o:lock v:ext="edit"/>
          <v:shadow on="t" color="#A0A0A4" offset="0pt,0pt"/>
          <v:textbox inset="0mm,0mm,0mm,0mm"/>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0"/>
  <w:displayVerticalDrawingGridEvery w:val="2"/>
  <w:characterSpacingControl w:val="compressPunctuation"/>
  <w:hdrShapeDefaults>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113"/>
    <w:rsid w:val="00000113"/>
    <w:rsid w:val="00006522"/>
    <w:rsid w:val="000134D8"/>
    <w:rsid w:val="00015549"/>
    <w:rsid w:val="00021A54"/>
    <w:rsid w:val="00031272"/>
    <w:rsid w:val="00032775"/>
    <w:rsid w:val="0003293F"/>
    <w:rsid w:val="00042E83"/>
    <w:rsid w:val="00054AE5"/>
    <w:rsid w:val="00085F4D"/>
    <w:rsid w:val="00096B9B"/>
    <w:rsid w:val="000A557A"/>
    <w:rsid w:val="000A5617"/>
    <w:rsid w:val="000A6C85"/>
    <w:rsid w:val="000C66B6"/>
    <w:rsid w:val="000C788F"/>
    <w:rsid w:val="000E5E5A"/>
    <w:rsid w:val="000E74ED"/>
    <w:rsid w:val="000F14D3"/>
    <w:rsid w:val="000F4563"/>
    <w:rsid w:val="001106EC"/>
    <w:rsid w:val="00114228"/>
    <w:rsid w:val="0011677C"/>
    <w:rsid w:val="00116F60"/>
    <w:rsid w:val="0012452A"/>
    <w:rsid w:val="0012524C"/>
    <w:rsid w:val="001346B5"/>
    <w:rsid w:val="00140A72"/>
    <w:rsid w:val="00145434"/>
    <w:rsid w:val="00145F15"/>
    <w:rsid w:val="00150F64"/>
    <w:rsid w:val="00167A21"/>
    <w:rsid w:val="00167F95"/>
    <w:rsid w:val="00177EBF"/>
    <w:rsid w:val="00180EC4"/>
    <w:rsid w:val="00182224"/>
    <w:rsid w:val="00191ABD"/>
    <w:rsid w:val="00197ABC"/>
    <w:rsid w:val="001B4680"/>
    <w:rsid w:val="001B68A3"/>
    <w:rsid w:val="001C37AC"/>
    <w:rsid w:val="001D18E4"/>
    <w:rsid w:val="001D1E70"/>
    <w:rsid w:val="001E7714"/>
    <w:rsid w:val="001F3AA5"/>
    <w:rsid w:val="00204130"/>
    <w:rsid w:val="00220E9D"/>
    <w:rsid w:val="0023316D"/>
    <w:rsid w:val="00233C52"/>
    <w:rsid w:val="002364BE"/>
    <w:rsid w:val="00252412"/>
    <w:rsid w:val="0025557D"/>
    <w:rsid w:val="00267F22"/>
    <w:rsid w:val="00276CF7"/>
    <w:rsid w:val="00281FDF"/>
    <w:rsid w:val="00283364"/>
    <w:rsid w:val="00292CE2"/>
    <w:rsid w:val="00294438"/>
    <w:rsid w:val="002A0741"/>
    <w:rsid w:val="002A148B"/>
    <w:rsid w:val="002A2461"/>
    <w:rsid w:val="002B4575"/>
    <w:rsid w:val="002B53AB"/>
    <w:rsid w:val="002B6E43"/>
    <w:rsid w:val="002C1DC3"/>
    <w:rsid w:val="002D1096"/>
    <w:rsid w:val="002D3040"/>
    <w:rsid w:val="002D6419"/>
    <w:rsid w:val="002E4B61"/>
    <w:rsid w:val="002F22F3"/>
    <w:rsid w:val="00303E74"/>
    <w:rsid w:val="0031784E"/>
    <w:rsid w:val="00317EB3"/>
    <w:rsid w:val="00321346"/>
    <w:rsid w:val="003236C8"/>
    <w:rsid w:val="00326F02"/>
    <w:rsid w:val="00327679"/>
    <w:rsid w:val="00330A63"/>
    <w:rsid w:val="00334177"/>
    <w:rsid w:val="00335BB9"/>
    <w:rsid w:val="003373DD"/>
    <w:rsid w:val="00341720"/>
    <w:rsid w:val="00341916"/>
    <w:rsid w:val="00341D6A"/>
    <w:rsid w:val="00350ECA"/>
    <w:rsid w:val="003534DC"/>
    <w:rsid w:val="00354BB6"/>
    <w:rsid w:val="00362DBA"/>
    <w:rsid w:val="00366026"/>
    <w:rsid w:val="0037471D"/>
    <w:rsid w:val="0037524A"/>
    <w:rsid w:val="00376EA9"/>
    <w:rsid w:val="0038175B"/>
    <w:rsid w:val="003866FA"/>
    <w:rsid w:val="00387CEC"/>
    <w:rsid w:val="003910AE"/>
    <w:rsid w:val="003919A8"/>
    <w:rsid w:val="003A0119"/>
    <w:rsid w:val="003A7750"/>
    <w:rsid w:val="003B7607"/>
    <w:rsid w:val="003C11F5"/>
    <w:rsid w:val="003C7564"/>
    <w:rsid w:val="003D5506"/>
    <w:rsid w:val="003D62CC"/>
    <w:rsid w:val="003D7F96"/>
    <w:rsid w:val="004036EC"/>
    <w:rsid w:val="004042B2"/>
    <w:rsid w:val="00405069"/>
    <w:rsid w:val="004100D2"/>
    <w:rsid w:val="0042032A"/>
    <w:rsid w:val="00420E9F"/>
    <w:rsid w:val="004261B3"/>
    <w:rsid w:val="00426FB7"/>
    <w:rsid w:val="0043411E"/>
    <w:rsid w:val="004365A2"/>
    <w:rsid w:val="00466634"/>
    <w:rsid w:val="0047772E"/>
    <w:rsid w:val="004817E3"/>
    <w:rsid w:val="00483711"/>
    <w:rsid w:val="00486532"/>
    <w:rsid w:val="00492A5E"/>
    <w:rsid w:val="004A06B8"/>
    <w:rsid w:val="004A3797"/>
    <w:rsid w:val="004A60C7"/>
    <w:rsid w:val="004B0CDB"/>
    <w:rsid w:val="004B4817"/>
    <w:rsid w:val="004C286D"/>
    <w:rsid w:val="004C2C54"/>
    <w:rsid w:val="004D1116"/>
    <w:rsid w:val="004D3AFF"/>
    <w:rsid w:val="004E2B2F"/>
    <w:rsid w:val="004E6ED0"/>
    <w:rsid w:val="004F6229"/>
    <w:rsid w:val="005040A3"/>
    <w:rsid w:val="005043DB"/>
    <w:rsid w:val="00522704"/>
    <w:rsid w:val="00536BA4"/>
    <w:rsid w:val="005401D8"/>
    <w:rsid w:val="00544D85"/>
    <w:rsid w:val="0054531A"/>
    <w:rsid w:val="00550925"/>
    <w:rsid w:val="00556F9B"/>
    <w:rsid w:val="00560DBE"/>
    <w:rsid w:val="00561302"/>
    <w:rsid w:val="0056216F"/>
    <w:rsid w:val="00564E2F"/>
    <w:rsid w:val="00580A8F"/>
    <w:rsid w:val="005A2529"/>
    <w:rsid w:val="005A3481"/>
    <w:rsid w:val="005A67F8"/>
    <w:rsid w:val="005A6F9C"/>
    <w:rsid w:val="005B369B"/>
    <w:rsid w:val="005B7EFD"/>
    <w:rsid w:val="005C4833"/>
    <w:rsid w:val="005C4971"/>
    <w:rsid w:val="005C49D1"/>
    <w:rsid w:val="005C7A8F"/>
    <w:rsid w:val="005D433C"/>
    <w:rsid w:val="005D7DFA"/>
    <w:rsid w:val="005E091D"/>
    <w:rsid w:val="005E2A35"/>
    <w:rsid w:val="005E59D2"/>
    <w:rsid w:val="005F13DD"/>
    <w:rsid w:val="00600781"/>
    <w:rsid w:val="006049B5"/>
    <w:rsid w:val="00611CA8"/>
    <w:rsid w:val="006258C9"/>
    <w:rsid w:val="00631B37"/>
    <w:rsid w:val="00640EBB"/>
    <w:rsid w:val="00642540"/>
    <w:rsid w:val="00645547"/>
    <w:rsid w:val="00651AC9"/>
    <w:rsid w:val="00652DF2"/>
    <w:rsid w:val="006732DD"/>
    <w:rsid w:val="006735BA"/>
    <w:rsid w:val="00677AD8"/>
    <w:rsid w:val="0068209F"/>
    <w:rsid w:val="00684207"/>
    <w:rsid w:val="00694677"/>
    <w:rsid w:val="006951A7"/>
    <w:rsid w:val="006966DF"/>
    <w:rsid w:val="006B5447"/>
    <w:rsid w:val="006C504B"/>
    <w:rsid w:val="006C5741"/>
    <w:rsid w:val="006C60C3"/>
    <w:rsid w:val="006C6893"/>
    <w:rsid w:val="006C6A0E"/>
    <w:rsid w:val="006D426C"/>
    <w:rsid w:val="006E0297"/>
    <w:rsid w:val="006E59A9"/>
    <w:rsid w:val="006E7C94"/>
    <w:rsid w:val="006F36D2"/>
    <w:rsid w:val="006F7C9A"/>
    <w:rsid w:val="00700E1B"/>
    <w:rsid w:val="00701B6B"/>
    <w:rsid w:val="00702416"/>
    <w:rsid w:val="00704471"/>
    <w:rsid w:val="0070660A"/>
    <w:rsid w:val="00706D13"/>
    <w:rsid w:val="00711F97"/>
    <w:rsid w:val="007156A1"/>
    <w:rsid w:val="007164F3"/>
    <w:rsid w:val="007201B2"/>
    <w:rsid w:val="00724E3F"/>
    <w:rsid w:val="00727E05"/>
    <w:rsid w:val="00733005"/>
    <w:rsid w:val="00750996"/>
    <w:rsid w:val="007526BB"/>
    <w:rsid w:val="00770A6E"/>
    <w:rsid w:val="00773E21"/>
    <w:rsid w:val="0077641B"/>
    <w:rsid w:val="00777FEE"/>
    <w:rsid w:val="00787B2F"/>
    <w:rsid w:val="007B329A"/>
    <w:rsid w:val="007B7D9F"/>
    <w:rsid w:val="007C375D"/>
    <w:rsid w:val="007D25EB"/>
    <w:rsid w:val="007D26AE"/>
    <w:rsid w:val="007D4856"/>
    <w:rsid w:val="007E235C"/>
    <w:rsid w:val="007E46E8"/>
    <w:rsid w:val="007E6BA7"/>
    <w:rsid w:val="007E6E68"/>
    <w:rsid w:val="007E7008"/>
    <w:rsid w:val="007F6329"/>
    <w:rsid w:val="00803103"/>
    <w:rsid w:val="008226C8"/>
    <w:rsid w:val="00823CBC"/>
    <w:rsid w:val="008304A2"/>
    <w:rsid w:val="0083325E"/>
    <w:rsid w:val="00835699"/>
    <w:rsid w:val="00840164"/>
    <w:rsid w:val="00844275"/>
    <w:rsid w:val="00861015"/>
    <w:rsid w:val="00867BE5"/>
    <w:rsid w:val="008907F6"/>
    <w:rsid w:val="008A3997"/>
    <w:rsid w:val="008A58B2"/>
    <w:rsid w:val="008A7A21"/>
    <w:rsid w:val="008B6D66"/>
    <w:rsid w:val="008E0D35"/>
    <w:rsid w:val="008E32E6"/>
    <w:rsid w:val="008E3A31"/>
    <w:rsid w:val="00902813"/>
    <w:rsid w:val="00916F01"/>
    <w:rsid w:val="00917D2F"/>
    <w:rsid w:val="00917FC1"/>
    <w:rsid w:val="00923333"/>
    <w:rsid w:val="009308EA"/>
    <w:rsid w:val="00932E3A"/>
    <w:rsid w:val="0093420D"/>
    <w:rsid w:val="0093481F"/>
    <w:rsid w:val="00934D75"/>
    <w:rsid w:val="0095042C"/>
    <w:rsid w:val="00961F0D"/>
    <w:rsid w:val="00962991"/>
    <w:rsid w:val="00966A35"/>
    <w:rsid w:val="009955C4"/>
    <w:rsid w:val="009A11CE"/>
    <w:rsid w:val="009A23D3"/>
    <w:rsid w:val="009A7899"/>
    <w:rsid w:val="009B382F"/>
    <w:rsid w:val="009C0AC3"/>
    <w:rsid w:val="009C2A63"/>
    <w:rsid w:val="009D43D6"/>
    <w:rsid w:val="009F401A"/>
    <w:rsid w:val="009F4B3D"/>
    <w:rsid w:val="00A06EDF"/>
    <w:rsid w:val="00A119EE"/>
    <w:rsid w:val="00A20FB3"/>
    <w:rsid w:val="00A30143"/>
    <w:rsid w:val="00A35BCD"/>
    <w:rsid w:val="00A362A4"/>
    <w:rsid w:val="00A44206"/>
    <w:rsid w:val="00A4502C"/>
    <w:rsid w:val="00A45F06"/>
    <w:rsid w:val="00A51E2D"/>
    <w:rsid w:val="00A56834"/>
    <w:rsid w:val="00A57200"/>
    <w:rsid w:val="00A62A7F"/>
    <w:rsid w:val="00A80F71"/>
    <w:rsid w:val="00A82778"/>
    <w:rsid w:val="00AA1C50"/>
    <w:rsid w:val="00AA359E"/>
    <w:rsid w:val="00AC6885"/>
    <w:rsid w:val="00AE3088"/>
    <w:rsid w:val="00AE4405"/>
    <w:rsid w:val="00AF34BA"/>
    <w:rsid w:val="00B00822"/>
    <w:rsid w:val="00B01DD7"/>
    <w:rsid w:val="00B036D4"/>
    <w:rsid w:val="00B154E2"/>
    <w:rsid w:val="00B23BFA"/>
    <w:rsid w:val="00B272D6"/>
    <w:rsid w:val="00B3517D"/>
    <w:rsid w:val="00B363CB"/>
    <w:rsid w:val="00B46293"/>
    <w:rsid w:val="00B55D65"/>
    <w:rsid w:val="00B607B5"/>
    <w:rsid w:val="00B83802"/>
    <w:rsid w:val="00B87255"/>
    <w:rsid w:val="00BA4B09"/>
    <w:rsid w:val="00BC1D7D"/>
    <w:rsid w:val="00BD111F"/>
    <w:rsid w:val="00BD445A"/>
    <w:rsid w:val="00BD4C21"/>
    <w:rsid w:val="00BE278D"/>
    <w:rsid w:val="00BE6BB2"/>
    <w:rsid w:val="00BE6C33"/>
    <w:rsid w:val="00BF09F0"/>
    <w:rsid w:val="00C026A5"/>
    <w:rsid w:val="00C124D4"/>
    <w:rsid w:val="00C1787E"/>
    <w:rsid w:val="00C22C66"/>
    <w:rsid w:val="00C30B63"/>
    <w:rsid w:val="00C32FE2"/>
    <w:rsid w:val="00C46904"/>
    <w:rsid w:val="00C57217"/>
    <w:rsid w:val="00C60766"/>
    <w:rsid w:val="00C63000"/>
    <w:rsid w:val="00C74107"/>
    <w:rsid w:val="00C80067"/>
    <w:rsid w:val="00C84293"/>
    <w:rsid w:val="00C84943"/>
    <w:rsid w:val="00C85226"/>
    <w:rsid w:val="00C955E6"/>
    <w:rsid w:val="00C96B40"/>
    <w:rsid w:val="00CA3381"/>
    <w:rsid w:val="00CB1F25"/>
    <w:rsid w:val="00CB2021"/>
    <w:rsid w:val="00CD7D2E"/>
    <w:rsid w:val="00CE634A"/>
    <w:rsid w:val="00CF2EE4"/>
    <w:rsid w:val="00CF67F2"/>
    <w:rsid w:val="00D1092B"/>
    <w:rsid w:val="00D1223D"/>
    <w:rsid w:val="00D21DCE"/>
    <w:rsid w:val="00D254E4"/>
    <w:rsid w:val="00D25771"/>
    <w:rsid w:val="00D27E21"/>
    <w:rsid w:val="00D33066"/>
    <w:rsid w:val="00D41873"/>
    <w:rsid w:val="00D44342"/>
    <w:rsid w:val="00D62B70"/>
    <w:rsid w:val="00D6380D"/>
    <w:rsid w:val="00D76B79"/>
    <w:rsid w:val="00D77809"/>
    <w:rsid w:val="00D815E7"/>
    <w:rsid w:val="00D81E26"/>
    <w:rsid w:val="00D82519"/>
    <w:rsid w:val="00D86AB8"/>
    <w:rsid w:val="00D87FE5"/>
    <w:rsid w:val="00D95B3D"/>
    <w:rsid w:val="00DA43D9"/>
    <w:rsid w:val="00DA46EB"/>
    <w:rsid w:val="00DB1480"/>
    <w:rsid w:val="00DB7730"/>
    <w:rsid w:val="00DC37C9"/>
    <w:rsid w:val="00DC3942"/>
    <w:rsid w:val="00DC599C"/>
    <w:rsid w:val="00DF3ABE"/>
    <w:rsid w:val="00DF3F49"/>
    <w:rsid w:val="00DF79A4"/>
    <w:rsid w:val="00E12EFF"/>
    <w:rsid w:val="00E13877"/>
    <w:rsid w:val="00E14388"/>
    <w:rsid w:val="00E16D78"/>
    <w:rsid w:val="00E25C36"/>
    <w:rsid w:val="00E26D89"/>
    <w:rsid w:val="00E338F5"/>
    <w:rsid w:val="00E46DA8"/>
    <w:rsid w:val="00E50265"/>
    <w:rsid w:val="00E507D3"/>
    <w:rsid w:val="00E51057"/>
    <w:rsid w:val="00E5570B"/>
    <w:rsid w:val="00E55FC0"/>
    <w:rsid w:val="00E650BF"/>
    <w:rsid w:val="00E7148F"/>
    <w:rsid w:val="00E74096"/>
    <w:rsid w:val="00E82917"/>
    <w:rsid w:val="00E856FA"/>
    <w:rsid w:val="00E96226"/>
    <w:rsid w:val="00ED4BE6"/>
    <w:rsid w:val="00EE6766"/>
    <w:rsid w:val="00EE68F1"/>
    <w:rsid w:val="00F11289"/>
    <w:rsid w:val="00F12062"/>
    <w:rsid w:val="00F13B46"/>
    <w:rsid w:val="00F15A81"/>
    <w:rsid w:val="00F250FC"/>
    <w:rsid w:val="00F273FA"/>
    <w:rsid w:val="00F27C64"/>
    <w:rsid w:val="00F318E2"/>
    <w:rsid w:val="00F436B1"/>
    <w:rsid w:val="00F50734"/>
    <w:rsid w:val="00F52765"/>
    <w:rsid w:val="00F61C7F"/>
    <w:rsid w:val="00F62AA8"/>
    <w:rsid w:val="00F659B1"/>
    <w:rsid w:val="00F71A7C"/>
    <w:rsid w:val="00F84A35"/>
    <w:rsid w:val="00F86BBA"/>
    <w:rsid w:val="00F87F8F"/>
    <w:rsid w:val="00F91115"/>
    <w:rsid w:val="00F939D1"/>
    <w:rsid w:val="00F96A0A"/>
    <w:rsid w:val="00FA1045"/>
    <w:rsid w:val="00FC090A"/>
    <w:rsid w:val="00FC5FA9"/>
    <w:rsid w:val="00FE0AD1"/>
    <w:rsid w:val="00FE5B0C"/>
    <w:rsid w:val="00FF0FA0"/>
    <w:rsid w:val="3FEB395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57" w:lineRule="atLeast"/>
      <w:jc w:val="both"/>
      <w:textAlignment w:val="baseline"/>
    </w:pPr>
    <w:rPr>
      <w:color w:val="000000"/>
      <w:sz w:val="21"/>
      <w:u w:val="none" w:color="000000"/>
      <w:lang w:val="en-US" w:eastAsia="zh-CN" w:bidi="ar-SA"/>
    </w:rPr>
  </w:style>
  <w:style w:type="character" w:default="1" w:styleId="7">
    <w:name w:val="Default Paragraph Font"/>
    <w:semiHidden/>
    <w:uiPriority w:val="0"/>
  </w:style>
  <w:style w:type="table" w:default="1" w:styleId="6">
    <w:name w:val="Normal Table"/>
    <w:semiHidden/>
    <w:uiPriority w:val="0"/>
    <w:tblPr>
      <w:tblStyle w:val="6"/>
      <w:tblCellMar>
        <w:top w:w="0" w:type="dxa"/>
        <w:left w:w="108" w:type="dxa"/>
        <w:bottom w:w="0" w:type="dxa"/>
        <w:right w:w="108" w:type="dxa"/>
      </w:tblCellMar>
    </w:tblPr>
    <w:trPr>
      <w:wBefore w:w="0" w:type="dxa"/>
    </w:trPr>
  </w:style>
  <w:style w:type="paragraph" w:styleId="2">
    <w:name w:val="Date"/>
    <w:basedOn w:val="1"/>
    <w:next w:val="1"/>
    <w:uiPriority w:val="0"/>
    <w:pPr>
      <w:ind w:left="100" w:leftChars="2500"/>
    </w:pPr>
  </w:style>
  <w:style w:type="paragraph" w:styleId="3">
    <w:name w:val="footer"/>
    <w:basedOn w:val="1"/>
    <w:link w:val="10"/>
    <w:uiPriority w:val="0"/>
    <w:pPr>
      <w:tabs>
        <w:tab w:val="center" w:pos="4153"/>
        <w:tab w:val="right" w:pos="8306"/>
      </w:tabs>
      <w:snapToGrid w:val="0"/>
      <w:spacing w:line="240" w:lineRule="atLeast"/>
      <w:jc w:val="left"/>
    </w:pPr>
    <w:rPr>
      <w:sz w:val="18"/>
      <w:szCs w:val="18"/>
    </w:rPr>
  </w:style>
  <w:style w:type="paragraph" w:styleId="4">
    <w:name w:val="header"/>
    <w:basedOn w:val="1"/>
    <w:link w:val="9"/>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5">
    <w:name w:val="Normal (Web)"/>
    <w:basedOn w:val="1"/>
    <w:uiPriority w:val="0"/>
    <w:pPr>
      <w:spacing w:before="100" w:beforeAutospacing="1" w:after="100" w:afterAutospacing="1" w:line="240" w:lineRule="auto"/>
      <w:jc w:val="left"/>
      <w:textAlignment w:val="auto"/>
    </w:pPr>
    <w:rPr>
      <w:rFonts w:ascii="宋体" w:hAnsi="宋体" w:cs="宋体"/>
      <w:color w:val="auto"/>
      <w:sz w:val="24"/>
      <w:szCs w:val="24"/>
      <w:u w:val="none" w:color="auto"/>
    </w:rPr>
  </w:style>
  <w:style w:type="character" w:styleId="8">
    <w:name w:val="page number"/>
    <w:basedOn w:val="7"/>
    <w:uiPriority w:val="0"/>
  </w:style>
  <w:style w:type="character" w:customStyle="1" w:styleId="9">
    <w:name w:val="页眉 Char"/>
    <w:basedOn w:val="7"/>
    <w:link w:val="4"/>
    <w:uiPriority w:val="0"/>
    <w:rPr>
      <w:color w:val="000000"/>
      <w:sz w:val="18"/>
      <w:szCs w:val="18"/>
      <w:u w:val="none" w:color="000000"/>
    </w:rPr>
  </w:style>
  <w:style w:type="character" w:customStyle="1" w:styleId="10">
    <w:name w:val="页脚 Char"/>
    <w:basedOn w:val="7"/>
    <w:link w:val="3"/>
    <w:uiPriority w:val="0"/>
    <w:rPr>
      <w:color w:val="000000"/>
      <w:sz w:val="18"/>
      <w:szCs w:val="18"/>
      <w:u w:val="none" w:color="00000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5"/>
    <customShpInfo spid="_x0000_s1026"/>
    <customShpInfo spid="_x0000_s205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3</Pages>
  <Words>571</Words>
  <Characters>3257</Characters>
  <Lines>27</Lines>
  <Paragraphs>7</Paragraphs>
  <TotalTime>0</TotalTime>
  <ScaleCrop>false</ScaleCrop>
  <LinksUpToDate>false</LinksUpToDate>
  <CharactersWithSpaces>3821</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2019-04-11T03:23:00Z</dcterms:created>
  <dc:creator>青阳徐松青</dc:creator>
  <cp:lastModifiedBy>哎呀。</cp:lastModifiedBy>
  <cp:lastPrinted>2018-10-15T02:31:00Z</cp:lastPrinted>
  <dcterms:modified xsi:type="dcterms:W3CDTF">2021-12-30T08:07:00Z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51F62C5C3A0F47AF818EEB27CD605229</vt:lpwstr>
  </property>
</Properties>
</file>