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0"/>
        <w:rPr>
          <w:rFonts w:ascii="Times New Roman"/>
          <w:sz w:val="20"/>
        </w:rPr>
      </w:pPr>
    </w:p>
    <w:p>
      <w:pPr>
        <w:pStyle w:val="BodyText"/>
        <w:ind w:left="0"/>
        <w:rPr>
          <w:rFonts w:ascii="Times New Roman"/>
          <w:sz w:val="20"/>
        </w:rPr>
      </w:pPr>
    </w:p>
    <w:p>
      <w:pPr>
        <w:pStyle w:val="BodyText"/>
        <w:ind w:left="0"/>
        <w:rPr>
          <w:rFonts w:ascii="Times New Roman"/>
          <w:sz w:val="20"/>
        </w:rPr>
      </w:pPr>
    </w:p>
    <w:p>
      <w:pPr>
        <w:spacing w:before="27"/>
        <w:ind w:left="350" w:right="28" w:firstLine="0"/>
        <w:jc w:val="center"/>
        <w:rPr>
          <w:rFonts w:ascii="Microsoft JhengHei" w:eastAsia="Microsoft JhengHei" w:hint="eastAsia"/>
          <w:b/>
          <w:sz w:val="40"/>
        </w:rPr>
      </w:pPr>
      <w:r>
        <w:rPr>
          <w:rFonts w:ascii="Microsoft JhengHei" w:eastAsia="Microsoft JhengHei" w:hint="eastAsia"/>
          <w:b/>
          <w:sz w:val="40"/>
        </w:rPr>
        <w:t>人力资源和社会保障局</w:t>
      </w:r>
    </w:p>
    <w:p>
      <w:pPr>
        <w:pStyle w:val="BodyText"/>
        <w:spacing w:before="16" w:after="1"/>
        <w:ind w:left="0"/>
        <w:rPr>
          <w:rFonts w:ascii="Microsoft JhengHei"/>
          <w:b/>
          <w:sz w:val="15"/>
        </w:rPr>
      </w:pPr>
    </w:p>
    <w:tbl>
      <w:tblPr>
        <w:tblW w:w="0" w:type="auto"/>
        <w:jc w:val="left"/>
        <w:tblInd w:w="25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26"/>
        <w:gridCol w:w="952"/>
        <w:gridCol w:w="952"/>
        <w:gridCol w:w="952"/>
        <w:gridCol w:w="726"/>
      </w:tblGrid>
      <w:tr>
        <w:trPr>
          <w:trHeight w:val="620" w:hRule="atLeast"/>
        </w:trPr>
        <w:tc>
          <w:tcPr>
            <w:tcW w:w="726" w:type="dxa"/>
          </w:tcPr>
          <w:p>
            <w:pPr>
              <w:pStyle w:val="TableParagraph"/>
              <w:spacing w:line="547" w:lineRule="exact"/>
              <w:ind w:left="50"/>
              <w:rPr>
                <w:b/>
                <w:sz w:val="40"/>
              </w:rPr>
            </w:pPr>
            <w:r>
              <w:rPr>
                <w:b/>
                <w:sz w:val="40"/>
              </w:rPr>
              <w:t>财</w:t>
            </w:r>
          </w:p>
        </w:tc>
        <w:tc>
          <w:tcPr>
            <w:tcW w:w="952" w:type="dxa"/>
          </w:tcPr>
          <w:p>
            <w:pPr>
              <w:pStyle w:val="TableParagraph"/>
              <w:spacing w:line="240" w:lineRule="auto"/>
              <w:rPr>
                <w:rFonts w:ascii="Times New Roman"/>
                <w:sz w:val="34"/>
              </w:rPr>
            </w:pPr>
          </w:p>
        </w:tc>
        <w:tc>
          <w:tcPr>
            <w:tcW w:w="952" w:type="dxa"/>
          </w:tcPr>
          <w:p>
            <w:pPr>
              <w:pStyle w:val="TableParagraph"/>
              <w:spacing w:line="547" w:lineRule="exact"/>
              <w:ind w:right="272"/>
              <w:jc w:val="right"/>
              <w:rPr>
                <w:b/>
                <w:sz w:val="40"/>
              </w:rPr>
            </w:pPr>
            <w:r>
              <w:rPr>
                <w:b/>
                <w:sz w:val="40"/>
              </w:rPr>
              <w:t>政</w:t>
            </w:r>
          </w:p>
        </w:tc>
        <w:tc>
          <w:tcPr>
            <w:tcW w:w="952" w:type="dxa"/>
          </w:tcPr>
          <w:p>
            <w:pPr>
              <w:pStyle w:val="TableParagraph"/>
              <w:spacing w:line="240" w:lineRule="auto"/>
              <w:rPr>
                <w:rFonts w:ascii="Times New Roman"/>
                <w:sz w:val="34"/>
              </w:rPr>
            </w:pPr>
          </w:p>
        </w:tc>
        <w:tc>
          <w:tcPr>
            <w:tcW w:w="726" w:type="dxa"/>
          </w:tcPr>
          <w:p>
            <w:pPr>
              <w:pStyle w:val="TableParagraph"/>
              <w:spacing w:line="547" w:lineRule="exact"/>
              <w:ind w:right="45"/>
              <w:jc w:val="right"/>
              <w:rPr>
                <w:b/>
                <w:sz w:val="40"/>
              </w:rPr>
            </w:pPr>
            <w:r>
              <w:rPr>
                <w:b/>
                <w:sz w:val="40"/>
              </w:rPr>
              <w:t>局</w:t>
            </w:r>
          </w:p>
        </w:tc>
      </w:tr>
      <w:tr>
        <w:trPr>
          <w:trHeight w:val="620" w:hRule="atLeast"/>
        </w:trPr>
        <w:tc>
          <w:tcPr>
            <w:tcW w:w="726" w:type="dxa"/>
          </w:tcPr>
          <w:p>
            <w:pPr>
              <w:pStyle w:val="TableParagraph"/>
              <w:spacing w:before="31"/>
              <w:ind w:left="50"/>
              <w:rPr>
                <w:b/>
                <w:sz w:val="40"/>
              </w:rPr>
            </w:pPr>
            <w:r>
              <w:rPr>
                <w:b/>
                <w:sz w:val="40"/>
              </w:rPr>
              <w:t>农</w:t>
            </w:r>
          </w:p>
        </w:tc>
        <w:tc>
          <w:tcPr>
            <w:tcW w:w="952" w:type="dxa"/>
          </w:tcPr>
          <w:p>
            <w:pPr>
              <w:pStyle w:val="TableParagraph"/>
              <w:spacing w:before="31"/>
              <w:ind w:left="276"/>
              <w:rPr>
                <w:b/>
                <w:sz w:val="40"/>
              </w:rPr>
            </w:pPr>
            <w:r>
              <w:rPr>
                <w:b/>
                <w:sz w:val="40"/>
              </w:rPr>
              <w:t>业</w:t>
            </w:r>
          </w:p>
        </w:tc>
        <w:tc>
          <w:tcPr>
            <w:tcW w:w="952" w:type="dxa"/>
          </w:tcPr>
          <w:p>
            <w:pPr>
              <w:pStyle w:val="TableParagraph"/>
              <w:spacing w:before="31"/>
              <w:ind w:right="272"/>
              <w:jc w:val="right"/>
              <w:rPr>
                <w:b/>
                <w:sz w:val="40"/>
              </w:rPr>
            </w:pPr>
            <w:r>
              <w:rPr>
                <w:b/>
                <w:sz w:val="40"/>
              </w:rPr>
              <w:t>农</w:t>
            </w:r>
          </w:p>
        </w:tc>
        <w:tc>
          <w:tcPr>
            <w:tcW w:w="952" w:type="dxa"/>
          </w:tcPr>
          <w:p>
            <w:pPr>
              <w:pStyle w:val="TableParagraph"/>
              <w:spacing w:before="31"/>
              <w:ind w:left="277"/>
              <w:rPr>
                <w:b/>
                <w:sz w:val="40"/>
              </w:rPr>
            </w:pPr>
            <w:r>
              <w:rPr>
                <w:b/>
                <w:sz w:val="40"/>
              </w:rPr>
              <w:t>村</w:t>
            </w:r>
          </w:p>
        </w:tc>
        <w:tc>
          <w:tcPr>
            <w:tcW w:w="726" w:type="dxa"/>
          </w:tcPr>
          <w:p>
            <w:pPr>
              <w:pStyle w:val="TableParagraph"/>
              <w:spacing w:before="31"/>
              <w:ind w:right="45"/>
              <w:jc w:val="right"/>
              <w:rPr>
                <w:b/>
                <w:sz w:val="40"/>
              </w:rPr>
            </w:pPr>
            <w:r>
              <w:rPr>
                <w:b/>
                <w:sz w:val="40"/>
              </w:rPr>
              <w:t>局</w:t>
            </w:r>
          </w:p>
        </w:tc>
      </w:tr>
    </w:tbl>
    <w:p>
      <w:pPr>
        <w:pStyle w:val="BodyText"/>
        <w:ind w:left="0"/>
        <w:rPr>
          <w:rFonts w:ascii="Microsoft JhengHei"/>
          <w:b/>
          <w:sz w:val="20"/>
        </w:rPr>
      </w:pPr>
    </w:p>
    <w:p>
      <w:pPr>
        <w:pStyle w:val="BodyText"/>
        <w:spacing w:before="13"/>
        <w:ind w:left="0"/>
        <w:rPr>
          <w:rFonts w:ascii="Microsoft JhengHei"/>
          <w:b/>
          <w:sz w:val="16"/>
        </w:rPr>
      </w:pPr>
    </w:p>
    <w:p>
      <w:pPr>
        <w:pStyle w:val="BodyText"/>
        <w:spacing w:before="55"/>
        <w:ind w:left="350" w:right="355"/>
        <w:jc w:val="center"/>
      </w:pPr>
      <w:r>
        <w:rPr/>
        <w:t>东人社秘〔2020〕111 号</w:t>
      </w:r>
    </w:p>
    <w:p>
      <w:pPr>
        <w:pStyle w:val="BodyText"/>
        <w:ind w:left="0"/>
      </w:pPr>
    </w:p>
    <w:p>
      <w:pPr>
        <w:pStyle w:val="Heading1"/>
        <w:spacing w:line="220" w:lineRule="auto" w:before="240"/>
        <w:ind w:left="350" w:right="355"/>
        <w:jc w:val="center"/>
      </w:pPr>
      <w:r>
        <w:rPr/>
        <w:t>关于印发《东至县退捕渔民公益性岗位开发管理暂行办法》的通知</w:t>
      </w:r>
    </w:p>
    <w:p>
      <w:pPr>
        <w:pStyle w:val="BodyText"/>
        <w:spacing w:before="2"/>
        <w:ind w:left="0"/>
        <w:rPr>
          <w:rFonts w:ascii="黑体"/>
          <w:sz w:val="51"/>
        </w:rPr>
      </w:pPr>
    </w:p>
    <w:p>
      <w:pPr>
        <w:pStyle w:val="BodyText"/>
        <w:spacing w:line="338" w:lineRule="auto"/>
        <w:ind w:right="112" w:firstLine="640"/>
        <w:jc w:val="both"/>
      </w:pPr>
      <w:r>
        <w:rPr/>
        <w:t>为进一步促进就业困难退捕渔民就业，加强退捕渔民公益性岗位管理，现将《东至县退捕渔民公益性岗位开发管理暂行办法》印发你们，请认真贯彻落实。</w:t>
      </w:r>
    </w:p>
    <w:p>
      <w:pPr>
        <w:pStyle w:val="BodyText"/>
        <w:ind w:left="0"/>
      </w:pPr>
    </w:p>
    <w:p>
      <w:pPr>
        <w:pStyle w:val="BodyText"/>
        <w:ind w:left="0"/>
      </w:pPr>
    </w:p>
    <w:p>
      <w:pPr>
        <w:pStyle w:val="BodyText"/>
        <w:spacing w:before="12"/>
        <w:ind w:left="0"/>
        <w:rPr>
          <w:sz w:val="26"/>
        </w:rPr>
      </w:pPr>
    </w:p>
    <w:p>
      <w:pPr>
        <w:pStyle w:val="BodyText"/>
        <w:tabs>
          <w:tab w:pos="5599" w:val="left" w:leader="none"/>
        </w:tabs>
        <w:ind w:left="0" w:right="49"/>
        <w:jc w:val="center"/>
      </w:pPr>
      <w:r>
        <w:rPr/>
        <w:t>东至县人力资源和社会保障局</w:t>
        <w:tab/>
        <w:t>东至县财政局</w:t>
      </w:r>
    </w:p>
    <w:p>
      <w:pPr>
        <w:pStyle w:val="BodyText"/>
        <w:ind w:left="0"/>
      </w:pPr>
    </w:p>
    <w:p>
      <w:pPr>
        <w:pStyle w:val="BodyText"/>
        <w:ind w:left="0"/>
      </w:pPr>
    </w:p>
    <w:p>
      <w:pPr>
        <w:pStyle w:val="BodyText"/>
        <w:spacing w:before="10"/>
        <w:ind w:left="0"/>
        <w:rPr>
          <w:sz w:val="39"/>
        </w:rPr>
      </w:pPr>
    </w:p>
    <w:p>
      <w:pPr>
        <w:pStyle w:val="BodyText"/>
        <w:spacing w:before="1"/>
        <w:ind w:left="3890"/>
      </w:pPr>
      <w:r>
        <w:rPr/>
        <w:t>东至县农业农村局</w:t>
      </w:r>
    </w:p>
    <w:p>
      <w:pPr>
        <w:pStyle w:val="BodyText"/>
        <w:spacing w:before="170"/>
        <w:ind w:left="3850"/>
      </w:pPr>
      <w:r>
        <w:rPr/>
        <w:t>2020</w:t>
      </w:r>
      <w:r>
        <w:rPr>
          <w:spacing w:val="-54"/>
        </w:rPr>
        <w:t> 年 </w:t>
      </w:r>
      <w:r>
        <w:rPr/>
        <w:t>10</w:t>
      </w:r>
      <w:r>
        <w:rPr>
          <w:spacing w:val="-54"/>
        </w:rPr>
        <w:t> 月 </w:t>
      </w:r>
      <w:r>
        <w:rPr/>
        <w:t>26</w:t>
      </w:r>
      <w:r>
        <w:rPr>
          <w:spacing w:val="-40"/>
        </w:rPr>
        <w:t> 日</w:t>
      </w:r>
    </w:p>
    <w:p>
      <w:pPr>
        <w:spacing w:after="0"/>
        <w:sectPr>
          <w:footerReference w:type="default" r:id="rId5"/>
          <w:type w:val="continuous"/>
          <w:pgSz w:w="11910" w:h="16840"/>
          <w:pgMar w:footer="1838" w:top="1580" w:bottom="2020" w:left="1480" w:right="1360"/>
          <w:pgNumType w:start="1"/>
        </w:sectPr>
      </w:pPr>
    </w:p>
    <w:p>
      <w:pPr>
        <w:pStyle w:val="BodyText"/>
        <w:ind w:left="0"/>
        <w:rPr>
          <w:sz w:val="20"/>
        </w:rPr>
      </w:pPr>
    </w:p>
    <w:p>
      <w:pPr>
        <w:pStyle w:val="BodyText"/>
        <w:spacing w:before="2"/>
        <w:ind w:left="0"/>
        <w:rPr>
          <w:sz w:val="14"/>
        </w:rPr>
      </w:pPr>
    </w:p>
    <w:p>
      <w:pPr>
        <w:pStyle w:val="Heading1"/>
      </w:pPr>
      <w:r>
        <w:rPr/>
        <w:t>东至县退捕渔民公益性岗位开发管理暂行办法</w:t>
      </w:r>
    </w:p>
    <w:p>
      <w:pPr>
        <w:pStyle w:val="BodyText"/>
        <w:spacing w:before="7"/>
        <w:ind w:left="0"/>
        <w:rPr>
          <w:rFonts w:ascii="黑体"/>
          <w:sz w:val="46"/>
        </w:rPr>
      </w:pPr>
    </w:p>
    <w:p>
      <w:pPr>
        <w:pStyle w:val="BodyText"/>
        <w:spacing w:line="304" w:lineRule="auto"/>
        <w:ind w:right="112" w:firstLine="640"/>
        <w:jc w:val="both"/>
      </w:pPr>
      <w:r>
        <w:rPr>
          <w:spacing w:val="7"/>
        </w:rPr>
        <w:t>为贯彻落实《安徽省长江禁捕退捕渔民安置保障集中攻坚</w:t>
      </w:r>
      <w:r>
        <w:rPr>
          <w:spacing w:val="-13"/>
        </w:rPr>
        <w:t>专项工作实施方案》</w:t>
      </w:r>
      <w:r>
        <w:rPr>
          <w:spacing w:val="5"/>
        </w:rPr>
        <w:t>（皖人社秘〔</w:t>
      </w:r>
      <w:r>
        <w:rPr/>
        <w:t>2020</w:t>
      </w:r>
      <w:r>
        <w:rPr>
          <w:spacing w:val="5"/>
        </w:rPr>
        <w:t>〕</w:t>
      </w:r>
      <w:r>
        <w:rPr/>
        <w:t>173</w:t>
      </w:r>
      <w:r>
        <w:rPr>
          <w:spacing w:val="-38"/>
        </w:rPr>
        <w:t> 号</w:t>
      </w:r>
      <w:r>
        <w:rPr>
          <w:spacing w:val="5"/>
        </w:rPr>
        <w:t>）</w:t>
      </w:r>
      <w:r>
        <w:rPr>
          <w:spacing w:val="4"/>
        </w:rPr>
        <w:t>要求，切实保</w:t>
      </w:r>
      <w:r>
        <w:rPr>
          <w:spacing w:val="6"/>
        </w:rPr>
        <w:t>障退捕渔民就业和生活，不断提高公益性岗位兜底的针对性和</w:t>
      </w:r>
      <w:r>
        <w:rPr>
          <w:spacing w:val="-1"/>
        </w:rPr>
        <w:t>上岗率，让更多退捕渔民“能上岗、愿上岗、上好岗”。根据我</w:t>
      </w:r>
      <w:r>
        <w:rPr>
          <w:spacing w:val="6"/>
        </w:rPr>
        <w:t>县关于打赢长江禁捕退捕攻击战总体布署及实际情况要求，现就我县退捕渔民公益性岗位开发管理工作制定实施办法如下：</w:t>
      </w:r>
    </w:p>
    <w:p>
      <w:pPr>
        <w:pStyle w:val="BodyText"/>
        <w:spacing w:line="406" w:lineRule="exact"/>
        <w:ind w:left="350" w:right="5999"/>
        <w:jc w:val="center"/>
        <w:rPr>
          <w:rFonts w:ascii="黑体" w:eastAsia="黑体" w:hint="eastAsia"/>
        </w:rPr>
      </w:pPr>
      <w:r>
        <w:rPr>
          <w:rFonts w:ascii="黑体" w:eastAsia="黑体" w:hint="eastAsia"/>
        </w:rPr>
        <w:t>一、岗位开发</w:t>
      </w:r>
    </w:p>
    <w:p>
      <w:pPr>
        <w:pStyle w:val="BodyText"/>
        <w:spacing w:line="304" w:lineRule="auto" w:before="110"/>
        <w:ind w:right="112" w:firstLine="640"/>
        <w:jc w:val="both"/>
      </w:pPr>
      <w:r>
        <w:rPr/>
        <w:t>退捕渔民公益性岗位是指以促进退捕渔民就业安置为主要目的，从事非营利性公共管理和社会公益服务，通过力所能及的劳动获得一定劳务报酬或补贴的岗位。退捕渔民公益性岗位主要包括：</w:t>
      </w:r>
    </w:p>
    <w:p>
      <w:pPr>
        <w:pStyle w:val="BodyText"/>
        <w:spacing w:line="304" w:lineRule="auto"/>
        <w:ind w:right="109" w:firstLine="480"/>
        <w:jc w:val="both"/>
      </w:pPr>
      <w:r>
        <w:rPr/>
        <w:t>（一）结合生态环境保护、文明创建、乡村环境整治、基础设施维护等工作实际需要，开发一批公共环境卫生、就业协理、保洁、保绿、保安、护渔、护河、巡逻等公益性岗位，兜底安置年龄较大、文化程度较低通过市场无法就业的退捕渔民，实现就业增收。</w:t>
      </w:r>
    </w:p>
    <w:p>
      <w:pPr>
        <w:pStyle w:val="BodyText"/>
        <w:spacing w:line="304" w:lineRule="auto"/>
        <w:ind w:right="112" w:firstLine="640"/>
        <w:jc w:val="both"/>
      </w:pPr>
      <w:r>
        <w:rPr/>
        <w:t>（二）开发临时性公益性岗位。结合阶段性重点工作需要，针对性开发一批保洁卫生、防疫消杀、巡查值守等临时性公益性岗位，用于临时安置退捕渔民中特殊困难群体就业。</w:t>
      </w:r>
    </w:p>
    <w:p>
      <w:pPr>
        <w:pStyle w:val="BodyText"/>
        <w:spacing w:line="408" w:lineRule="exact"/>
        <w:ind w:left="350" w:right="5999"/>
        <w:jc w:val="center"/>
        <w:rPr>
          <w:rFonts w:ascii="黑体" w:eastAsia="黑体" w:hint="eastAsia"/>
        </w:rPr>
      </w:pPr>
      <w:r>
        <w:rPr>
          <w:rFonts w:ascii="黑体" w:eastAsia="黑体" w:hint="eastAsia"/>
        </w:rPr>
        <w:t>二、人员安置</w:t>
      </w:r>
    </w:p>
    <w:p>
      <w:pPr>
        <w:pStyle w:val="BodyText"/>
        <w:spacing w:before="104"/>
        <w:ind w:left="350" w:right="5999"/>
        <w:jc w:val="center"/>
        <w:rPr>
          <w:rFonts w:ascii="楷体" w:eastAsia="楷体" w:hint="eastAsia"/>
        </w:rPr>
      </w:pPr>
      <w:r>
        <w:rPr>
          <w:rFonts w:ascii="楷体" w:eastAsia="楷体" w:hint="eastAsia"/>
        </w:rPr>
        <w:t>（一）安置对象</w:t>
      </w:r>
    </w:p>
    <w:p>
      <w:pPr>
        <w:pStyle w:val="ListParagraph"/>
        <w:numPr>
          <w:ilvl w:val="0"/>
          <w:numId w:val="1"/>
        </w:numPr>
        <w:tabs>
          <w:tab w:pos="1069" w:val="left" w:leader="none"/>
        </w:tabs>
        <w:spacing w:line="240" w:lineRule="auto" w:before="110" w:after="0"/>
        <w:ind w:left="1069" w:right="0" w:hanging="321"/>
        <w:jc w:val="left"/>
        <w:rPr>
          <w:sz w:val="32"/>
        </w:rPr>
      </w:pPr>
      <w:r>
        <w:rPr>
          <w:spacing w:val="-13"/>
          <w:sz w:val="32"/>
        </w:rPr>
        <w:t>退捕之日起 </w:t>
      </w:r>
      <w:r>
        <w:rPr>
          <w:sz w:val="32"/>
        </w:rPr>
        <w:t>6</w:t>
      </w:r>
      <w:r>
        <w:rPr>
          <w:spacing w:val="-14"/>
          <w:sz w:val="32"/>
        </w:rPr>
        <w:t> 个月及以上未就业的男年满 </w:t>
      </w:r>
      <w:r>
        <w:rPr>
          <w:sz w:val="32"/>
        </w:rPr>
        <w:t>54</w:t>
      </w:r>
      <w:r>
        <w:rPr>
          <w:spacing w:val="-14"/>
          <w:sz w:val="32"/>
        </w:rPr>
        <w:t> 周岁、女年</w:t>
      </w:r>
    </w:p>
    <w:p>
      <w:pPr>
        <w:spacing w:after="0" w:line="240" w:lineRule="auto"/>
        <w:jc w:val="left"/>
        <w:rPr>
          <w:sz w:val="32"/>
        </w:rPr>
        <w:sectPr>
          <w:pgSz w:w="11910" w:h="16840"/>
          <w:pgMar w:header="0" w:footer="1838" w:top="1580" w:bottom="2020" w:left="1480" w:right="1360"/>
        </w:sectPr>
      </w:pPr>
    </w:p>
    <w:p>
      <w:pPr>
        <w:pStyle w:val="BodyText"/>
        <w:ind w:left="0"/>
        <w:rPr>
          <w:sz w:val="20"/>
        </w:rPr>
      </w:pPr>
    </w:p>
    <w:p>
      <w:pPr>
        <w:pStyle w:val="BodyText"/>
        <w:spacing w:before="2"/>
        <w:ind w:left="0"/>
        <w:rPr>
          <w:sz w:val="22"/>
        </w:rPr>
      </w:pPr>
    </w:p>
    <w:p>
      <w:pPr>
        <w:pStyle w:val="BodyText"/>
        <w:spacing w:before="56"/>
      </w:pPr>
      <w:r>
        <w:rPr/>
        <w:t>满 44 周岁就业确有困难的大龄退捕渔民；</w:t>
      </w:r>
    </w:p>
    <w:p>
      <w:pPr>
        <w:pStyle w:val="ListParagraph"/>
        <w:numPr>
          <w:ilvl w:val="0"/>
          <w:numId w:val="1"/>
        </w:numPr>
        <w:tabs>
          <w:tab w:pos="1068" w:val="left" w:leader="none"/>
        </w:tabs>
        <w:spacing w:line="240" w:lineRule="auto" w:before="110" w:after="0"/>
        <w:ind w:left="1067" w:right="0" w:hanging="320"/>
        <w:jc w:val="left"/>
        <w:rPr>
          <w:sz w:val="32"/>
        </w:rPr>
      </w:pPr>
      <w:r>
        <w:rPr>
          <w:spacing w:val="4"/>
          <w:sz w:val="32"/>
        </w:rPr>
        <w:t>登记失业 </w:t>
      </w:r>
      <w:r>
        <w:rPr>
          <w:sz w:val="32"/>
        </w:rPr>
        <w:t>6</w:t>
      </w:r>
      <w:r>
        <w:rPr>
          <w:spacing w:val="13"/>
          <w:sz w:val="32"/>
        </w:rPr>
        <w:t> 个月以上经认定为就业确有困难的退捕渔</w:t>
      </w:r>
    </w:p>
    <w:p>
      <w:pPr>
        <w:pStyle w:val="BodyText"/>
        <w:spacing w:before="110"/>
      </w:pPr>
      <w:r>
        <w:rPr/>
        <w:t>民；</w:t>
      </w:r>
    </w:p>
    <w:p>
      <w:pPr>
        <w:pStyle w:val="ListParagraph"/>
        <w:numPr>
          <w:ilvl w:val="0"/>
          <w:numId w:val="1"/>
        </w:numPr>
        <w:tabs>
          <w:tab w:pos="1069" w:val="left" w:leader="none"/>
        </w:tabs>
        <w:spacing w:line="240" w:lineRule="auto" w:before="110" w:after="0"/>
        <w:ind w:left="1069" w:right="0" w:hanging="321"/>
        <w:jc w:val="left"/>
        <w:rPr>
          <w:sz w:val="32"/>
        </w:rPr>
      </w:pPr>
      <w:r>
        <w:rPr>
          <w:sz w:val="32"/>
        </w:rPr>
        <w:t>特殊困难未就业退捕渔民。</w:t>
      </w:r>
    </w:p>
    <w:p>
      <w:pPr>
        <w:pStyle w:val="BodyText"/>
        <w:spacing w:before="110"/>
        <w:ind w:left="588"/>
        <w:rPr>
          <w:rFonts w:ascii="楷体" w:eastAsia="楷体" w:hint="eastAsia"/>
        </w:rPr>
      </w:pPr>
      <w:r>
        <w:rPr>
          <w:rFonts w:ascii="楷体" w:eastAsia="楷体" w:hint="eastAsia"/>
        </w:rPr>
        <w:t>（二）安置程序</w:t>
      </w:r>
    </w:p>
    <w:p>
      <w:pPr>
        <w:pStyle w:val="BodyText"/>
        <w:spacing w:line="304" w:lineRule="auto" w:before="110"/>
        <w:ind w:right="112" w:firstLine="640"/>
      </w:pPr>
      <w:r>
        <w:rPr/>
        <w:t>退捕渔民公益性岗位，按照“公开、公平、公正”的原则，做好公益性岗位聘任工作。</w:t>
      </w:r>
    </w:p>
    <w:p>
      <w:pPr>
        <w:pStyle w:val="ListParagraph"/>
        <w:numPr>
          <w:ilvl w:val="0"/>
          <w:numId w:val="2"/>
        </w:numPr>
        <w:tabs>
          <w:tab w:pos="1069" w:val="left" w:leader="none"/>
        </w:tabs>
        <w:spacing w:line="304" w:lineRule="auto" w:before="0" w:after="0"/>
        <w:ind w:left="108" w:right="112" w:firstLine="640"/>
        <w:jc w:val="both"/>
        <w:rPr>
          <w:sz w:val="32"/>
        </w:rPr>
      </w:pPr>
      <w:r>
        <w:rPr>
          <w:spacing w:val="7"/>
          <w:sz w:val="32"/>
        </w:rPr>
        <w:t>公布信息：一般应由有退捕渔民任务所在镇政府研究确定，并及时公布岗位信息</w:t>
      </w:r>
      <w:r>
        <w:rPr>
          <w:spacing w:val="8"/>
          <w:sz w:val="32"/>
        </w:rPr>
        <w:t>（</w:t>
      </w:r>
      <w:r>
        <w:rPr>
          <w:spacing w:val="6"/>
          <w:sz w:val="32"/>
        </w:rPr>
        <w:t>岗位名称、岗位数量、薪酬待遇、工作内容、工作要求、管理考核等</w:t>
      </w:r>
      <w:r>
        <w:rPr>
          <w:spacing w:val="-160"/>
          <w:sz w:val="32"/>
        </w:rPr>
        <w:t>）</w:t>
      </w:r>
      <w:r>
        <w:rPr>
          <w:sz w:val="32"/>
        </w:rPr>
        <w:t>；</w:t>
      </w:r>
    </w:p>
    <w:p>
      <w:pPr>
        <w:pStyle w:val="ListParagraph"/>
        <w:numPr>
          <w:ilvl w:val="0"/>
          <w:numId w:val="2"/>
        </w:numPr>
        <w:tabs>
          <w:tab w:pos="1069" w:val="left" w:leader="none"/>
        </w:tabs>
        <w:spacing w:line="304" w:lineRule="auto" w:before="0" w:after="0"/>
        <w:ind w:left="108" w:right="112" w:firstLine="640"/>
        <w:jc w:val="both"/>
        <w:rPr>
          <w:sz w:val="32"/>
        </w:rPr>
      </w:pPr>
      <w:r>
        <w:rPr>
          <w:spacing w:val="7"/>
          <w:sz w:val="32"/>
        </w:rPr>
        <w:t>提出申请：符合条件且有意从事公益性岗位的退捕渔民</w:t>
      </w:r>
      <w:r>
        <w:rPr>
          <w:sz w:val="32"/>
        </w:rPr>
        <w:t>向用人单位提出申请，提交《公益性岗位就业意向申请表》（见</w:t>
      </w:r>
      <w:r>
        <w:rPr>
          <w:spacing w:val="-27"/>
          <w:sz w:val="32"/>
        </w:rPr>
        <w:t>附件 </w:t>
      </w:r>
      <w:r>
        <w:rPr>
          <w:sz w:val="32"/>
        </w:rPr>
        <w:t>2）</w:t>
      </w:r>
      <w:r>
        <w:rPr>
          <w:spacing w:val="-10"/>
          <w:sz w:val="32"/>
        </w:rPr>
        <w:t>或《临时公益性岗位就业意向申请表》</w:t>
      </w:r>
      <w:r>
        <w:rPr>
          <w:sz w:val="32"/>
        </w:rPr>
        <w:t>（</w:t>
      </w:r>
      <w:r>
        <w:rPr>
          <w:spacing w:val="-20"/>
          <w:sz w:val="32"/>
        </w:rPr>
        <w:t>见附件 </w:t>
      </w:r>
      <w:r>
        <w:rPr>
          <w:sz w:val="32"/>
        </w:rPr>
        <w:t>4</w:t>
      </w:r>
      <w:r>
        <w:rPr>
          <w:spacing w:val="-160"/>
          <w:sz w:val="32"/>
        </w:rPr>
        <w:t>）</w:t>
      </w:r>
      <w:r>
        <w:rPr>
          <w:sz w:val="32"/>
        </w:rPr>
        <w:t>；</w:t>
      </w:r>
    </w:p>
    <w:p>
      <w:pPr>
        <w:pStyle w:val="ListParagraph"/>
        <w:numPr>
          <w:ilvl w:val="0"/>
          <w:numId w:val="2"/>
        </w:numPr>
        <w:tabs>
          <w:tab w:pos="1069" w:val="left" w:leader="none"/>
        </w:tabs>
        <w:spacing w:line="304" w:lineRule="auto" w:before="0" w:after="0"/>
        <w:ind w:left="108" w:right="112" w:firstLine="640"/>
        <w:jc w:val="left"/>
        <w:rPr>
          <w:sz w:val="32"/>
        </w:rPr>
      </w:pPr>
      <w:r>
        <w:rPr>
          <w:spacing w:val="7"/>
          <w:sz w:val="32"/>
        </w:rPr>
        <w:t>供需对接：用人单位根据岗位性质、申请人数，通过面谈等形式，确定岗位拟聘任人员，并向社会公示；</w:t>
      </w:r>
    </w:p>
    <w:p>
      <w:pPr>
        <w:pStyle w:val="ListParagraph"/>
        <w:numPr>
          <w:ilvl w:val="0"/>
          <w:numId w:val="2"/>
        </w:numPr>
        <w:tabs>
          <w:tab w:pos="1069" w:val="left" w:leader="none"/>
        </w:tabs>
        <w:spacing w:line="304" w:lineRule="auto" w:before="0" w:after="0"/>
        <w:ind w:left="108" w:right="112" w:firstLine="640"/>
        <w:jc w:val="left"/>
        <w:rPr>
          <w:sz w:val="32"/>
        </w:rPr>
      </w:pPr>
      <w:r>
        <w:rPr>
          <w:spacing w:val="2"/>
          <w:sz w:val="32"/>
        </w:rPr>
        <w:t>用工备案：用人单位聘任退捕渔民 </w:t>
      </w:r>
      <w:r>
        <w:rPr>
          <w:sz w:val="32"/>
        </w:rPr>
        <w:t>1</w:t>
      </w:r>
      <w:r>
        <w:rPr>
          <w:spacing w:val="-5"/>
          <w:sz w:val="32"/>
        </w:rPr>
        <w:t> 个月之内，应与其</w:t>
      </w:r>
      <w:r>
        <w:rPr>
          <w:sz w:val="32"/>
        </w:rPr>
        <w:t>签订劳动合同，并按规定进行就业登记和劳动用工备案。</w:t>
      </w:r>
    </w:p>
    <w:p>
      <w:pPr>
        <w:pStyle w:val="BodyText"/>
        <w:spacing w:line="409" w:lineRule="exact"/>
        <w:ind w:left="748"/>
        <w:rPr>
          <w:rFonts w:ascii="黑体" w:eastAsia="黑体" w:hint="eastAsia"/>
        </w:rPr>
      </w:pPr>
      <w:r>
        <w:rPr>
          <w:rFonts w:ascii="黑体" w:eastAsia="黑体" w:hint="eastAsia"/>
        </w:rPr>
        <w:t>三、薪酬（补贴）待遇</w:t>
      </w:r>
    </w:p>
    <w:p>
      <w:pPr>
        <w:pStyle w:val="BodyText"/>
        <w:spacing w:line="304" w:lineRule="auto" w:before="103"/>
        <w:ind w:right="111" w:firstLine="480"/>
        <w:jc w:val="both"/>
      </w:pPr>
      <w:r>
        <w:rPr/>
        <w:t>（一）退捕渔民公益性岗位薪酬（补贴）由用人单位根据岗位工作职责、工作量、工作强度、工作时长等，按基本薪酬+绩</w:t>
      </w:r>
      <w:r>
        <w:rPr>
          <w:spacing w:val="6"/>
        </w:rPr>
        <w:t>效薪酬合理确定，依法按月足额支付退捕渔民不低于我县最低</w:t>
      </w:r>
      <w:r>
        <w:rPr>
          <w:spacing w:val="7"/>
        </w:rPr>
        <w:t>工资标准的工资（</w:t>
      </w:r>
      <w:r>
        <w:rPr>
          <w:spacing w:val="6"/>
        </w:rPr>
        <w:t>非全日制公益性岗位按小时最低工资标准计</w:t>
      </w:r>
      <w:r>
        <w:rPr>
          <w:spacing w:val="1"/>
        </w:rPr>
        <w:t>算</w:t>
      </w:r>
      <w:r>
        <w:rPr>
          <w:spacing w:val="-159"/>
        </w:rPr>
        <w:t>）</w:t>
      </w:r>
      <w:r>
        <w:rPr/>
        <w:t>，依法缴纳社会保险费。对在公益性岗位就业的就业困难退</w:t>
      </w:r>
      <w:r>
        <w:rPr>
          <w:spacing w:val="6"/>
        </w:rPr>
        <w:t>捕渔民由就业补助资金给予每人每月我县最低工资 </w:t>
      </w:r>
      <w:r>
        <w:rPr/>
        <w:t>50%</w:t>
      </w:r>
      <w:r>
        <w:rPr>
          <w:spacing w:val="7"/>
        </w:rPr>
        <w:t>的标准</w:t>
      </w:r>
    </w:p>
    <w:p>
      <w:pPr>
        <w:spacing w:after="0" w:line="304" w:lineRule="auto"/>
        <w:jc w:val="both"/>
        <w:sectPr>
          <w:pgSz w:w="11910" w:h="16840"/>
          <w:pgMar w:header="0" w:footer="1838" w:top="1580" w:bottom="2020" w:left="1480" w:right="1360"/>
        </w:sectPr>
      </w:pPr>
    </w:p>
    <w:p>
      <w:pPr>
        <w:pStyle w:val="BodyText"/>
        <w:ind w:left="0"/>
        <w:rPr>
          <w:sz w:val="20"/>
        </w:rPr>
      </w:pPr>
    </w:p>
    <w:p>
      <w:pPr>
        <w:pStyle w:val="BodyText"/>
        <w:spacing w:before="2"/>
        <w:ind w:left="0"/>
        <w:rPr>
          <w:sz w:val="22"/>
        </w:rPr>
      </w:pPr>
    </w:p>
    <w:p>
      <w:pPr>
        <w:pStyle w:val="BodyText"/>
        <w:spacing w:line="304" w:lineRule="auto" w:before="56"/>
        <w:ind w:right="104"/>
      </w:pPr>
      <w:r>
        <w:rPr/>
        <w:t>岗位补贴，按季度直接拨付至公益性岗位人员个人账户，由用人单位代为申报。</w:t>
      </w:r>
    </w:p>
    <w:p>
      <w:pPr>
        <w:pStyle w:val="BodyText"/>
        <w:spacing w:line="304" w:lineRule="auto"/>
        <w:ind w:right="111" w:firstLine="640"/>
      </w:pPr>
      <w:r>
        <w:rPr/>
        <w:t>（二）对开发公益性岗位安置就业困难退捕渔民的用人单位，由就业补助资金给予社会保险补贴和岗位补贴。</w:t>
      </w:r>
    </w:p>
    <w:p>
      <w:pPr>
        <w:pStyle w:val="ListParagraph"/>
        <w:numPr>
          <w:ilvl w:val="0"/>
          <w:numId w:val="3"/>
        </w:numPr>
        <w:tabs>
          <w:tab w:pos="1149" w:val="left" w:leader="none"/>
        </w:tabs>
        <w:spacing w:line="304" w:lineRule="auto" w:before="0" w:after="0"/>
        <w:ind w:left="108" w:right="104" w:firstLine="720"/>
        <w:jc w:val="both"/>
        <w:rPr>
          <w:sz w:val="32"/>
        </w:rPr>
      </w:pPr>
      <w:r>
        <w:rPr>
          <w:spacing w:val="4"/>
          <w:sz w:val="32"/>
        </w:rPr>
        <w:t>社会保险补贴。按照用人单位为公益性岗位人员实际缴</w:t>
      </w:r>
      <w:r>
        <w:rPr>
          <w:spacing w:val="6"/>
          <w:sz w:val="32"/>
        </w:rPr>
        <w:t>纳的基本养老保险费、基本医疗保险费、失业保险费、工伤保</w:t>
      </w:r>
      <w:r>
        <w:rPr>
          <w:spacing w:val="-7"/>
          <w:sz w:val="32"/>
        </w:rPr>
        <w:t>险费等给予补贴，不包括公益性岗位人员个人应缴纳的基本养老</w:t>
      </w:r>
      <w:r>
        <w:rPr>
          <w:spacing w:val="-8"/>
          <w:sz w:val="32"/>
        </w:rPr>
        <w:t>保险费、基本医疗保险费和失业保险费。</w:t>
      </w:r>
    </w:p>
    <w:p>
      <w:pPr>
        <w:pStyle w:val="ListParagraph"/>
        <w:numPr>
          <w:ilvl w:val="0"/>
          <w:numId w:val="3"/>
        </w:numPr>
        <w:tabs>
          <w:tab w:pos="1149" w:val="left" w:leader="none"/>
        </w:tabs>
        <w:spacing w:line="304" w:lineRule="auto" w:before="0" w:after="0"/>
        <w:ind w:left="108" w:right="112" w:firstLine="720"/>
        <w:jc w:val="both"/>
        <w:rPr>
          <w:sz w:val="32"/>
        </w:rPr>
      </w:pPr>
      <w:r>
        <w:rPr>
          <w:spacing w:val="-3"/>
          <w:sz w:val="32"/>
        </w:rPr>
        <w:t>岗位补贴。按照每人每月 </w:t>
      </w:r>
      <w:r>
        <w:rPr>
          <w:sz w:val="32"/>
        </w:rPr>
        <w:t>300</w:t>
      </w:r>
      <w:r>
        <w:rPr>
          <w:spacing w:val="-5"/>
          <w:sz w:val="32"/>
        </w:rPr>
        <w:t> 元标准给予用人单位岗位</w:t>
      </w:r>
      <w:r>
        <w:rPr>
          <w:spacing w:val="-9"/>
          <w:sz w:val="32"/>
        </w:rPr>
        <w:t>补贴，吸纳零就业家庭成员就业的另按照每人 </w:t>
      </w:r>
      <w:r>
        <w:rPr>
          <w:sz w:val="32"/>
        </w:rPr>
        <w:t>1000</w:t>
      </w:r>
      <w:r>
        <w:rPr>
          <w:spacing w:val="-13"/>
          <w:sz w:val="32"/>
        </w:rPr>
        <w:t> 元标准给予一次性岗位补助。</w:t>
      </w:r>
    </w:p>
    <w:p>
      <w:pPr>
        <w:pStyle w:val="BodyText"/>
        <w:spacing w:line="304" w:lineRule="auto"/>
        <w:ind w:right="104" w:firstLine="720"/>
        <w:jc w:val="both"/>
      </w:pPr>
      <w:r>
        <w:rPr>
          <w:spacing w:val="-8"/>
        </w:rPr>
        <w:t>用人单位申报社会保险补贴、岗位补贴，应当提供《公益性</w:t>
      </w:r>
      <w:r>
        <w:rPr>
          <w:spacing w:val="-12"/>
        </w:rPr>
        <w:t>岗位社保补贴和岗位补贴申报表》</w:t>
      </w:r>
      <w:r>
        <w:rPr>
          <w:spacing w:val="-1"/>
        </w:rPr>
        <w:t>（</w:t>
      </w:r>
      <w:r>
        <w:rPr>
          <w:spacing w:val="-22"/>
        </w:rPr>
        <w:t>见附件 </w:t>
      </w:r>
      <w:r>
        <w:rPr>
          <w:spacing w:val="-4"/>
        </w:rPr>
        <w:t>5</w:t>
      </w:r>
      <w:r>
        <w:rPr>
          <w:spacing w:val="-161"/>
        </w:rPr>
        <w:t>）</w:t>
      </w:r>
      <w:r>
        <w:rPr>
          <w:spacing w:val="-3"/>
        </w:rPr>
        <w:t>、公益性岗位人员</w:t>
      </w:r>
      <w:r>
        <w:rPr>
          <w:spacing w:val="-8"/>
        </w:rPr>
        <w:t>工资明细账（单</w:t>
      </w:r>
      <w:r>
        <w:rPr>
          <w:spacing w:val="-168"/>
        </w:rPr>
        <w:t>）</w:t>
      </w:r>
      <w:r>
        <w:rPr/>
        <w:t>。</w:t>
      </w:r>
    </w:p>
    <w:p>
      <w:pPr>
        <w:pStyle w:val="BodyText"/>
        <w:spacing w:line="304" w:lineRule="auto"/>
        <w:ind w:right="112" w:firstLine="640"/>
        <w:jc w:val="both"/>
      </w:pPr>
      <w:r>
        <w:rPr>
          <w:spacing w:val="8"/>
        </w:rPr>
        <w:t>（三）</w:t>
      </w:r>
      <w:r>
        <w:rPr>
          <w:spacing w:val="7"/>
        </w:rPr>
        <w:t>临时性公益性岗位补贴。由就业补助资金按照每人</w:t>
      </w:r>
      <w:r>
        <w:rPr>
          <w:spacing w:val="-22"/>
        </w:rPr>
        <w:t>每月 </w:t>
      </w:r>
      <w:r>
        <w:rPr/>
        <w:t>400</w:t>
      </w:r>
      <w:r>
        <w:rPr>
          <w:spacing w:val="-6"/>
        </w:rPr>
        <w:t> 元标准给予岗位补贴，补贴期限最高不超过 </w:t>
      </w:r>
      <w:r>
        <w:rPr/>
        <w:t>6</w:t>
      </w:r>
      <w:r>
        <w:rPr>
          <w:spacing w:val="-17"/>
        </w:rPr>
        <w:t> 个月。</w:t>
      </w:r>
      <w:r>
        <w:rPr>
          <w:spacing w:val="6"/>
        </w:rPr>
        <w:t>岗位补贴按月发放，由用人单位统计填写《退捕渔民临时性公</w:t>
      </w:r>
      <w:r>
        <w:rPr>
          <w:spacing w:val="-8"/>
        </w:rPr>
        <w:t>益性岗位岗位补贴发放表》</w:t>
      </w:r>
      <w:r>
        <w:rPr/>
        <w:t>（</w:t>
      </w:r>
      <w:r>
        <w:rPr>
          <w:spacing w:val="-20"/>
        </w:rPr>
        <w:t>见附件 </w:t>
      </w:r>
      <w:r>
        <w:rPr/>
        <w:t>6</w:t>
      </w:r>
      <w:r>
        <w:rPr>
          <w:spacing w:val="-160"/>
        </w:rPr>
        <w:t>）</w:t>
      </w:r>
      <w:r>
        <w:rPr/>
        <w:t>，报县人社局审批。</w:t>
      </w:r>
    </w:p>
    <w:p>
      <w:pPr>
        <w:pStyle w:val="BodyText"/>
        <w:spacing w:line="407" w:lineRule="exact"/>
        <w:ind w:left="748"/>
        <w:rPr>
          <w:rFonts w:ascii="黑体" w:eastAsia="黑体" w:hint="eastAsia"/>
        </w:rPr>
      </w:pPr>
      <w:r>
        <w:rPr>
          <w:rFonts w:ascii="黑体" w:eastAsia="黑体" w:hint="eastAsia"/>
        </w:rPr>
        <w:t>四、岗位管理</w:t>
      </w:r>
    </w:p>
    <w:p>
      <w:pPr>
        <w:pStyle w:val="BodyText"/>
        <w:spacing w:line="304" w:lineRule="auto" w:before="100"/>
        <w:ind w:right="111" w:firstLine="480"/>
        <w:jc w:val="both"/>
      </w:pPr>
      <w:r>
        <w:rPr/>
        <w:t>（一）公益性岗位开发管理要凸显“托底线、救急难、临时性”属性，加强部门横向协调，健全“按需设岗、以岗聘任、在岗领补、有序退岗”管理机制，科学控制公益性岗位规模， 适时调整安置对象范围。</w:t>
      </w:r>
    </w:p>
    <w:p>
      <w:pPr>
        <w:pStyle w:val="BodyText"/>
        <w:spacing w:line="407" w:lineRule="exact"/>
        <w:ind w:left="588"/>
      </w:pPr>
      <w:r>
        <w:rPr/>
        <w:t>（二）用人单位依法与公益性岗位就业人员签订劳动合同</w:t>
      </w:r>
    </w:p>
    <w:p>
      <w:pPr>
        <w:spacing w:after="0" w:line="407" w:lineRule="exact"/>
        <w:sectPr>
          <w:pgSz w:w="11910" w:h="16840"/>
          <w:pgMar w:header="0" w:footer="1838" w:top="1580" w:bottom="2020" w:left="1480" w:right="1360"/>
        </w:sectPr>
      </w:pPr>
    </w:p>
    <w:p>
      <w:pPr>
        <w:pStyle w:val="BodyText"/>
        <w:ind w:left="0"/>
        <w:rPr>
          <w:sz w:val="20"/>
        </w:rPr>
      </w:pPr>
    </w:p>
    <w:p>
      <w:pPr>
        <w:pStyle w:val="BodyText"/>
        <w:spacing w:before="2"/>
        <w:ind w:left="0"/>
        <w:rPr>
          <w:sz w:val="22"/>
        </w:rPr>
      </w:pPr>
    </w:p>
    <w:p>
      <w:pPr>
        <w:pStyle w:val="BodyText"/>
        <w:spacing w:line="304" w:lineRule="auto" w:before="56"/>
        <w:ind w:right="193"/>
        <w:jc w:val="both"/>
      </w:pPr>
      <w:r>
        <w:rPr>
          <w:spacing w:val="14"/>
        </w:rPr>
        <w:t>（或协议</w:t>
      </w:r>
      <w:r>
        <w:rPr>
          <w:spacing w:val="-146"/>
        </w:rPr>
        <w:t>）</w:t>
      </w:r>
      <w:r>
        <w:rPr>
          <w:spacing w:val="14"/>
        </w:rPr>
        <w:t>，约定双方的权利、义务（</w:t>
      </w:r>
      <w:r>
        <w:rPr/>
        <w:t>具体详见附件 7</w:t>
      </w:r>
      <w:r>
        <w:rPr>
          <w:spacing w:val="9"/>
        </w:rPr>
        <w:t>、附件 8</w:t>
      </w:r>
      <w:r>
        <w:rPr>
          <w:spacing w:val="-160"/>
        </w:rPr>
        <w:t>）</w:t>
      </w:r>
      <w:r>
        <w:rPr/>
        <w:t>。</w:t>
      </w:r>
    </w:p>
    <w:p>
      <w:pPr>
        <w:pStyle w:val="BodyText"/>
        <w:spacing w:line="304" w:lineRule="auto"/>
        <w:ind w:right="111" w:firstLine="480"/>
        <w:jc w:val="both"/>
      </w:pPr>
      <w:r>
        <w:rPr/>
        <w:t>（三）用人单位履行劳动合同主体责任，依法提供劳动保护和劳动条件，严格按照公益性岗位政策规定建立健全规章制度，承担日常考勤和管理工作。</w:t>
      </w:r>
    </w:p>
    <w:p>
      <w:pPr>
        <w:pStyle w:val="BodyText"/>
        <w:spacing w:line="304" w:lineRule="auto"/>
        <w:ind w:right="111" w:firstLine="480"/>
      </w:pPr>
      <w:r>
        <w:rPr/>
        <w:t>（四）公益性岗位人员应自觉遵守用人单位的劳动纪律和规章制度，认真履行岗位工作职责。</w:t>
      </w:r>
    </w:p>
    <w:p>
      <w:pPr>
        <w:pStyle w:val="BodyText"/>
        <w:spacing w:line="304" w:lineRule="auto"/>
        <w:ind w:right="113" w:firstLine="480"/>
        <w:jc w:val="both"/>
      </w:pPr>
      <w:r>
        <w:rPr/>
        <w:t>（五）建立公益性岗位人员动态退出机制，退捕渔民公益性岗位人员退出时，用人单位按有关规定解除或终止公益性岗位劳动合同。</w:t>
      </w:r>
    </w:p>
    <w:p>
      <w:pPr>
        <w:pStyle w:val="BodyText"/>
        <w:spacing w:line="408" w:lineRule="exact"/>
        <w:ind w:left="748"/>
        <w:rPr>
          <w:rFonts w:ascii="黑体" w:eastAsia="黑体" w:hint="eastAsia"/>
        </w:rPr>
      </w:pPr>
      <w:r>
        <w:rPr>
          <w:rFonts w:ascii="黑体" w:eastAsia="黑体" w:hint="eastAsia"/>
        </w:rPr>
        <w:t>五、相关要求</w:t>
      </w:r>
    </w:p>
    <w:p>
      <w:pPr>
        <w:pStyle w:val="BodyText"/>
        <w:spacing w:line="304" w:lineRule="auto" w:before="105"/>
        <w:ind w:right="111" w:firstLine="640"/>
        <w:jc w:val="both"/>
      </w:pPr>
      <w:r>
        <w:rPr/>
        <w:t>（一）退捕渔民公益性岗位安置应精准把握退捕渔民劳动能力和就业需求，坚持“按需设岗、科学开发、岗需互选、人岗匹配”原则，确保岗位条件明确、职责清晰，人员安置合理合规。</w:t>
      </w:r>
    </w:p>
    <w:p>
      <w:pPr>
        <w:pStyle w:val="BodyText"/>
        <w:spacing w:line="304" w:lineRule="auto"/>
        <w:ind w:right="111" w:firstLine="640"/>
      </w:pPr>
      <w:r>
        <w:rPr/>
        <w:t>（二）按照“谁用人、谁管理”的原则，做好在公益性岗位人员管理，杜绝“变相发钱”，防止福利化倾向。</w:t>
      </w:r>
    </w:p>
    <w:p>
      <w:pPr>
        <w:pStyle w:val="BodyText"/>
        <w:spacing w:line="304" w:lineRule="auto"/>
        <w:ind w:right="111" w:firstLine="640"/>
      </w:pPr>
      <w:r>
        <w:rPr/>
        <w:t>（三）用人单位应组织退捕渔民公益性岗位安置人员在上岗前进行岗位培训。</w:t>
      </w:r>
    </w:p>
    <w:p>
      <w:pPr>
        <w:pStyle w:val="BodyText"/>
        <w:spacing w:line="304" w:lineRule="auto"/>
        <w:ind w:right="111" w:firstLine="640"/>
        <w:jc w:val="both"/>
      </w:pPr>
      <w:r>
        <w:rPr/>
        <w:t>（四）用人单位、人社部门要加强对公益性岗位的监管， 不定时检查公益性岗位人员岗位履职情况，对不符合安置条件、人岗不匹配以及挂名领工资等情况，应及时纠正；对岗位安置人员不能胜任岗位要求、不能正常履职、不服从岗位管理等情况，应及时解除劳动合同或劳务关系。建立公益性岗位动</w:t>
      </w:r>
    </w:p>
    <w:p>
      <w:pPr>
        <w:spacing w:after="0" w:line="304" w:lineRule="auto"/>
        <w:jc w:val="both"/>
        <w:sectPr>
          <w:pgSz w:w="11910" w:h="16840"/>
          <w:pgMar w:header="0" w:footer="1838" w:top="1580" w:bottom="2020" w:left="1480" w:right="1360"/>
        </w:sectPr>
      </w:pPr>
    </w:p>
    <w:p>
      <w:pPr>
        <w:pStyle w:val="BodyText"/>
        <w:ind w:left="0"/>
        <w:rPr>
          <w:sz w:val="20"/>
        </w:rPr>
      </w:pPr>
    </w:p>
    <w:p>
      <w:pPr>
        <w:pStyle w:val="BodyText"/>
        <w:spacing w:before="2"/>
        <w:ind w:left="0"/>
        <w:rPr>
          <w:sz w:val="22"/>
        </w:rPr>
      </w:pPr>
    </w:p>
    <w:p>
      <w:pPr>
        <w:pStyle w:val="BodyText"/>
        <w:spacing w:line="304" w:lineRule="auto" w:before="56"/>
        <w:ind w:right="112"/>
      </w:pPr>
      <w:r>
        <w:rPr/>
        <w:t>态调整机制，及时调整不适合岗位要求的人员，并按要求补充到位。</w:t>
      </w:r>
    </w:p>
    <w:p>
      <w:pPr>
        <w:pStyle w:val="BodyText"/>
        <w:spacing w:before="5"/>
        <w:ind w:left="0"/>
        <w:rPr>
          <w:sz w:val="40"/>
        </w:rPr>
      </w:pPr>
    </w:p>
    <w:p>
      <w:pPr>
        <w:pStyle w:val="BodyText"/>
        <w:spacing w:before="1"/>
        <w:ind w:left="748"/>
      </w:pPr>
      <w:r>
        <w:rPr/>
        <w:t>附件: 1.退捕渔民公益性岗位申报表</w:t>
      </w:r>
    </w:p>
    <w:p>
      <w:pPr>
        <w:pStyle w:val="ListParagraph"/>
        <w:numPr>
          <w:ilvl w:val="1"/>
          <w:numId w:val="3"/>
        </w:numPr>
        <w:tabs>
          <w:tab w:pos="2029" w:val="left" w:leader="none"/>
        </w:tabs>
        <w:spacing w:line="240" w:lineRule="auto" w:before="110" w:after="0"/>
        <w:ind w:left="2029" w:right="0" w:hanging="321"/>
        <w:jc w:val="left"/>
        <w:rPr>
          <w:sz w:val="32"/>
        </w:rPr>
      </w:pPr>
      <w:r>
        <w:rPr>
          <w:sz w:val="32"/>
        </w:rPr>
        <w:t>退捕渔民公益性岗位就业意向申请表</w:t>
      </w:r>
    </w:p>
    <w:p>
      <w:pPr>
        <w:pStyle w:val="ListParagraph"/>
        <w:numPr>
          <w:ilvl w:val="1"/>
          <w:numId w:val="3"/>
        </w:numPr>
        <w:tabs>
          <w:tab w:pos="2029" w:val="left" w:leader="none"/>
        </w:tabs>
        <w:spacing w:line="240" w:lineRule="auto" w:before="110" w:after="0"/>
        <w:ind w:left="2029" w:right="0" w:hanging="321"/>
        <w:jc w:val="left"/>
        <w:rPr>
          <w:sz w:val="32"/>
        </w:rPr>
      </w:pPr>
      <w:r>
        <w:rPr>
          <w:sz w:val="32"/>
        </w:rPr>
        <w:t>退捕渔民临时性公益性岗位申报表</w:t>
      </w:r>
    </w:p>
    <w:p>
      <w:pPr>
        <w:pStyle w:val="ListParagraph"/>
        <w:numPr>
          <w:ilvl w:val="1"/>
          <w:numId w:val="3"/>
        </w:numPr>
        <w:tabs>
          <w:tab w:pos="2029" w:val="left" w:leader="none"/>
        </w:tabs>
        <w:spacing w:line="240" w:lineRule="auto" w:before="110" w:after="0"/>
        <w:ind w:left="2029" w:right="0" w:hanging="321"/>
        <w:jc w:val="left"/>
        <w:rPr>
          <w:sz w:val="32"/>
        </w:rPr>
      </w:pPr>
      <w:r>
        <w:rPr>
          <w:sz w:val="32"/>
        </w:rPr>
        <w:t>退捕渔民临时性公益性岗位就业意向申请表</w:t>
      </w:r>
    </w:p>
    <w:p>
      <w:pPr>
        <w:pStyle w:val="ListParagraph"/>
        <w:numPr>
          <w:ilvl w:val="1"/>
          <w:numId w:val="3"/>
        </w:numPr>
        <w:tabs>
          <w:tab w:pos="2029" w:val="left" w:leader="none"/>
        </w:tabs>
        <w:spacing w:line="240" w:lineRule="auto" w:before="110" w:after="0"/>
        <w:ind w:left="2029" w:right="0" w:hanging="321"/>
        <w:jc w:val="left"/>
        <w:rPr>
          <w:sz w:val="32"/>
        </w:rPr>
      </w:pPr>
      <w:r>
        <w:rPr>
          <w:sz w:val="32"/>
        </w:rPr>
        <w:t>退捕渔民公益性岗位社保补贴和岗位补贴申报表</w:t>
      </w:r>
    </w:p>
    <w:p>
      <w:pPr>
        <w:pStyle w:val="ListParagraph"/>
        <w:numPr>
          <w:ilvl w:val="1"/>
          <w:numId w:val="3"/>
        </w:numPr>
        <w:tabs>
          <w:tab w:pos="2029" w:val="left" w:leader="none"/>
        </w:tabs>
        <w:spacing w:line="240" w:lineRule="auto" w:before="110" w:after="0"/>
        <w:ind w:left="2029" w:right="0" w:hanging="321"/>
        <w:jc w:val="left"/>
        <w:rPr>
          <w:sz w:val="32"/>
        </w:rPr>
      </w:pPr>
      <w:r>
        <w:rPr>
          <w:sz w:val="32"/>
        </w:rPr>
        <w:t>退捕渔民临时性公益性岗位岗位补贴发放表</w:t>
      </w:r>
    </w:p>
    <w:p>
      <w:pPr>
        <w:pStyle w:val="ListParagraph"/>
        <w:numPr>
          <w:ilvl w:val="1"/>
          <w:numId w:val="3"/>
        </w:numPr>
        <w:tabs>
          <w:tab w:pos="2029" w:val="left" w:leader="none"/>
        </w:tabs>
        <w:spacing w:line="240" w:lineRule="auto" w:before="110" w:after="0"/>
        <w:ind w:left="2029" w:right="0" w:hanging="321"/>
        <w:jc w:val="left"/>
        <w:rPr>
          <w:sz w:val="32"/>
        </w:rPr>
      </w:pPr>
      <w:r>
        <w:rPr>
          <w:sz w:val="32"/>
        </w:rPr>
        <w:t>退捕渔民公益性岗位劳动合同</w:t>
      </w:r>
    </w:p>
    <w:p>
      <w:pPr>
        <w:pStyle w:val="ListParagraph"/>
        <w:numPr>
          <w:ilvl w:val="1"/>
          <w:numId w:val="3"/>
        </w:numPr>
        <w:tabs>
          <w:tab w:pos="2029" w:val="left" w:leader="none"/>
        </w:tabs>
        <w:spacing w:line="240" w:lineRule="auto" w:before="110" w:after="0"/>
        <w:ind w:left="2029" w:right="0" w:hanging="321"/>
        <w:jc w:val="left"/>
        <w:rPr>
          <w:sz w:val="32"/>
        </w:rPr>
      </w:pPr>
      <w:r>
        <w:rPr>
          <w:sz w:val="32"/>
        </w:rPr>
        <w:t>退捕渔民临时公益性岗位劳务协议</w:t>
      </w:r>
    </w:p>
    <w:sectPr>
      <w:pgSz w:w="11910" w:h="16840"/>
      <w:pgMar w:header="0" w:footer="1838" w:top="1580" w:bottom="2020" w:left="1480" w:right="1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仿宋">
    <w:altName w:val="仿宋"/>
    <w:charset w:val="86"/>
    <w:family w:val="modern"/>
    <w:pitch w:val="fixed"/>
  </w:font>
  <w:font w:name="黑体">
    <w:altName w:val="黑体"/>
    <w:charset w:val="86"/>
    <w:family w:val="modern"/>
    <w:pitch w:val="fixed"/>
  </w:font>
  <w:font w:name="Microsoft JhengHei">
    <w:altName w:val="Microsoft JhengHei"/>
    <w:charset w:val="0"/>
    <w:family w:val="swiss"/>
    <w:pitch w:val="variable"/>
  </w:font>
  <w:font w:name="楷体">
    <w:altName w:val="楷体"/>
    <w:charset w:val="86"/>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type id="_x0000_t202" o:spt="202" coordsize="21600,21600" path="m,l,21600r21600,l21600,xe">
          <v:stroke joinstyle="miter"/>
          <v:path gradientshapeok="t" o:connecttype="rect"/>
        </v:shapetype>
        <v:shape style="position:absolute;margin-left:295pt;margin-top:739.02478pt;width:11pt;height:16pt;mso-position-horizontal-relative:page;mso-position-vertical-relative:page;z-index:-251823104" type="#_x0000_t202" filled="false" stroked="false">
          <v:textbox inset="0,0,0,0">
            <w:txbxContent>
              <w:p>
                <w:pPr>
                  <w:spacing w:line="320" w:lineRule="exact" w:before="0"/>
                  <w:ind w:left="40" w:right="0" w:firstLine="0"/>
                  <w:jc w:val="left"/>
                  <w:rPr>
                    <w:sz w:val="28"/>
                  </w:rPr>
                </w:pPr>
                <w:r>
                  <w:rPr/>
                  <w:fldChar w:fldCharType="begin"/>
                </w:r>
                <w:r>
                  <w:rPr>
                    <w:sz w:val="28"/>
                  </w:rPr>
                  <w:instrText> PAGE </w:instrText>
                </w:r>
                <w:r>
                  <w:rPr/>
                  <w:fldChar w:fldCharType="separate"/>
                </w:r>
                <w:r>
                  <w:rPr/>
                  <w:t>1</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108" w:hanging="321"/>
        <w:jc w:val="left"/>
      </w:pPr>
      <w:rPr>
        <w:rFonts w:hint="default" w:ascii="仿宋" w:hAnsi="仿宋" w:eastAsia="仿宋" w:cs="仿宋"/>
        <w:w w:val="100"/>
        <w:sz w:val="30"/>
        <w:szCs w:val="30"/>
        <w:lang w:val="zh-CN" w:eastAsia="zh-CN" w:bidi="zh-CN"/>
      </w:rPr>
    </w:lvl>
    <w:lvl w:ilvl="1">
      <w:start w:val="2"/>
      <w:numFmt w:val="decimal"/>
      <w:lvlText w:val="%2."/>
      <w:lvlJc w:val="left"/>
      <w:pPr>
        <w:ind w:left="2029" w:hanging="321"/>
        <w:jc w:val="left"/>
      </w:pPr>
      <w:rPr>
        <w:rFonts w:hint="default" w:ascii="仿宋" w:hAnsi="仿宋" w:eastAsia="仿宋" w:cs="仿宋"/>
        <w:w w:val="100"/>
        <w:sz w:val="30"/>
        <w:szCs w:val="30"/>
        <w:lang w:val="zh-CN" w:eastAsia="zh-CN" w:bidi="zh-CN"/>
      </w:rPr>
    </w:lvl>
    <w:lvl w:ilvl="2">
      <w:start w:val="0"/>
      <w:numFmt w:val="bullet"/>
      <w:lvlText w:val="•"/>
      <w:lvlJc w:val="left"/>
      <w:pPr>
        <w:ind w:left="2802" w:hanging="321"/>
      </w:pPr>
      <w:rPr>
        <w:rFonts w:hint="default"/>
        <w:lang w:val="zh-CN" w:eastAsia="zh-CN" w:bidi="zh-CN"/>
      </w:rPr>
    </w:lvl>
    <w:lvl w:ilvl="3">
      <w:start w:val="0"/>
      <w:numFmt w:val="bullet"/>
      <w:lvlText w:val="•"/>
      <w:lvlJc w:val="left"/>
      <w:pPr>
        <w:ind w:left="3585" w:hanging="321"/>
      </w:pPr>
      <w:rPr>
        <w:rFonts w:hint="default"/>
        <w:lang w:val="zh-CN" w:eastAsia="zh-CN" w:bidi="zh-CN"/>
      </w:rPr>
    </w:lvl>
    <w:lvl w:ilvl="4">
      <w:start w:val="0"/>
      <w:numFmt w:val="bullet"/>
      <w:lvlText w:val="•"/>
      <w:lvlJc w:val="left"/>
      <w:pPr>
        <w:ind w:left="4368" w:hanging="321"/>
      </w:pPr>
      <w:rPr>
        <w:rFonts w:hint="default"/>
        <w:lang w:val="zh-CN" w:eastAsia="zh-CN" w:bidi="zh-CN"/>
      </w:rPr>
    </w:lvl>
    <w:lvl w:ilvl="5">
      <w:start w:val="0"/>
      <w:numFmt w:val="bullet"/>
      <w:lvlText w:val="•"/>
      <w:lvlJc w:val="left"/>
      <w:pPr>
        <w:ind w:left="5151" w:hanging="321"/>
      </w:pPr>
      <w:rPr>
        <w:rFonts w:hint="default"/>
        <w:lang w:val="zh-CN" w:eastAsia="zh-CN" w:bidi="zh-CN"/>
      </w:rPr>
    </w:lvl>
    <w:lvl w:ilvl="6">
      <w:start w:val="0"/>
      <w:numFmt w:val="bullet"/>
      <w:lvlText w:val="•"/>
      <w:lvlJc w:val="left"/>
      <w:pPr>
        <w:ind w:left="5934" w:hanging="321"/>
      </w:pPr>
      <w:rPr>
        <w:rFonts w:hint="default"/>
        <w:lang w:val="zh-CN" w:eastAsia="zh-CN" w:bidi="zh-CN"/>
      </w:rPr>
    </w:lvl>
    <w:lvl w:ilvl="7">
      <w:start w:val="0"/>
      <w:numFmt w:val="bullet"/>
      <w:lvlText w:val="•"/>
      <w:lvlJc w:val="left"/>
      <w:pPr>
        <w:ind w:left="6717" w:hanging="321"/>
      </w:pPr>
      <w:rPr>
        <w:rFonts w:hint="default"/>
        <w:lang w:val="zh-CN" w:eastAsia="zh-CN" w:bidi="zh-CN"/>
      </w:rPr>
    </w:lvl>
    <w:lvl w:ilvl="8">
      <w:start w:val="0"/>
      <w:numFmt w:val="bullet"/>
      <w:lvlText w:val="•"/>
      <w:lvlJc w:val="left"/>
      <w:pPr>
        <w:ind w:left="7500" w:hanging="321"/>
      </w:pPr>
      <w:rPr>
        <w:rFonts w:hint="default"/>
        <w:lang w:val="zh-CN" w:eastAsia="zh-CN" w:bidi="zh-CN"/>
      </w:rPr>
    </w:lvl>
  </w:abstractNum>
  <w:abstractNum w:abstractNumId="1">
    <w:multiLevelType w:val="hybridMultilevel"/>
    <w:lvl w:ilvl="0">
      <w:start w:val="1"/>
      <w:numFmt w:val="decimal"/>
      <w:lvlText w:val="%1."/>
      <w:lvlJc w:val="left"/>
      <w:pPr>
        <w:ind w:left="108" w:hanging="321"/>
        <w:jc w:val="left"/>
      </w:pPr>
      <w:rPr>
        <w:rFonts w:hint="default" w:ascii="仿宋" w:hAnsi="仿宋" w:eastAsia="仿宋" w:cs="仿宋"/>
        <w:w w:val="100"/>
        <w:sz w:val="30"/>
        <w:szCs w:val="30"/>
        <w:lang w:val="zh-CN" w:eastAsia="zh-CN" w:bidi="zh-CN"/>
      </w:rPr>
    </w:lvl>
    <w:lvl w:ilvl="1">
      <w:start w:val="0"/>
      <w:numFmt w:val="bullet"/>
      <w:lvlText w:val="•"/>
      <w:lvlJc w:val="left"/>
      <w:pPr>
        <w:ind w:left="996" w:hanging="321"/>
      </w:pPr>
      <w:rPr>
        <w:rFonts w:hint="default"/>
        <w:lang w:val="zh-CN" w:eastAsia="zh-CN" w:bidi="zh-CN"/>
      </w:rPr>
    </w:lvl>
    <w:lvl w:ilvl="2">
      <w:start w:val="0"/>
      <w:numFmt w:val="bullet"/>
      <w:lvlText w:val="•"/>
      <w:lvlJc w:val="left"/>
      <w:pPr>
        <w:ind w:left="1893" w:hanging="321"/>
      </w:pPr>
      <w:rPr>
        <w:rFonts w:hint="default"/>
        <w:lang w:val="zh-CN" w:eastAsia="zh-CN" w:bidi="zh-CN"/>
      </w:rPr>
    </w:lvl>
    <w:lvl w:ilvl="3">
      <w:start w:val="0"/>
      <w:numFmt w:val="bullet"/>
      <w:lvlText w:val="•"/>
      <w:lvlJc w:val="left"/>
      <w:pPr>
        <w:ind w:left="2789" w:hanging="321"/>
      </w:pPr>
      <w:rPr>
        <w:rFonts w:hint="default"/>
        <w:lang w:val="zh-CN" w:eastAsia="zh-CN" w:bidi="zh-CN"/>
      </w:rPr>
    </w:lvl>
    <w:lvl w:ilvl="4">
      <w:start w:val="0"/>
      <w:numFmt w:val="bullet"/>
      <w:lvlText w:val="•"/>
      <w:lvlJc w:val="left"/>
      <w:pPr>
        <w:ind w:left="3686" w:hanging="321"/>
      </w:pPr>
      <w:rPr>
        <w:rFonts w:hint="default"/>
        <w:lang w:val="zh-CN" w:eastAsia="zh-CN" w:bidi="zh-CN"/>
      </w:rPr>
    </w:lvl>
    <w:lvl w:ilvl="5">
      <w:start w:val="0"/>
      <w:numFmt w:val="bullet"/>
      <w:lvlText w:val="•"/>
      <w:lvlJc w:val="left"/>
      <w:pPr>
        <w:ind w:left="4583" w:hanging="321"/>
      </w:pPr>
      <w:rPr>
        <w:rFonts w:hint="default"/>
        <w:lang w:val="zh-CN" w:eastAsia="zh-CN" w:bidi="zh-CN"/>
      </w:rPr>
    </w:lvl>
    <w:lvl w:ilvl="6">
      <w:start w:val="0"/>
      <w:numFmt w:val="bullet"/>
      <w:lvlText w:val="•"/>
      <w:lvlJc w:val="left"/>
      <w:pPr>
        <w:ind w:left="5479" w:hanging="321"/>
      </w:pPr>
      <w:rPr>
        <w:rFonts w:hint="default"/>
        <w:lang w:val="zh-CN" w:eastAsia="zh-CN" w:bidi="zh-CN"/>
      </w:rPr>
    </w:lvl>
    <w:lvl w:ilvl="7">
      <w:start w:val="0"/>
      <w:numFmt w:val="bullet"/>
      <w:lvlText w:val="•"/>
      <w:lvlJc w:val="left"/>
      <w:pPr>
        <w:ind w:left="6376" w:hanging="321"/>
      </w:pPr>
      <w:rPr>
        <w:rFonts w:hint="default"/>
        <w:lang w:val="zh-CN" w:eastAsia="zh-CN" w:bidi="zh-CN"/>
      </w:rPr>
    </w:lvl>
    <w:lvl w:ilvl="8">
      <w:start w:val="0"/>
      <w:numFmt w:val="bullet"/>
      <w:lvlText w:val="•"/>
      <w:lvlJc w:val="left"/>
      <w:pPr>
        <w:ind w:left="7272" w:hanging="321"/>
      </w:pPr>
      <w:rPr>
        <w:rFonts w:hint="default"/>
        <w:lang w:val="zh-CN" w:eastAsia="zh-CN" w:bidi="zh-CN"/>
      </w:rPr>
    </w:lvl>
  </w:abstractNum>
  <w:abstractNum w:abstractNumId="0">
    <w:multiLevelType w:val="hybridMultilevel"/>
    <w:lvl w:ilvl="0">
      <w:start w:val="1"/>
      <w:numFmt w:val="decimal"/>
      <w:lvlText w:val="%1."/>
      <w:lvlJc w:val="left"/>
      <w:pPr>
        <w:ind w:left="1069" w:hanging="321"/>
        <w:jc w:val="left"/>
      </w:pPr>
      <w:rPr>
        <w:rFonts w:hint="default" w:ascii="仿宋" w:hAnsi="仿宋" w:eastAsia="仿宋" w:cs="仿宋"/>
        <w:w w:val="100"/>
        <w:sz w:val="30"/>
        <w:szCs w:val="30"/>
        <w:lang w:val="zh-CN" w:eastAsia="zh-CN" w:bidi="zh-CN"/>
      </w:rPr>
    </w:lvl>
    <w:lvl w:ilvl="1">
      <w:start w:val="0"/>
      <w:numFmt w:val="bullet"/>
      <w:lvlText w:val="•"/>
      <w:lvlJc w:val="left"/>
      <w:pPr>
        <w:ind w:left="1860" w:hanging="321"/>
      </w:pPr>
      <w:rPr>
        <w:rFonts w:hint="default"/>
        <w:lang w:val="zh-CN" w:eastAsia="zh-CN" w:bidi="zh-CN"/>
      </w:rPr>
    </w:lvl>
    <w:lvl w:ilvl="2">
      <w:start w:val="0"/>
      <w:numFmt w:val="bullet"/>
      <w:lvlText w:val="•"/>
      <w:lvlJc w:val="left"/>
      <w:pPr>
        <w:ind w:left="2661" w:hanging="321"/>
      </w:pPr>
      <w:rPr>
        <w:rFonts w:hint="default"/>
        <w:lang w:val="zh-CN" w:eastAsia="zh-CN" w:bidi="zh-CN"/>
      </w:rPr>
    </w:lvl>
    <w:lvl w:ilvl="3">
      <w:start w:val="0"/>
      <w:numFmt w:val="bullet"/>
      <w:lvlText w:val="•"/>
      <w:lvlJc w:val="left"/>
      <w:pPr>
        <w:ind w:left="3461" w:hanging="321"/>
      </w:pPr>
      <w:rPr>
        <w:rFonts w:hint="default"/>
        <w:lang w:val="zh-CN" w:eastAsia="zh-CN" w:bidi="zh-CN"/>
      </w:rPr>
    </w:lvl>
    <w:lvl w:ilvl="4">
      <w:start w:val="0"/>
      <w:numFmt w:val="bullet"/>
      <w:lvlText w:val="•"/>
      <w:lvlJc w:val="left"/>
      <w:pPr>
        <w:ind w:left="4262" w:hanging="321"/>
      </w:pPr>
      <w:rPr>
        <w:rFonts w:hint="default"/>
        <w:lang w:val="zh-CN" w:eastAsia="zh-CN" w:bidi="zh-CN"/>
      </w:rPr>
    </w:lvl>
    <w:lvl w:ilvl="5">
      <w:start w:val="0"/>
      <w:numFmt w:val="bullet"/>
      <w:lvlText w:val="•"/>
      <w:lvlJc w:val="left"/>
      <w:pPr>
        <w:ind w:left="5063" w:hanging="321"/>
      </w:pPr>
      <w:rPr>
        <w:rFonts w:hint="default"/>
        <w:lang w:val="zh-CN" w:eastAsia="zh-CN" w:bidi="zh-CN"/>
      </w:rPr>
    </w:lvl>
    <w:lvl w:ilvl="6">
      <w:start w:val="0"/>
      <w:numFmt w:val="bullet"/>
      <w:lvlText w:val="•"/>
      <w:lvlJc w:val="left"/>
      <w:pPr>
        <w:ind w:left="5863" w:hanging="321"/>
      </w:pPr>
      <w:rPr>
        <w:rFonts w:hint="default"/>
        <w:lang w:val="zh-CN" w:eastAsia="zh-CN" w:bidi="zh-CN"/>
      </w:rPr>
    </w:lvl>
    <w:lvl w:ilvl="7">
      <w:start w:val="0"/>
      <w:numFmt w:val="bullet"/>
      <w:lvlText w:val="•"/>
      <w:lvlJc w:val="left"/>
      <w:pPr>
        <w:ind w:left="6664" w:hanging="321"/>
      </w:pPr>
      <w:rPr>
        <w:rFonts w:hint="default"/>
        <w:lang w:val="zh-CN" w:eastAsia="zh-CN" w:bidi="zh-CN"/>
      </w:rPr>
    </w:lvl>
    <w:lvl w:ilvl="8">
      <w:start w:val="0"/>
      <w:numFmt w:val="bullet"/>
      <w:lvlText w:val="•"/>
      <w:lvlJc w:val="left"/>
      <w:pPr>
        <w:ind w:left="7464" w:hanging="321"/>
      </w:pPr>
      <w:rPr>
        <w:rFonts w:hint="default"/>
        <w:lang w:val="zh-CN" w:eastAsia="zh-CN" w:bidi="zh-CN"/>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仿宋" w:hAnsi="仿宋" w:eastAsia="仿宋" w:cs="仿宋"/>
      <w:lang w:val="zh-CN" w:eastAsia="zh-CN" w:bidi="zh-CN"/>
    </w:rPr>
  </w:style>
  <w:style w:styleId="BodyText" w:type="paragraph">
    <w:name w:val="Body Text"/>
    <w:basedOn w:val="Normal"/>
    <w:uiPriority w:val="1"/>
    <w:qFormat/>
    <w:pPr>
      <w:ind w:left="108"/>
    </w:pPr>
    <w:rPr>
      <w:rFonts w:ascii="仿宋" w:hAnsi="仿宋" w:eastAsia="仿宋" w:cs="仿宋"/>
      <w:sz w:val="32"/>
      <w:szCs w:val="32"/>
      <w:lang w:val="zh-CN" w:eastAsia="zh-CN" w:bidi="zh-CN"/>
    </w:rPr>
  </w:style>
  <w:style w:styleId="Heading1" w:type="paragraph">
    <w:name w:val="Heading 1"/>
    <w:basedOn w:val="Normal"/>
    <w:uiPriority w:val="1"/>
    <w:qFormat/>
    <w:pPr>
      <w:spacing w:before="38"/>
      <w:ind w:left="108"/>
      <w:outlineLvl w:val="1"/>
    </w:pPr>
    <w:rPr>
      <w:rFonts w:ascii="黑体" w:hAnsi="黑体" w:eastAsia="黑体" w:cs="黑体"/>
      <w:sz w:val="44"/>
      <w:szCs w:val="44"/>
      <w:lang w:val="zh-CN" w:eastAsia="zh-CN" w:bidi="zh-CN"/>
    </w:rPr>
  </w:style>
  <w:style w:styleId="ListParagraph" w:type="paragraph">
    <w:name w:val="List Paragraph"/>
    <w:basedOn w:val="Normal"/>
    <w:uiPriority w:val="1"/>
    <w:qFormat/>
    <w:pPr>
      <w:spacing w:before="110"/>
      <w:ind w:left="2029" w:hanging="321"/>
    </w:pPr>
    <w:rPr>
      <w:rFonts w:ascii="仿宋" w:hAnsi="仿宋" w:eastAsia="仿宋" w:cs="仿宋"/>
      <w:lang w:val="zh-CN" w:eastAsia="zh-CN" w:bidi="zh-CN"/>
    </w:rPr>
  </w:style>
  <w:style w:styleId="TableParagraph" w:type="paragraph">
    <w:name w:val="Table Paragraph"/>
    <w:basedOn w:val="Normal"/>
    <w:uiPriority w:val="1"/>
    <w:qFormat/>
    <w:pPr>
      <w:spacing w:line="568" w:lineRule="exact"/>
    </w:pPr>
    <w:rPr>
      <w:rFonts w:ascii="Microsoft JhengHei" w:hAnsi="Microsoft JhengHei" w:eastAsia="Microsoft JhengHei" w:cs="Microsoft JhengHei"/>
      <w:lang w:val="zh-CN" w:eastAsia="zh-CN" w:bidi="zh-C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祝赵燕</dc:creator>
  <dcterms:created xsi:type="dcterms:W3CDTF">2021-12-24T08:19:19Z</dcterms:created>
  <dcterms:modified xsi:type="dcterms:W3CDTF">2021-12-24T08:19:19Z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2020-11-09T00:00:00Z</vt:filetime>
  </property>
  <property fmtid="{D5CDD505-2E9C-101B-9397-08002B2CF9AE}" pid="3" name="Creator">
    <vt:lpwstr>Aspose Ltd.</vt:lpwstr>
  </property>
  <property fmtid="{D5CDD505-2E9C-101B-9397-08002B2CF9AE}" pid="4" name="LastSaved">
    <vt:filetime>2021-12-24T00:00:00Z</vt:filetime>
  </property>
</Properties>
</file>