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ascii="方正小标宋简体" w:eastAsia="方正小标宋简体"/>
          <w:color w:val="FF0000"/>
          <w:sz w:val="36"/>
          <w:szCs w:val="36"/>
        </w:rPr>
      </w:pPr>
      <w:bookmarkStart w:id="0" w:name="发文标题"/>
      <w:r>
        <w:rPr>
          <w:rFonts w:ascii="方正小标宋简体" w:eastAsia="方正小标宋简体"/>
          <w:color w:val="FF0000"/>
          <w:sz w:val="36"/>
          <w:szCs w:val="36"/>
        </w:rPr>
        <w:pict>
          <v:rect id="矩形 7" o:spid="_x0000_s1026" o:spt="1" style="position:absolute;left:0pt;margin-left:0pt;margin-top:11.7pt;height:87.35pt;width:351pt;z-index:251659264;mso-width-relative:page;mso-height-relative:page;" fillcolor="#FFFFFF" filled="t" stroked="f" coordsize="21600,21600">
            <v:path/>
            <v:fill on="t" color2="#FFFFFF" focussize="0,0"/>
            <v:stroke on="f"/>
            <v:imagedata o:title=""/>
            <o:lock v:ext="edit" aspectratio="f"/>
            <v:textbox>
              <w:txbxContent>
                <w:p>
                  <w:pPr>
                    <w:spacing w:line="900" w:lineRule="exact"/>
                    <w:jc w:val="distribute"/>
                    <w:rPr>
                      <w:rFonts w:ascii="方正小标宋简体" w:eastAsia="方正小标宋简体"/>
                      <w:color w:val="FF0000"/>
                      <w:spacing w:val="-20"/>
                      <w:w w:val="90"/>
                      <w:sz w:val="66"/>
                      <w:szCs w:val="74"/>
                    </w:rPr>
                  </w:pPr>
                </w:p>
              </w:txbxContent>
            </v:textbox>
          </v:rect>
        </w:pict>
      </w:r>
    </w:p>
    <w:p>
      <w:pPr>
        <w:rPr>
          <w:rFonts w:ascii="方正小标宋简体" w:eastAsia="方正小标宋简体"/>
          <w:color w:val="FF0000"/>
          <w:sz w:val="36"/>
          <w:szCs w:val="36"/>
        </w:rPr>
      </w:pPr>
    </w:p>
    <w:p>
      <w:pPr>
        <w:rPr>
          <w:rFonts w:ascii="方正小标宋简体" w:eastAsia="方正小标宋简体"/>
          <w:color w:val="FF0000"/>
          <w:sz w:val="36"/>
          <w:szCs w:val="36"/>
        </w:rPr>
      </w:pPr>
    </w:p>
    <w:p>
      <w:pPr>
        <w:snapToGrid w:val="0"/>
        <w:spacing w:line="500" w:lineRule="exact"/>
        <w:rPr>
          <w:rFonts w:ascii="仿宋_GB2312"/>
          <w:color w:val="000000"/>
        </w:rPr>
      </w:pPr>
    </w:p>
    <w:p>
      <w:pPr>
        <w:snapToGrid w:val="0"/>
        <w:spacing w:line="500" w:lineRule="exact"/>
        <w:rPr>
          <w:rFonts w:ascii="仿宋_GB2312"/>
          <w:color w:val="000000"/>
        </w:rPr>
      </w:pPr>
      <w:r>
        <w:rPr>
          <w:rFonts w:hint="eastAsia" w:ascii="仿宋_GB2312"/>
          <w:color w:val="000000"/>
        </w:rPr>
        <w:t xml:space="preserve">                                   </w:t>
      </w:r>
    </w:p>
    <w:p>
      <w:pPr>
        <w:adjustRightInd w:val="0"/>
        <w:snapToGrid w:val="0"/>
        <w:spacing w:line="560" w:lineRule="exact"/>
        <w:jc w:val="center"/>
        <w:rPr>
          <w:rFonts w:ascii="仿宋_GB2312" w:hAnsi="方正小标宋简体" w:cs="方正小标宋简体"/>
          <w:bCs/>
        </w:rPr>
      </w:pPr>
      <w:r>
        <w:rPr>
          <w:rFonts w:hint="eastAsia" w:ascii="仿宋_GB2312" w:hAnsi="方正小标宋简体" w:cs="方正小标宋简体"/>
          <w:bCs/>
        </w:rPr>
        <w:t>东卫健办〔2020〕94号</w:t>
      </w:r>
    </w:p>
    <w:p>
      <w:pPr>
        <w:snapToGrid w:val="0"/>
        <w:spacing w:line="560" w:lineRule="exact"/>
        <w:jc w:val="center"/>
        <w:rPr>
          <w:rFonts w:hint="eastAsia" w:ascii="方正小标宋简体" w:hAnsi="方正小标宋简体" w:eastAsia="方正小标宋简体" w:cs="方正小标宋简体"/>
          <w:sz w:val="44"/>
          <w:szCs w:val="44"/>
        </w:rPr>
      </w:pPr>
    </w:p>
    <w:p>
      <w:pPr>
        <w:snapToGrid w:val="0"/>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关于印发《东至县托儿所幼儿园卫生保健</w:t>
      </w:r>
    </w:p>
    <w:p>
      <w:pPr>
        <w:snapToGrid w:val="0"/>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管理办法细则》的通知</w:t>
      </w:r>
      <w:bookmarkEnd w:id="0"/>
    </w:p>
    <w:p>
      <w:pPr>
        <w:snapToGrid w:val="0"/>
        <w:spacing w:line="560" w:lineRule="exact"/>
        <w:jc w:val="center"/>
        <w:rPr>
          <w:rFonts w:ascii="方正小标宋简体" w:hAnsi="方正小标宋简体" w:eastAsia="方正小标宋简体" w:cs="方正小标宋简体"/>
          <w:sz w:val="44"/>
          <w:szCs w:val="44"/>
        </w:rPr>
      </w:pPr>
    </w:p>
    <w:p>
      <w:pPr>
        <w:spacing w:line="560" w:lineRule="exact"/>
        <w:rPr>
          <w:rFonts w:ascii="仿宋_GB2312" w:hAnsi="仿宋_GB2312" w:cs="仿宋_GB2312"/>
        </w:rPr>
      </w:pPr>
      <w:r>
        <w:rPr>
          <w:rFonts w:hint="eastAsia" w:ascii="仿宋_GB2312" w:hAnsi="仿宋_GB2312" w:cs="仿宋_GB2312"/>
        </w:rPr>
        <w:t>各相关卫生健康单位,各托儿所、幼儿园：</w:t>
      </w:r>
    </w:p>
    <w:p>
      <w:pPr>
        <w:spacing w:line="560" w:lineRule="exact"/>
        <w:ind w:firstLine="640" w:firstLineChars="200"/>
        <w:rPr>
          <w:rFonts w:ascii="仿宋_GB2312" w:hAnsi="仿宋_GB2312" w:cs="仿宋_GB2312"/>
        </w:rPr>
      </w:pPr>
      <w:r>
        <w:rPr>
          <w:rFonts w:hint="eastAsia" w:ascii="仿宋_GB2312" w:hAnsi="仿宋_GB2312" w:cs="仿宋_GB2312"/>
        </w:rPr>
        <w:t>为贯彻实施《</w:t>
      </w:r>
      <w:r>
        <w:rPr>
          <w:rStyle w:val="9"/>
          <w:rFonts w:hint="eastAsia" w:ascii="仿宋_GB2312" w:hAnsi="仿宋_GB2312" w:cs="仿宋_GB2312"/>
          <w:b w:val="0"/>
        </w:rPr>
        <w:t>卫生部关于印发&lt;托儿所幼儿园卫生保健工作规范&gt;的通知》</w:t>
      </w:r>
      <w:r>
        <w:rPr>
          <w:rFonts w:hint="eastAsia" w:ascii="仿宋_GB2312" w:hAnsi="仿宋_GB2312" w:cs="仿宋_GB2312"/>
        </w:rPr>
        <w:t>(卫妇社发〔2012〕35号),安徽省印发的《安徽省&lt;托儿所幼儿园卫生保健管理办法&gt;的细则》的通知（皖卫妇社〔2012〕35号，以下简称办法），提高全县托儿所、幼儿园卫生保健工作质量，预防和减少疾病发生，保障儿童身心健康，结合本县工作实际，县卫健委、教体局制定了《东至县托儿所幼儿园卫生保健管理办法细则》，现印发给你们，请组织实施。</w:t>
      </w:r>
    </w:p>
    <w:p>
      <w:pPr>
        <w:spacing w:line="560" w:lineRule="exact"/>
        <w:ind w:firstLine="640" w:firstLineChars="200"/>
        <w:rPr>
          <w:rFonts w:ascii="仿宋_GB2312" w:hAnsi="仿宋_GB2312" w:cs="仿宋_GB2312"/>
        </w:rPr>
      </w:pPr>
    </w:p>
    <w:p>
      <w:pPr>
        <w:spacing w:line="560" w:lineRule="exact"/>
        <w:ind w:firstLine="640" w:firstLineChars="200"/>
        <w:rPr>
          <w:rFonts w:ascii="仿宋_GB2312" w:hAnsi="仿宋_GB2312" w:cs="仿宋_GB2312"/>
        </w:rPr>
      </w:pPr>
    </w:p>
    <w:p>
      <w:pPr>
        <w:spacing w:line="560" w:lineRule="exact"/>
        <w:rPr>
          <w:rFonts w:ascii="仿宋_GB2312" w:hAnsi="仿宋_GB2312" w:cs="仿宋_GB2312"/>
        </w:rPr>
      </w:pPr>
      <w:r>
        <w:rPr>
          <w:rFonts w:hint="eastAsia" w:ascii="仿宋_GB2312" w:hAnsi="仿宋_GB2312" w:cs="仿宋_GB2312"/>
        </w:rPr>
        <w:t>东至县卫生健康委员会             东至县教育体育局</w:t>
      </w:r>
    </w:p>
    <w:p>
      <w:pPr>
        <w:spacing w:line="560" w:lineRule="exact"/>
        <w:ind w:right="480" w:firstLine="640" w:firstLineChars="200"/>
        <w:jc w:val="right"/>
        <w:rPr>
          <w:rFonts w:hint="eastAsia" w:ascii="仿宋_GB2312" w:hAnsi="仿宋_GB2312" w:cs="仿宋_GB2312"/>
        </w:rPr>
      </w:pPr>
      <w:r>
        <w:rPr>
          <w:rFonts w:hint="eastAsia" w:ascii="仿宋_GB2312" w:hAnsi="仿宋_GB2312" w:cs="仿宋_GB2312"/>
        </w:rPr>
        <w:t>2020年7月8日</w:t>
      </w: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rPr>
          <w:rFonts w:hint="eastAsia" w:ascii="仿宋_GB2312" w:hAnsi="仿宋_GB2312" w:cs="仿宋_GB2312"/>
        </w:rPr>
      </w:pPr>
    </w:p>
    <w:p>
      <w:pPr>
        <w:spacing w:line="560" w:lineRule="exact"/>
        <w:ind w:right="480" w:firstLine="480" w:firstLineChars="150"/>
        <w:rPr>
          <w:rFonts w:hint="eastAsia" w:ascii="仿宋_GB2312" w:hAnsi="仿宋_GB2312" w:cs="仿宋_GB2312"/>
        </w:rPr>
      </w:pPr>
      <w:r>
        <w:rPr>
          <w:rFonts w:hint="eastAsia" w:ascii="仿宋_GB2312" w:hAnsi="仿宋_GB2312" w:cs="仿宋_GB2312"/>
        </w:rPr>
        <w:t>抄送：县总医院</w:t>
      </w:r>
    </w:p>
    <w:p>
      <w:pPr>
        <w:spacing w:line="560" w:lineRule="exact"/>
        <w:rPr>
          <w:rFonts w:ascii="仿宋_GB2312" w:hAnsi="仿宋_GB2312" w:cs="仿宋_GB2312"/>
        </w:rPr>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pPr>
    </w:p>
    <w:p>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东至县托儿所幼儿园</w:t>
      </w:r>
    </w:p>
    <w:p>
      <w:pPr>
        <w:spacing w:line="560" w:lineRule="exact"/>
        <w:jc w:val="center"/>
        <w:rPr>
          <w:rFonts w:ascii="方正小标宋简体" w:eastAsia="方正小标宋简体"/>
          <w:sz w:val="36"/>
          <w:szCs w:val="36"/>
        </w:rPr>
      </w:pPr>
      <w:r>
        <w:rPr>
          <w:rFonts w:hint="eastAsia" w:ascii="方正小标宋简体" w:eastAsia="方正小标宋简体"/>
          <w:sz w:val="44"/>
          <w:szCs w:val="44"/>
        </w:rPr>
        <w:t>卫生保健管理办法细则</w:t>
      </w:r>
    </w:p>
    <w:p>
      <w:pPr>
        <w:spacing w:line="560" w:lineRule="exact"/>
        <w:ind w:firstLine="640" w:firstLineChars="200"/>
        <w:rPr>
          <w:rFonts w:ascii="仿宋_GB2312"/>
        </w:rPr>
      </w:pPr>
    </w:p>
    <w:p>
      <w:pPr>
        <w:pStyle w:val="6"/>
        <w:spacing w:before="0" w:beforeAutospacing="0" w:after="0" w:afterAutospacing="0" w:line="560" w:lineRule="exact"/>
        <w:rPr>
          <w:rFonts w:ascii="仿宋_GB2312" w:eastAsia="仿宋_GB2312"/>
          <w:bCs/>
          <w:color w:val="auto"/>
          <w:sz w:val="32"/>
          <w:szCs w:val="32"/>
        </w:rPr>
      </w:pPr>
      <w:r>
        <w:rPr>
          <w:rFonts w:hint="eastAsia" w:ascii="仿宋_GB2312" w:eastAsia="仿宋_GB2312"/>
          <w:color w:val="auto"/>
          <w:sz w:val="32"/>
          <w:szCs w:val="32"/>
        </w:rPr>
        <w:t xml:space="preserve">     一、为贯彻实施《</w:t>
      </w:r>
      <w:r>
        <w:rPr>
          <w:rStyle w:val="9"/>
          <w:rFonts w:hint="eastAsia" w:ascii="仿宋_GB2312"/>
          <w:b w:val="0"/>
          <w:color w:val="auto"/>
          <w:sz w:val="32"/>
          <w:szCs w:val="32"/>
        </w:rPr>
        <w:t>卫生部关于印发&lt;托儿所幼儿园卫生保健工作规范&gt;的通知》</w:t>
      </w:r>
      <w:r>
        <w:rPr>
          <w:rFonts w:hint="eastAsia" w:ascii="仿宋_GB2312" w:eastAsia="仿宋_GB2312"/>
          <w:color w:val="auto"/>
          <w:sz w:val="32"/>
          <w:szCs w:val="32"/>
        </w:rPr>
        <w:t>(卫妇社发〔2012〕35号),安徽省印发的《安徽省&lt;托儿所幼儿园卫生保健管理办法&gt;的细则》的通知（皖卫妇社 [2012]35号，以下简称《管理办法》），提高托儿所、幼儿园卫生保健工作质量，预防和减少疾病发生，保障儿童身心健康，结合本县托幼机构卫生保健工作实际，制定本实施细则。</w:t>
      </w:r>
    </w:p>
    <w:p>
      <w:pPr>
        <w:spacing w:line="560" w:lineRule="exact"/>
        <w:ind w:firstLine="640" w:firstLineChars="200"/>
        <w:rPr>
          <w:rFonts w:ascii="仿宋_GB2312"/>
        </w:rPr>
      </w:pPr>
      <w:r>
        <w:rPr>
          <w:rFonts w:hint="eastAsia" w:ascii="仿宋_GB2312"/>
        </w:rPr>
        <w:t>二、本实施细则适用于我县境内招收0</w:t>
      </w:r>
      <w:r>
        <w:rPr>
          <w:rFonts w:hint="eastAsia" w:ascii="仿宋_GB2312"/>
          <w:bCs/>
        </w:rPr>
        <w:t>～6岁儿童的各级各类</w:t>
      </w:r>
      <w:r>
        <w:rPr>
          <w:rFonts w:hint="eastAsia" w:ascii="仿宋_GB2312"/>
        </w:rPr>
        <w:t>托儿所、幼儿园(以下简称托幼机构)。</w:t>
      </w:r>
    </w:p>
    <w:p>
      <w:pPr>
        <w:spacing w:line="560" w:lineRule="exact"/>
        <w:ind w:firstLine="640" w:firstLineChars="200"/>
        <w:rPr>
          <w:rFonts w:ascii="仿宋_GB2312"/>
        </w:rPr>
      </w:pPr>
      <w:r>
        <w:rPr>
          <w:rFonts w:hint="eastAsia" w:ascii="仿宋_GB2312"/>
        </w:rPr>
        <w:t>三、托幼机构是儿童保教机构，</w:t>
      </w:r>
      <w:r>
        <w:rPr>
          <w:rFonts w:hint="eastAsia" w:ascii="仿宋_GB2312"/>
          <w:bCs/>
        </w:rPr>
        <w:t>其根本任务是保障和促进儿童的身心健康，</w:t>
      </w:r>
      <w:r>
        <w:rPr>
          <w:rFonts w:hint="eastAsia" w:ascii="仿宋_GB2312"/>
        </w:rPr>
        <w:t>应当贯彻保教结合、预防为主和儿童优先的方针，依法认真做好卫生保健工作。</w:t>
      </w:r>
    </w:p>
    <w:p>
      <w:pPr>
        <w:spacing w:line="560" w:lineRule="exact"/>
        <w:ind w:firstLine="640" w:firstLineChars="200"/>
        <w:rPr>
          <w:rFonts w:ascii="仿宋_GB2312"/>
        </w:rPr>
      </w:pPr>
      <w:r>
        <w:rPr>
          <w:rFonts w:hint="eastAsia" w:ascii="仿宋_GB2312"/>
        </w:rPr>
        <w:t>四、</w:t>
      </w:r>
      <w:r>
        <w:rPr>
          <w:rFonts w:hint="eastAsia" w:ascii="仿宋_GB2312"/>
          <w:bCs/>
        </w:rPr>
        <w:t>托幼机构是本机构卫生保健工作的责任主体，其法定代表人或负责人是第一责任人。托幼机构的卫生保健工作应接受儿童家长和社会的监督。</w:t>
      </w:r>
    </w:p>
    <w:p>
      <w:pPr>
        <w:spacing w:line="560" w:lineRule="exact"/>
        <w:ind w:firstLine="640" w:firstLineChars="200"/>
        <w:rPr>
          <w:rFonts w:ascii="仿宋_GB2312"/>
        </w:rPr>
      </w:pPr>
      <w:r>
        <w:rPr>
          <w:rFonts w:hint="eastAsia"/>
        </w:rPr>
        <w:t>五、</w:t>
      </w:r>
      <w:r>
        <w:rPr>
          <w:rFonts w:hint="eastAsia" w:ascii="仿宋_GB2312"/>
        </w:rPr>
        <w:t>县卫健委主管托幼机构卫生保健工作，并将托幼机构的卫生保健工作作为公共卫生服务的重要内容，加强监督和指导。</w:t>
      </w:r>
    </w:p>
    <w:p>
      <w:pPr>
        <w:spacing w:line="560" w:lineRule="exact"/>
        <w:ind w:firstLine="640" w:firstLineChars="200"/>
        <w:rPr>
          <w:rFonts w:ascii="仿宋_GB2312"/>
        </w:rPr>
      </w:pPr>
      <w:r>
        <w:rPr>
          <w:rFonts w:hint="eastAsia" w:ascii="仿宋_GB2312"/>
        </w:rPr>
        <w:t>县教体局协助县卫健委，加强对托幼机构的卫生保健工作管理，并指定相关职能股室负责督促全县托幼机构按要求做好儿童卫生保健工作。</w:t>
      </w:r>
    </w:p>
    <w:p>
      <w:pPr>
        <w:spacing w:line="560" w:lineRule="exact"/>
        <w:ind w:firstLine="640" w:firstLineChars="200"/>
        <w:rPr>
          <w:rFonts w:ascii="仿宋_GB2312"/>
        </w:rPr>
      </w:pPr>
      <w:r>
        <w:rPr>
          <w:rFonts w:hint="eastAsia" w:ascii="仿宋_GB2312"/>
        </w:rPr>
        <w:t>县卫健委、县教体局应协调有关部门，确保托幼机构卫生保健工作各项措施的落实。</w:t>
      </w:r>
    </w:p>
    <w:p>
      <w:pPr>
        <w:spacing w:line="560" w:lineRule="exact"/>
        <w:ind w:firstLine="640" w:firstLineChars="200"/>
      </w:pPr>
      <w:r>
        <w:rPr>
          <w:rFonts w:hint="eastAsia"/>
        </w:rPr>
        <w:t>六、按机构职能，</w:t>
      </w:r>
      <w:r>
        <w:rPr>
          <w:rFonts w:hint="eastAsia" w:ascii="仿宋_GB2312"/>
        </w:rPr>
        <w:t>县妇幼保健计划生育服务中心（简称县</w:t>
      </w:r>
      <w:r>
        <w:rPr>
          <w:rFonts w:hint="eastAsia"/>
        </w:rPr>
        <w:t>妇计中心）、县疾控中心、县公共卫生监督所和县市场监督管理局，依法依规负责辖区内托幼机构卫生保健管理的具体指导。</w:t>
      </w:r>
    </w:p>
    <w:p>
      <w:pPr>
        <w:spacing w:line="560" w:lineRule="exact"/>
        <w:ind w:firstLine="640" w:firstLineChars="200"/>
        <w:rPr>
          <w:rFonts w:ascii="仿宋_GB2312"/>
        </w:rPr>
      </w:pPr>
      <w:r>
        <w:rPr>
          <w:rFonts w:hint="eastAsia" w:ascii="仿宋_GB2312"/>
        </w:rPr>
        <w:t>县妇计中心工作职责：</w:t>
      </w:r>
    </w:p>
    <w:p>
      <w:pPr>
        <w:numPr>
          <w:ilvl w:val="0"/>
          <w:numId w:val="1"/>
        </w:numPr>
        <w:spacing w:line="560" w:lineRule="exact"/>
        <w:ind w:firstLine="640" w:firstLineChars="200"/>
        <w:rPr>
          <w:rFonts w:ascii="仿宋_GB2312"/>
        </w:rPr>
      </w:pPr>
      <w:r>
        <w:rPr>
          <w:rFonts w:hint="eastAsia" w:ascii="仿宋_GB2312"/>
        </w:rPr>
        <w:t>配合县卫健委，制定全县托幼机构卫生保健工作规划、年度计划并组织实施，制定全县托幼机构卫生保健工作评估实施细则，建立完善的质量控制体系和评估制度。</w:t>
      </w:r>
    </w:p>
    <w:p>
      <w:pPr>
        <w:spacing w:line="560" w:lineRule="exact"/>
        <w:ind w:firstLine="640" w:firstLineChars="200"/>
        <w:rPr>
          <w:rFonts w:ascii="仿宋_GB2312"/>
          <w:b/>
        </w:rPr>
      </w:pPr>
      <w:r>
        <w:rPr>
          <w:rFonts w:hint="eastAsia" w:ascii="仿宋_GB2312"/>
        </w:rPr>
        <w:t>（二）依据《管理办法》对新设立的托幼机构进行招生前的卫生评价工作，并出具卫生评价报告；对取得办园（所）资格的托幼机构，</w:t>
      </w:r>
      <w:r>
        <w:rPr>
          <w:rFonts w:hint="eastAsia" w:ascii="仿宋_GB2312"/>
          <w:bCs/>
        </w:rPr>
        <w:t>应根据《安徽省托幼机构卫生保健考核标准》，每年抽取部分托幼机构进行考核。</w:t>
      </w:r>
    </w:p>
    <w:p>
      <w:pPr>
        <w:spacing w:line="560" w:lineRule="exact"/>
        <w:ind w:firstLine="640" w:firstLineChars="200"/>
        <w:rPr>
          <w:rFonts w:ascii="仿宋_GB2312"/>
        </w:rPr>
      </w:pPr>
      <w:r>
        <w:rPr>
          <w:rFonts w:hint="eastAsia" w:ascii="仿宋_GB2312"/>
        </w:rPr>
        <w:t>（三）每年对托幼机构卫生保健人员至少组织1次相关知识的业务培训。</w:t>
      </w:r>
    </w:p>
    <w:p>
      <w:pPr>
        <w:spacing w:line="560" w:lineRule="exact"/>
        <w:ind w:firstLine="640" w:firstLineChars="200"/>
        <w:rPr>
          <w:rFonts w:ascii="仿宋_GB2312"/>
        </w:rPr>
      </w:pPr>
      <w:r>
        <w:rPr>
          <w:rFonts w:hint="eastAsia" w:ascii="仿宋_GB2312"/>
        </w:rPr>
        <w:t>（四）定期对全县托幼机构卫生保健工作进行业务指导。内容包括一日生活安排、儿童膳食、体格锻炼、健康检查、卫生消毒、疾病预防、心理行为保健、健康教育、卫生保健资料管理等工作。</w:t>
      </w:r>
    </w:p>
    <w:p>
      <w:pPr>
        <w:spacing w:line="560" w:lineRule="exact"/>
        <w:ind w:firstLine="640" w:firstLineChars="200"/>
        <w:rPr>
          <w:rFonts w:ascii="仿宋_GB2312"/>
        </w:rPr>
      </w:pPr>
      <w:r>
        <w:rPr>
          <w:rFonts w:hint="eastAsia" w:ascii="仿宋_GB2312"/>
        </w:rPr>
        <w:t>（五）协助市场监督管理局、卫生监督和疾病预防控制等部门，开展食品安全、传染病预防与宣传教育等工作。</w:t>
      </w:r>
    </w:p>
    <w:p>
      <w:pPr>
        <w:spacing w:line="560" w:lineRule="exact"/>
        <w:ind w:firstLine="640" w:firstLineChars="200"/>
        <w:rPr>
          <w:rFonts w:ascii="仿宋_GB2312"/>
        </w:rPr>
      </w:pPr>
      <w:r>
        <w:rPr>
          <w:rFonts w:hint="eastAsia" w:ascii="仿宋_GB2312"/>
        </w:rPr>
        <w:t>（六）对全县承担托幼机构儿童和工作人员健康检查服务的医疗卫生机构进行相关专业技术的指导和培训。</w:t>
      </w:r>
    </w:p>
    <w:p>
      <w:pPr>
        <w:spacing w:line="560" w:lineRule="exact"/>
        <w:ind w:firstLine="640" w:firstLineChars="200"/>
        <w:rPr>
          <w:rFonts w:ascii="仿宋_GB2312"/>
        </w:rPr>
      </w:pPr>
      <w:r>
        <w:rPr>
          <w:rFonts w:hint="eastAsia" w:ascii="仿宋_GB2312"/>
        </w:rPr>
        <w:t>县疾控中心工作职责：应当定期为托幼机构提供疾病预防控制咨询服务和指导，指导托幼机构做好相关疾病预防控制工作。配合县妇计中心做好托幼机构卫生评价工作。</w:t>
      </w:r>
    </w:p>
    <w:p>
      <w:pPr>
        <w:spacing w:line="560" w:lineRule="exact"/>
        <w:ind w:firstLine="640" w:firstLineChars="200"/>
        <w:rPr>
          <w:rFonts w:ascii="仿宋_GB2312"/>
        </w:rPr>
      </w:pPr>
      <w:r>
        <w:rPr>
          <w:rFonts w:hint="eastAsia" w:ascii="仿宋_GB2312"/>
        </w:rPr>
        <w:t>县公共卫生监督所工作职责：应当依法对托幼机构的传染病预防和控制、饮用水卫生等工作进行监督检查。配合县妇计中心做好托幼机构卫生评价工作。</w:t>
      </w:r>
    </w:p>
    <w:p>
      <w:pPr>
        <w:spacing w:line="560" w:lineRule="exact"/>
        <w:ind w:firstLine="640" w:firstLineChars="200"/>
        <w:rPr>
          <w:rFonts w:ascii="仿宋_GB2312"/>
        </w:rPr>
      </w:pPr>
      <w:r>
        <w:rPr>
          <w:rFonts w:hint="eastAsia" w:ascii="仿宋_GB2312"/>
        </w:rPr>
        <w:t>承担儿童体检的医疗卫生机构工作职责：根据《国家基本公共卫生服务规范（第三版）》要求，为辖区内托幼机构每年至少提供一次健康管理服务，服务内容包括：询问上次随访到本次随访之间的膳食、患病等情况，进行体格检查和心理行为发育评估，血常规（或血红蛋白）检测和视力筛查，进行合理膳食、生长发育、疾病预防、预防伤害、口腔保健等健康指导。</w:t>
      </w:r>
    </w:p>
    <w:p>
      <w:pPr>
        <w:spacing w:line="560" w:lineRule="exact"/>
        <w:ind w:firstLine="640" w:firstLineChars="200"/>
        <w:rPr>
          <w:rFonts w:ascii="仿宋_GB2312"/>
        </w:rPr>
      </w:pPr>
      <w:r>
        <w:rPr>
          <w:rFonts w:hint="eastAsia" w:ascii="仿宋_GB2312"/>
        </w:rPr>
        <w:t>七、托幼机构卫生保健工作职责：</w:t>
      </w:r>
    </w:p>
    <w:p>
      <w:pPr>
        <w:spacing w:line="560" w:lineRule="exact"/>
        <w:ind w:firstLine="640" w:firstLineChars="200"/>
        <w:rPr>
          <w:rFonts w:ascii="仿宋_GB2312"/>
        </w:rPr>
      </w:pPr>
      <w:r>
        <w:rPr>
          <w:rFonts w:hint="eastAsia" w:ascii="仿宋_GB2312"/>
        </w:rPr>
        <w:t>（一）根据儿童不同年龄特点，建立科学、合理的一日生活制度，培养儿童良好的卫生习惯；</w:t>
      </w:r>
    </w:p>
    <w:p>
      <w:pPr>
        <w:spacing w:line="560" w:lineRule="exact"/>
        <w:ind w:firstLine="640" w:firstLineChars="200"/>
        <w:rPr>
          <w:rFonts w:ascii="仿宋_GB2312"/>
        </w:rPr>
      </w:pPr>
      <w:r>
        <w:rPr>
          <w:rFonts w:hint="eastAsia" w:ascii="仿宋_GB2312"/>
        </w:rPr>
        <w:t>（二）为儿童提供合理的营养膳食，科学制订食谱，保证膳食平衡；</w:t>
      </w:r>
    </w:p>
    <w:p>
      <w:pPr>
        <w:spacing w:line="560" w:lineRule="exact"/>
        <w:ind w:firstLine="640" w:firstLineChars="200"/>
        <w:rPr>
          <w:rFonts w:ascii="仿宋_GB2312"/>
        </w:rPr>
      </w:pPr>
      <w:r>
        <w:rPr>
          <w:rFonts w:hint="eastAsia" w:ascii="仿宋_GB2312"/>
        </w:rPr>
        <w:t>（三）制订与儿童生理特点相适应的体格锻炼计划，根据儿童年龄特点开展游戏及体育活动，并保证儿童户外活动时间，增进儿童身心健康；</w:t>
      </w:r>
    </w:p>
    <w:p>
      <w:pPr>
        <w:spacing w:line="560" w:lineRule="exact"/>
        <w:ind w:firstLine="640" w:firstLineChars="200"/>
        <w:rPr>
          <w:rFonts w:ascii="仿宋_GB2312"/>
        </w:rPr>
      </w:pPr>
      <w:r>
        <w:rPr>
          <w:rFonts w:hint="eastAsia" w:ascii="仿宋_GB2312"/>
        </w:rPr>
        <w:t>（四）建立健康检查制度，配合医疗卫生机构开展儿童定期健康检查工作，建立健康档案。坚持晨检及全日健康观察，做好常见病的预防，发现问题及时处理；</w:t>
      </w:r>
    </w:p>
    <w:p>
      <w:pPr>
        <w:spacing w:line="560" w:lineRule="exact"/>
        <w:ind w:firstLine="640" w:firstLineChars="200"/>
        <w:rPr>
          <w:rFonts w:ascii="仿宋_GB2312"/>
        </w:rPr>
      </w:pPr>
      <w:r>
        <w:rPr>
          <w:rFonts w:hint="eastAsia" w:ascii="仿宋_GB2312"/>
        </w:rPr>
        <w:t>（五）严格执行卫生消毒制度，按规定定期对玩具、桌面等设施进行消毒，做好室内外环境及个人卫生。加强饮食卫生管理，保证食品安全；</w:t>
      </w:r>
    </w:p>
    <w:p>
      <w:pPr>
        <w:spacing w:line="560" w:lineRule="exact"/>
        <w:ind w:firstLine="640" w:firstLineChars="200"/>
        <w:rPr>
          <w:rFonts w:ascii="仿宋_GB2312"/>
        </w:rPr>
      </w:pPr>
      <w:r>
        <w:rPr>
          <w:rFonts w:hint="eastAsia" w:ascii="仿宋_GB2312"/>
        </w:rPr>
        <w:t>（六）协助落实国家免疫规划，在儿童入园（所）时应当查验其预防接种证，未按规定接种的儿童要告知其监护人，督促监护人带儿童到当地规定的接种单位补种；</w:t>
      </w:r>
    </w:p>
    <w:p>
      <w:pPr>
        <w:spacing w:line="560" w:lineRule="exact"/>
        <w:ind w:firstLine="640" w:firstLineChars="200"/>
        <w:rPr>
          <w:rFonts w:ascii="仿宋_GB2312"/>
        </w:rPr>
      </w:pPr>
      <w:r>
        <w:rPr>
          <w:rFonts w:hint="eastAsia" w:ascii="仿宋_GB2312"/>
        </w:rPr>
        <w:t>（七）加强日常保育护理工作，对体弱儿进行专案管理。配合医疗卫生机构定期开展儿童眼、耳、口腔等五官保健，开展儿童心理卫生保健；</w:t>
      </w:r>
    </w:p>
    <w:p>
      <w:pPr>
        <w:spacing w:line="560" w:lineRule="exact"/>
        <w:ind w:firstLine="640" w:firstLineChars="200"/>
        <w:rPr>
          <w:rFonts w:ascii="仿宋_GB2312"/>
        </w:rPr>
      </w:pPr>
      <w:r>
        <w:rPr>
          <w:rFonts w:hint="eastAsia" w:ascii="仿宋_GB2312"/>
        </w:rPr>
        <w:t>（八）建立卫生安全管理制度，落实各项卫生安全防护工作，预防伤害事故的发生；</w:t>
      </w:r>
    </w:p>
    <w:p>
      <w:pPr>
        <w:spacing w:line="560" w:lineRule="exact"/>
        <w:ind w:firstLine="640" w:firstLineChars="200"/>
        <w:rPr>
          <w:rFonts w:ascii="仿宋_GB2312"/>
        </w:rPr>
      </w:pPr>
      <w:r>
        <w:rPr>
          <w:rFonts w:hint="eastAsia" w:ascii="仿宋_GB2312"/>
        </w:rPr>
        <w:t>（九）制订健康教育计划，对儿童及其家长开展多种形式的健康教育活动；</w:t>
      </w:r>
    </w:p>
    <w:p>
      <w:pPr>
        <w:spacing w:line="560" w:lineRule="exact"/>
        <w:ind w:firstLine="640" w:firstLineChars="200"/>
        <w:rPr>
          <w:rFonts w:ascii="仿宋_GB2312"/>
        </w:rPr>
      </w:pPr>
      <w:r>
        <w:rPr>
          <w:rFonts w:hint="eastAsia" w:ascii="仿宋_GB2312"/>
        </w:rPr>
        <w:t>（十）做好各项卫生保健工作信息的收集、汇总和报告工作。</w:t>
      </w:r>
    </w:p>
    <w:p>
      <w:pPr>
        <w:spacing w:line="560" w:lineRule="exact"/>
        <w:ind w:firstLine="640" w:firstLineChars="200"/>
        <w:rPr>
          <w:rFonts w:ascii="仿宋_GB2312"/>
          <w:b/>
          <w:u w:val="single"/>
        </w:rPr>
      </w:pPr>
      <w:r>
        <w:rPr>
          <w:rFonts w:hint="eastAsia" w:ascii="仿宋_GB2312"/>
        </w:rPr>
        <w:t xml:space="preserve"> 八、托幼机构设有食堂提供餐饮服务的，应当依法取得《餐饮服务许可证》，并按照《食品安全法》、《食品安全法实施条例》等有关法律规章的要求，认真落实各项食品安全措施，为在园儿童提供安全合理的营养膳食。</w:t>
      </w:r>
    </w:p>
    <w:p>
      <w:pPr>
        <w:spacing w:line="560" w:lineRule="exact"/>
        <w:ind w:firstLine="640" w:firstLineChars="200"/>
        <w:rPr>
          <w:rFonts w:ascii="仿宋_GB2312"/>
        </w:rPr>
      </w:pPr>
      <w:r>
        <w:rPr>
          <w:rFonts w:hint="eastAsia" w:ascii="仿宋_GB2312"/>
        </w:rPr>
        <w:t>托幼机构提供给儿童的食品、饮用水等必须符合国家有关卫生标准。</w:t>
      </w:r>
    </w:p>
    <w:p>
      <w:pPr>
        <w:spacing w:line="560" w:lineRule="exact"/>
        <w:ind w:firstLine="640" w:firstLineChars="200"/>
        <w:rPr>
          <w:rFonts w:ascii="仿宋_GB2312"/>
          <w:b/>
        </w:rPr>
      </w:pPr>
      <w:r>
        <w:rPr>
          <w:rFonts w:hint="eastAsia" w:ascii="仿宋_GB2312"/>
        </w:rPr>
        <w:t>九、托幼机构活动室和睡眠室面积应与儿童数相适应；托幼机构的建筑、设施、设备、环境等必须安全并符合儿童生长发育的特点，符合国家有关卫生标准、规范的要求。</w:t>
      </w:r>
    </w:p>
    <w:p>
      <w:pPr>
        <w:spacing w:line="560" w:lineRule="exact"/>
        <w:ind w:firstLine="640" w:firstLineChars="200"/>
        <w:rPr>
          <w:rFonts w:ascii="仿宋_GB2312"/>
          <w:bCs/>
        </w:rPr>
      </w:pPr>
      <w:r>
        <w:rPr>
          <w:rFonts w:hint="eastAsia" w:ascii="仿宋_GB2312"/>
          <w:bCs/>
        </w:rPr>
        <w:t xml:space="preserve">十、新设立的托幼机构，应当按照国家《托儿所幼儿园卫生保健工作规范》的要求进行设计和建设，招生前须向县妇计中心提交“托幼机构卫生评价申请书”。 </w:t>
      </w:r>
      <w:r>
        <w:rPr>
          <w:rFonts w:hint="eastAsia" w:ascii="仿宋_GB2312"/>
          <w:bCs/>
        </w:rPr>
        <w:cr/>
      </w:r>
      <w:r>
        <w:rPr>
          <w:rFonts w:hint="eastAsia" w:ascii="仿宋_GB2312"/>
          <w:bCs/>
        </w:rPr>
        <w:t>县妇计中心根据“新设立托幼机构招生前卫生评价表”的要求，在20个工作日内对提交申请的托幼机构进行卫生评价。根据检查结果出具“托幼机构卫生评价报告”。</w:t>
      </w:r>
    </w:p>
    <w:p>
      <w:pPr>
        <w:spacing w:line="560" w:lineRule="exact"/>
        <w:ind w:firstLine="640" w:firstLineChars="200"/>
        <w:rPr>
          <w:rFonts w:ascii="仿宋_GB2312"/>
          <w:bCs/>
        </w:rPr>
      </w:pPr>
      <w:r>
        <w:rPr>
          <w:rFonts w:hint="eastAsia" w:ascii="仿宋_GB2312"/>
          <w:bCs/>
        </w:rPr>
        <w:t>十一、未取得出具“合格”意见的“托幼机构卫生评价报告”的托幼机构，不得开展招生业务。</w:t>
      </w:r>
    </w:p>
    <w:p>
      <w:pPr>
        <w:spacing w:line="560" w:lineRule="exact"/>
        <w:ind w:firstLine="640" w:firstLineChars="200"/>
        <w:rPr>
          <w:rFonts w:ascii="仿宋_GB2312"/>
          <w:bCs/>
        </w:rPr>
      </w:pPr>
      <w:bookmarkStart w:id="1" w:name="OLE_LINK1"/>
      <w:r>
        <w:rPr>
          <w:rFonts w:hint="eastAsia" w:ascii="仿宋_GB2312"/>
          <w:bCs/>
        </w:rPr>
        <w:t>十二、已设立的托幼机构，应根据《安徽省托幼机构卫生保健考核标准》每年自行进行一次卫生保健评价。县卫健委、县教体局每年应抽取部分托幼机构进行考核。</w:t>
      </w:r>
    </w:p>
    <w:p>
      <w:pPr>
        <w:spacing w:line="560" w:lineRule="exact"/>
        <w:ind w:firstLine="640" w:firstLineChars="200"/>
        <w:rPr>
          <w:rFonts w:ascii="仿宋_GB2312"/>
          <w:bCs/>
        </w:rPr>
      </w:pPr>
      <w:r>
        <w:rPr>
          <w:rFonts w:hint="eastAsia" w:ascii="仿宋_GB2312"/>
          <w:bCs/>
        </w:rPr>
        <w:t>《安徽省托幼机构卫生保健考核标准》由原省卫生厅、教育厅负责制定。</w:t>
      </w:r>
    </w:p>
    <w:bookmarkEnd w:id="1"/>
    <w:p>
      <w:pPr>
        <w:spacing w:line="560" w:lineRule="exact"/>
        <w:ind w:firstLine="640" w:firstLineChars="200"/>
        <w:rPr>
          <w:rFonts w:ascii="仿宋_GB2312"/>
          <w:b/>
        </w:rPr>
      </w:pPr>
      <w:r>
        <w:rPr>
          <w:rFonts w:hint="eastAsia" w:ascii="仿宋_GB2312"/>
          <w:bCs/>
        </w:rPr>
        <w:t>十三、县教体局在进行等级托幼机构评审时，应当吸</w:t>
      </w:r>
      <w:r>
        <w:rPr>
          <w:rFonts w:hint="eastAsia" w:ascii="仿宋_GB2312"/>
        </w:rPr>
        <w:t>收相关卫生专业人员参加，并将卫生保健工作质量纳入托幼机构的等级评审标准。</w:t>
      </w:r>
    </w:p>
    <w:p>
      <w:pPr>
        <w:spacing w:line="560" w:lineRule="exact"/>
        <w:ind w:firstLine="640" w:firstLineChars="200"/>
        <w:rPr>
          <w:rFonts w:ascii="仿宋_GB2312"/>
        </w:rPr>
      </w:pPr>
      <w:r>
        <w:rPr>
          <w:rFonts w:hint="eastAsia" w:ascii="仿宋_GB2312"/>
        </w:rPr>
        <w:t>十四、托幼机构应当根据规模、接收儿童数量等设立相应的卫生室或者保健室，聘用符合国家规定的卫生保健人员，具体负责卫生保健工作。</w:t>
      </w:r>
    </w:p>
    <w:p>
      <w:pPr>
        <w:spacing w:line="560" w:lineRule="exact"/>
        <w:ind w:firstLine="640" w:firstLineChars="200"/>
        <w:rPr>
          <w:rFonts w:ascii="仿宋_GB2312"/>
        </w:rPr>
      </w:pPr>
      <w:r>
        <w:rPr>
          <w:rFonts w:hint="eastAsia" w:ascii="仿宋_GB2312"/>
        </w:rPr>
        <w:t>十五、卫生室应当符合医疗机构基本标准，取得卫生行政部门颁发的《医疗机构执业许可证》。卫生室不得对外开展诊疗活动。</w:t>
      </w:r>
    </w:p>
    <w:p>
      <w:pPr>
        <w:spacing w:line="560" w:lineRule="exact"/>
        <w:ind w:firstLine="640" w:firstLineChars="200"/>
        <w:rPr>
          <w:rFonts w:ascii="仿宋_GB2312"/>
        </w:rPr>
      </w:pPr>
      <w:r>
        <w:rPr>
          <w:rFonts w:hint="eastAsia" w:ascii="仿宋_GB2312"/>
        </w:rPr>
        <w:t>保健室配置应当符合国家制定的保健室设置基本要求。保健室不得开展诊疗活动。</w:t>
      </w:r>
    </w:p>
    <w:p>
      <w:pPr>
        <w:spacing w:line="560" w:lineRule="exact"/>
        <w:ind w:firstLine="640" w:firstLineChars="200"/>
        <w:rPr>
          <w:rFonts w:ascii="仿宋_GB2312"/>
        </w:rPr>
      </w:pPr>
      <w:r>
        <w:rPr>
          <w:rFonts w:hint="eastAsia" w:ascii="仿宋_GB2312"/>
        </w:rPr>
        <w:t>十六、托幼机构聘用卫生保健人员应当按照收托150名儿童至少设1名专职卫生保健人员的比例配备卫生保健人员。收托150名以下儿童的，应当配备专职或者兼职卫生保健人员。</w:t>
      </w:r>
    </w:p>
    <w:p>
      <w:pPr>
        <w:spacing w:line="560" w:lineRule="exact"/>
        <w:ind w:firstLine="640" w:firstLineChars="200"/>
        <w:rPr>
          <w:rFonts w:ascii="仿宋_GB2312"/>
        </w:rPr>
      </w:pPr>
      <w:r>
        <w:rPr>
          <w:rFonts w:hint="eastAsia" w:ascii="仿宋_GB2312"/>
        </w:rPr>
        <w:t>十七、托幼机构卫生保健人员包括医师、护士、保健员。</w:t>
      </w:r>
    </w:p>
    <w:p>
      <w:pPr>
        <w:spacing w:line="560" w:lineRule="exact"/>
        <w:ind w:firstLine="640" w:firstLineChars="200"/>
        <w:rPr>
          <w:rFonts w:ascii="仿宋_GB2312"/>
        </w:rPr>
      </w:pPr>
      <w:r>
        <w:rPr>
          <w:rFonts w:hint="eastAsia" w:ascii="仿宋_GB2312"/>
        </w:rPr>
        <w:t>在卫生室工作的医师应当依法取得《医师执业证书》，护士应当依法取得《护士执业证书》。</w:t>
      </w:r>
    </w:p>
    <w:p>
      <w:pPr>
        <w:spacing w:line="560" w:lineRule="exact"/>
        <w:ind w:firstLine="640" w:firstLineChars="200"/>
        <w:rPr>
          <w:rFonts w:ascii="仿宋_GB2312"/>
        </w:rPr>
      </w:pPr>
      <w:r>
        <w:rPr>
          <w:rFonts w:hint="eastAsia" w:ascii="仿宋_GB2312"/>
        </w:rPr>
        <w:t>保健员应当具有高中（中专）以上学历，每年经过县级以上妇幼保健机构卫生保健专业知识培训,具有卫生保健基础知识，掌握卫生消毒、传染病管理和营养膳食管理等技能。</w:t>
      </w:r>
    </w:p>
    <w:p>
      <w:pPr>
        <w:spacing w:line="560" w:lineRule="exact"/>
        <w:ind w:firstLine="640" w:firstLineChars="200"/>
        <w:rPr>
          <w:rFonts w:ascii="仿宋_GB2312"/>
        </w:rPr>
      </w:pPr>
      <w:r>
        <w:rPr>
          <w:rFonts w:hint="eastAsia" w:ascii="仿宋_GB2312"/>
        </w:rPr>
        <w:t>十八、托幼机构应当确定分管负责人具体负责本机构卫生保健工作。法定代表人或分管负责人应当定期接受卫生行政部门的卫生保健知识培训，并取得县级卫生行政部门颁发的《托幼机构卫生保健培训合格证》。</w:t>
      </w:r>
    </w:p>
    <w:p>
      <w:pPr>
        <w:spacing w:line="560" w:lineRule="exact"/>
        <w:ind w:firstLine="640" w:firstLineChars="200"/>
        <w:rPr>
          <w:rFonts w:ascii="仿宋_GB2312"/>
        </w:rPr>
      </w:pPr>
      <w:r>
        <w:rPr>
          <w:rFonts w:hint="eastAsia" w:ascii="仿宋_GB2312"/>
        </w:rPr>
        <w:t>托幼机构卫生保健人员应当定期接受县卫健委组织的卫生保健知识培训，取得县级卫生行政部门颁发的《托幼机构卫生保健培训合格证》。</w:t>
      </w:r>
    </w:p>
    <w:p>
      <w:pPr>
        <w:spacing w:line="560" w:lineRule="exact"/>
        <w:ind w:firstLine="640" w:firstLineChars="200"/>
        <w:rPr>
          <w:rFonts w:ascii="仿宋_GB2312"/>
        </w:rPr>
      </w:pPr>
      <w:r>
        <w:rPr>
          <w:rFonts w:hint="eastAsia" w:ascii="仿宋_GB2312"/>
        </w:rPr>
        <w:t>托幼机构卫生保健人员应当组织对本机构内的工作人员进行卫生知识宣传教育、疾病预防、卫生消毒、膳食营养、食品卫生、饮用水卫生、儿童心理卫生等方面的培训。</w:t>
      </w:r>
    </w:p>
    <w:p>
      <w:pPr>
        <w:spacing w:line="560" w:lineRule="exact"/>
        <w:ind w:firstLine="640" w:firstLineChars="200"/>
        <w:rPr>
          <w:rFonts w:ascii="仿宋_GB2312"/>
          <w:b/>
        </w:rPr>
      </w:pPr>
      <w:r>
        <w:rPr>
          <w:rFonts w:hint="eastAsia" w:ascii="仿宋_GB2312"/>
        </w:rPr>
        <w:t>十九、托幼机构工作人员上岗前，</w:t>
      </w:r>
      <w:r>
        <w:rPr>
          <w:rFonts w:hint="eastAsia" w:ascii="仿宋_GB2312"/>
          <w:bCs/>
        </w:rPr>
        <w:t>必须经县计中心进行健康检查（费用自理），取得《托幼机构工作人员健康合格证》后方可上岗</w:t>
      </w:r>
      <w:r>
        <w:rPr>
          <w:rFonts w:hint="eastAsia" w:ascii="仿宋_GB2312"/>
        </w:rPr>
        <w:t>。</w:t>
      </w:r>
    </w:p>
    <w:p>
      <w:pPr>
        <w:spacing w:line="560" w:lineRule="exact"/>
        <w:ind w:firstLine="640" w:firstLineChars="200"/>
        <w:rPr>
          <w:rFonts w:ascii="仿宋_GB2312"/>
        </w:rPr>
      </w:pPr>
      <w:r>
        <w:rPr>
          <w:rFonts w:hint="eastAsia" w:ascii="仿宋_GB2312"/>
        </w:rPr>
        <w:t>托幼机构应当组织在岗工作人员每年进行1次健康检查；在岗人员患有传染性疾病的，应当立即离岗治疗，治愈后持二级以上医疗卫生机构出具的健康证明，方可上岗工作。</w:t>
      </w:r>
    </w:p>
    <w:p>
      <w:pPr>
        <w:spacing w:line="560" w:lineRule="exact"/>
        <w:ind w:firstLine="640" w:firstLineChars="200"/>
        <w:rPr>
          <w:rFonts w:ascii="仿宋_GB2312"/>
        </w:rPr>
      </w:pPr>
      <w:r>
        <w:rPr>
          <w:rFonts w:hint="eastAsia" w:ascii="仿宋_GB2312"/>
        </w:rPr>
        <w:t>精神病患者、有精神病史者不得在托幼机构工作。</w:t>
      </w:r>
    </w:p>
    <w:p>
      <w:pPr>
        <w:spacing w:line="560" w:lineRule="exact"/>
        <w:ind w:firstLine="640" w:firstLineChars="200"/>
        <w:rPr>
          <w:rFonts w:ascii="仿宋_GB2312"/>
          <w:bCs/>
        </w:rPr>
      </w:pPr>
      <w:r>
        <w:rPr>
          <w:rFonts w:hint="eastAsia" w:ascii="仿宋_GB2312"/>
        </w:rPr>
        <w:t>二十、儿童入托幼机构前应当自费到辖区内能承担儿</w:t>
      </w:r>
      <w:r>
        <w:rPr>
          <w:rFonts w:hint="eastAsia" w:ascii="仿宋_GB2312"/>
          <w:bCs/>
        </w:rPr>
        <w:t>童体检的医疗卫生机构进行健康检查，合格后方可进入托幼机构。</w:t>
      </w:r>
    </w:p>
    <w:p>
      <w:pPr>
        <w:spacing w:line="560" w:lineRule="exact"/>
        <w:ind w:firstLine="640" w:firstLineChars="200"/>
        <w:rPr>
          <w:rFonts w:ascii="仿宋_GB2312"/>
        </w:rPr>
      </w:pPr>
      <w:r>
        <w:rPr>
          <w:rFonts w:hint="eastAsia" w:ascii="仿宋_GB2312"/>
        </w:rPr>
        <w:t>儿童离开托幼机构3个月以上应当重新进行健康检查，合格后方可再次入托幼机构。</w:t>
      </w:r>
    </w:p>
    <w:p>
      <w:pPr>
        <w:spacing w:line="560" w:lineRule="exact"/>
        <w:ind w:firstLine="640" w:firstLineChars="200"/>
        <w:rPr>
          <w:rFonts w:ascii="仿宋_GB2312"/>
        </w:rPr>
      </w:pPr>
      <w:r>
        <w:rPr>
          <w:rFonts w:hint="eastAsia" w:ascii="仿宋_GB2312"/>
        </w:rPr>
        <w:t>承担入托体检的医疗卫生机构应当使用统一印制的《儿童入园（所）健康检查表》，按照规定的项目开展健康检查，不得擅自增加或减少项目。</w:t>
      </w:r>
    </w:p>
    <w:p>
      <w:pPr>
        <w:spacing w:line="560" w:lineRule="exact"/>
        <w:ind w:firstLine="640" w:firstLineChars="200"/>
        <w:rPr>
          <w:rFonts w:ascii="仿宋_GB2312"/>
        </w:rPr>
      </w:pPr>
      <w:r>
        <w:rPr>
          <w:rFonts w:hint="eastAsia" w:ascii="仿宋_GB2312"/>
        </w:rPr>
        <w:t>二十一 、托幼机构应当在疾病预防控制机构指导下，做好传染病的预防和控制管理工作。</w:t>
      </w:r>
    </w:p>
    <w:p>
      <w:pPr>
        <w:spacing w:line="560" w:lineRule="exact"/>
        <w:ind w:firstLine="640" w:firstLineChars="200"/>
        <w:rPr>
          <w:rFonts w:ascii="仿宋_GB2312"/>
        </w:rPr>
      </w:pPr>
      <w:r>
        <w:rPr>
          <w:rFonts w:hint="eastAsia" w:ascii="仿宋_GB2312"/>
        </w:rPr>
        <w:t>在传染病流行期间，托幼机构应当在卫生部门指导下加强预防控制措施。发现疑似传染病例或疑似疫情应按规定及时上报县疾控中心和县教体局。</w:t>
      </w:r>
    </w:p>
    <w:p>
      <w:pPr>
        <w:spacing w:line="560" w:lineRule="exact"/>
        <w:ind w:firstLine="640" w:firstLineChars="200"/>
        <w:rPr>
          <w:rFonts w:ascii="仿宋_GB2312"/>
          <w:b/>
        </w:rPr>
      </w:pPr>
      <w:r>
        <w:rPr>
          <w:rFonts w:hint="eastAsia" w:ascii="仿宋_GB2312"/>
        </w:rPr>
        <w:t>二十二、托幼机构发现传染病患儿，应当及时按照《传染病防治法》等有关法律法规和卫生部门的规定进行报告，在县疾控中心的指导下，对环境进行严格的消毒处理，并及时通知其监护人离园（所）诊治。</w:t>
      </w:r>
    </w:p>
    <w:p>
      <w:pPr>
        <w:spacing w:line="560" w:lineRule="exact"/>
        <w:ind w:firstLine="640" w:firstLineChars="200"/>
        <w:rPr>
          <w:rFonts w:ascii="仿宋_GB2312"/>
        </w:rPr>
      </w:pPr>
      <w:r>
        <w:rPr>
          <w:rFonts w:hint="eastAsia" w:ascii="仿宋_GB2312"/>
        </w:rPr>
        <w:t>患传染病的患儿治愈后，凭二级以上医疗卫生机构出具的治愈证明（健康证明）方可入园（所）。</w:t>
      </w:r>
    </w:p>
    <w:p>
      <w:pPr>
        <w:spacing w:line="560" w:lineRule="exact"/>
        <w:ind w:firstLine="640" w:firstLineChars="200"/>
        <w:rPr>
          <w:rFonts w:ascii="仿宋_GB2312"/>
        </w:rPr>
      </w:pPr>
      <w:r>
        <w:rPr>
          <w:rFonts w:hint="eastAsia" w:ascii="仿宋_GB2312"/>
        </w:rPr>
        <w:t>二十三、县疾控中心应当收集、分析、调查、核实托幼机构的传染病疫情，发现问题及时通报托幼机构，并向县卫健委和县教体局报告。</w:t>
      </w:r>
    </w:p>
    <w:p>
      <w:pPr>
        <w:spacing w:line="560" w:lineRule="exact"/>
        <w:ind w:firstLine="640" w:firstLineChars="200"/>
        <w:rPr>
          <w:rFonts w:ascii="仿宋_GB2312"/>
        </w:rPr>
      </w:pPr>
      <w:r>
        <w:rPr>
          <w:rFonts w:hint="eastAsia" w:ascii="仿宋_GB2312"/>
        </w:rPr>
        <w:t>二十四、托幼机构要按照《办法》和本细则中各项卫生保健工作要求，做好各种卫生保健资料的登记、收集、统计和分析报告工作，按照县卫健委要求，</w:t>
      </w:r>
      <w:r>
        <w:rPr>
          <w:rFonts w:hint="eastAsia" w:ascii="仿宋_GB2312" w:hAnsi="宋体" w:cs="Arial"/>
          <w:kern w:val="0"/>
        </w:rPr>
        <w:t>于每年一月底前</w:t>
      </w:r>
      <w:r>
        <w:rPr>
          <w:rFonts w:hint="eastAsia" w:ascii="仿宋_GB2312"/>
        </w:rPr>
        <w:t>将上一年度《托幼机构卫生保健工作报表》</w:t>
      </w:r>
      <w:r>
        <w:rPr>
          <w:rFonts w:hint="eastAsia" w:ascii="仿宋_GB2312"/>
          <w:bCs/>
        </w:rPr>
        <w:t>上报至各辖区医疗卫生机构。</w:t>
      </w:r>
      <w:r>
        <w:rPr>
          <w:rFonts w:hint="eastAsia" w:ascii="仿宋_GB2312"/>
        </w:rPr>
        <w:t>托幼机构</w:t>
      </w:r>
      <w:r>
        <w:rPr>
          <w:rFonts w:hint="eastAsia" w:ascii="仿宋_GB2312" w:hAnsi="宋体" w:cs="Arial"/>
          <w:kern w:val="0"/>
        </w:rPr>
        <w:t>各项卫生保健资料应及时归档，并保存5年以上。</w:t>
      </w:r>
    </w:p>
    <w:p>
      <w:pPr>
        <w:spacing w:line="560" w:lineRule="exact"/>
        <w:ind w:firstLine="640" w:firstLineChars="200"/>
        <w:rPr>
          <w:rFonts w:ascii="仿宋_GB2312"/>
        </w:rPr>
      </w:pPr>
      <w:r>
        <w:rPr>
          <w:rFonts w:hint="eastAsia" w:ascii="仿宋_GB2312"/>
        </w:rPr>
        <w:t>二十五、托幼机构有下列情形之一的，由卫生行政部门责令限期改正，通报批评；逾期不改的，给予警告；情节严重的，由教育行政部门依法给予行政处罚：</w:t>
      </w:r>
    </w:p>
    <w:p>
      <w:pPr>
        <w:spacing w:line="560" w:lineRule="exact"/>
        <w:ind w:firstLine="640" w:firstLineChars="200"/>
        <w:rPr>
          <w:rFonts w:ascii="仿宋_GB2312"/>
        </w:rPr>
      </w:pPr>
      <w:r>
        <w:rPr>
          <w:rFonts w:hint="eastAsia" w:ascii="仿宋_GB2312"/>
        </w:rPr>
        <w:t>（一）未按要求设立保健室、卫生室或者配备卫生保健人员的；</w:t>
      </w:r>
    </w:p>
    <w:p>
      <w:pPr>
        <w:spacing w:line="560" w:lineRule="exact"/>
        <w:ind w:firstLine="640" w:firstLineChars="200"/>
        <w:rPr>
          <w:rFonts w:ascii="仿宋_GB2312"/>
        </w:rPr>
      </w:pPr>
      <w:r>
        <w:rPr>
          <w:rFonts w:hint="eastAsia" w:ascii="仿宋_GB2312"/>
        </w:rPr>
        <w:t>（二）聘用未进行健康检查或者健康检查不合格的工作人员的；</w:t>
      </w:r>
    </w:p>
    <w:p>
      <w:pPr>
        <w:spacing w:line="560" w:lineRule="exact"/>
        <w:ind w:firstLine="640" w:firstLineChars="200"/>
        <w:rPr>
          <w:rFonts w:ascii="仿宋_GB2312"/>
        </w:rPr>
      </w:pPr>
      <w:r>
        <w:rPr>
          <w:rFonts w:hint="eastAsia" w:ascii="仿宋_GB2312"/>
        </w:rPr>
        <w:t>（三）未定期组织工作人员健康检查的；</w:t>
      </w:r>
    </w:p>
    <w:p>
      <w:pPr>
        <w:spacing w:line="560" w:lineRule="exact"/>
        <w:ind w:firstLine="640" w:firstLineChars="200"/>
        <w:rPr>
          <w:rFonts w:ascii="仿宋_GB2312"/>
        </w:rPr>
      </w:pPr>
      <w:r>
        <w:rPr>
          <w:rFonts w:hint="eastAsia" w:ascii="仿宋_GB2312"/>
        </w:rPr>
        <w:t>（四）招收未经健康检查或健康检查不合格的儿童入托幼机构的；</w:t>
      </w:r>
    </w:p>
    <w:p>
      <w:pPr>
        <w:spacing w:line="560" w:lineRule="exact"/>
        <w:ind w:firstLine="640" w:firstLineChars="200"/>
        <w:rPr>
          <w:rFonts w:ascii="仿宋_GB2312"/>
        </w:rPr>
      </w:pPr>
      <w:r>
        <w:rPr>
          <w:rFonts w:hint="eastAsia" w:ascii="仿宋_GB2312"/>
        </w:rPr>
        <w:t>（五）未严格按照《托儿所、幼儿园卫生保健工作规范》开展卫生保健工作的。</w:t>
      </w:r>
    </w:p>
    <w:p>
      <w:pPr>
        <w:spacing w:line="560" w:lineRule="exact"/>
        <w:rPr>
          <w:rFonts w:ascii="仿宋_GB2312"/>
        </w:rPr>
      </w:pPr>
      <w:r>
        <w:rPr>
          <w:rFonts w:hint="eastAsia" w:ascii="仿宋_GB2312"/>
        </w:rPr>
        <w:t>　  卫生行政部门应当及时将处理结果通报教育行政部门，教育行政部门将其作为托幼机构分级定类管理和质量评估的依据。</w:t>
      </w:r>
    </w:p>
    <w:p>
      <w:pPr>
        <w:spacing w:line="560" w:lineRule="exact"/>
        <w:ind w:firstLine="640" w:firstLineChars="200"/>
        <w:rPr>
          <w:rFonts w:ascii="仿宋_GB2312"/>
        </w:rPr>
      </w:pPr>
      <w:r>
        <w:rPr>
          <w:rFonts w:hint="eastAsia" w:ascii="仿宋_GB2312"/>
        </w:rPr>
        <w:t>二十六、托幼机构有下列情形之一的，按照《医疗机构管理条例》的有关规定进行处罚。</w:t>
      </w:r>
    </w:p>
    <w:p>
      <w:pPr>
        <w:spacing w:line="560" w:lineRule="exact"/>
        <w:ind w:firstLine="640" w:firstLineChars="200"/>
        <w:rPr>
          <w:rFonts w:ascii="仿宋_GB2312"/>
        </w:rPr>
      </w:pPr>
      <w:r>
        <w:rPr>
          <w:rFonts w:hint="eastAsia" w:ascii="仿宋_GB2312"/>
        </w:rPr>
        <w:t>（一）未取得《医疗机构执业许可证》擅自设立卫生室，进行诊疗活动的；</w:t>
      </w:r>
    </w:p>
    <w:p>
      <w:pPr>
        <w:spacing w:line="560" w:lineRule="exact"/>
        <w:ind w:firstLine="640" w:firstLineChars="200"/>
        <w:rPr>
          <w:rFonts w:ascii="仿宋_GB2312"/>
        </w:rPr>
      </w:pPr>
      <w:r>
        <w:rPr>
          <w:rFonts w:hint="eastAsia" w:ascii="仿宋_GB2312"/>
        </w:rPr>
        <w:t>（二）卫生室聘用无资质人员开展诊疗活动的；</w:t>
      </w:r>
    </w:p>
    <w:p>
      <w:pPr>
        <w:spacing w:line="560" w:lineRule="exact"/>
        <w:ind w:firstLine="640" w:firstLineChars="200"/>
        <w:rPr>
          <w:rFonts w:ascii="仿宋_GB2312"/>
        </w:rPr>
      </w:pPr>
      <w:r>
        <w:rPr>
          <w:rFonts w:hint="eastAsia" w:ascii="仿宋_GB2312"/>
        </w:rPr>
        <w:t>（三）卫生室对外开展诊疗活动的。</w:t>
      </w:r>
    </w:p>
    <w:p>
      <w:pPr>
        <w:spacing w:line="560" w:lineRule="exact"/>
        <w:ind w:firstLine="640" w:firstLineChars="200"/>
        <w:rPr>
          <w:rFonts w:ascii="仿宋_GB2312"/>
          <w:b/>
        </w:rPr>
      </w:pPr>
      <w:r>
        <w:rPr>
          <w:rFonts w:hint="eastAsia" w:ascii="仿宋_GB2312"/>
        </w:rPr>
        <w:t>二十七、托幼机构未取得《餐饮服务许可证》，擅自设置食堂提供餐饮服务的，或者有其它违反《食品安全法》和《食品安全法实施条例》行为的，按照《食品安全法》和《食品安全法实施条例》等有关法律法规进行处罚。</w:t>
      </w:r>
    </w:p>
    <w:p>
      <w:pPr>
        <w:spacing w:line="560" w:lineRule="exact"/>
        <w:ind w:firstLine="640" w:firstLineChars="200"/>
        <w:rPr>
          <w:rFonts w:ascii="仿宋_GB2312"/>
        </w:rPr>
      </w:pPr>
      <w:r>
        <w:rPr>
          <w:rFonts w:hint="eastAsia" w:ascii="仿宋_GB2312"/>
        </w:rPr>
        <w:t>二十八、托幼机构未按照有关法律法规规定，认真履行卫生保健工作职责，造成传染病流行、食物中毒等突发公共卫生事件的，卫生行政部门、教育行政部门依据相关法律法规给予处罚。</w:t>
      </w:r>
    </w:p>
    <w:p>
      <w:pPr>
        <w:spacing w:line="560" w:lineRule="exact"/>
        <w:ind w:firstLine="640" w:firstLineChars="200"/>
        <w:rPr>
          <w:rFonts w:ascii="仿宋_GB2312"/>
          <w:bCs/>
        </w:rPr>
      </w:pPr>
      <w:r>
        <w:rPr>
          <w:rFonts w:hint="eastAsia" w:ascii="仿宋_GB2312"/>
          <w:bCs/>
        </w:rPr>
        <w:t>县级有关医疗卫生机构未按照本办法规定履行职责，导致托幼机构发生突发公共卫生事件的，由卫生行政部门依据相关法律法规给予处罚。</w:t>
      </w:r>
    </w:p>
    <w:p>
      <w:pPr>
        <w:spacing w:line="560" w:lineRule="exact"/>
        <w:ind w:firstLine="640" w:firstLineChars="200"/>
        <w:rPr>
          <w:rFonts w:ascii="仿宋_GB2312"/>
        </w:rPr>
      </w:pPr>
      <w:r>
        <w:rPr>
          <w:rFonts w:hint="eastAsia" w:ascii="仿宋_GB2312"/>
          <w:bCs/>
        </w:rPr>
        <w:t>县级卫生、教育行政部门及其工作人员，未按《办法》和本细则规定履行职责，造成不良社会影响的，按干部管理权限，由同级人民政府，追究有关责任人</w:t>
      </w:r>
      <w:r>
        <w:rPr>
          <w:rFonts w:hint="eastAsia" w:ascii="仿宋_GB2312"/>
        </w:rPr>
        <w:t>的责任。</w:t>
      </w:r>
    </w:p>
    <w:p>
      <w:pPr>
        <w:spacing w:line="560" w:lineRule="exact"/>
        <w:ind w:firstLine="640" w:firstLineChars="200"/>
        <w:rPr>
          <w:rFonts w:ascii="仿宋_GB2312"/>
        </w:rPr>
      </w:pPr>
      <w:r>
        <w:rPr>
          <w:rFonts w:hint="eastAsia" w:ascii="仿宋_GB2312"/>
        </w:rPr>
        <w:t>二十九、对认真执行《办法》和本细则，在托幼机构卫生保健工作中做出显著成绩的单位及个人，由各级人民政府卫生行政部门和教育行政部门给以表彰和奖励。</w:t>
      </w:r>
    </w:p>
    <w:p>
      <w:pPr>
        <w:spacing w:line="560" w:lineRule="exact"/>
        <w:ind w:firstLine="640" w:firstLineChars="200"/>
        <w:rPr>
          <w:rFonts w:ascii="仿宋_GB2312"/>
        </w:rPr>
      </w:pPr>
      <w:r>
        <w:rPr>
          <w:rFonts w:hint="eastAsia" w:ascii="仿宋_GB2312"/>
        </w:rPr>
        <w:t>三十、小学附设学前班、单独设立的学前班参照本细则执行。</w:t>
      </w:r>
    </w:p>
    <w:p>
      <w:pPr>
        <w:spacing w:line="560" w:lineRule="exact"/>
        <w:ind w:firstLine="640" w:firstLineChars="200"/>
        <w:rPr>
          <w:rFonts w:ascii="仿宋_GB2312"/>
        </w:rPr>
      </w:pPr>
      <w:r>
        <w:rPr>
          <w:rFonts w:hint="eastAsia" w:ascii="仿宋_GB2312"/>
        </w:rPr>
        <w:t>三十一、 本细则由县卫健委和教体局负责解释。</w:t>
      </w:r>
    </w:p>
    <w:p>
      <w:pPr>
        <w:spacing w:line="560" w:lineRule="exact"/>
        <w:ind w:firstLine="640" w:firstLineChars="200"/>
      </w:pPr>
      <w:r>
        <w:rPr>
          <w:rFonts w:hint="eastAsia" w:ascii="仿宋_GB2312"/>
        </w:rPr>
        <w:t>三十二、  本细则自2020年7月8日起施行。</w:t>
      </w:r>
      <w:bookmarkStart w:id="2" w:name="_GoBack"/>
      <w:bookmarkEnd w:id="2"/>
    </w:p>
    <w:sectPr>
      <w:footerReference r:id="rId6" w:type="default"/>
      <w:footerReference r:id="rId7" w:type="even"/>
      <w:pgSz w:w="11906" w:h="16838"/>
      <w:pgMar w:top="2098" w:right="1474" w:bottom="1985" w:left="1588" w:header="851" w:footer="1871" w:gutter="0"/>
      <w:paperSrc w:first="7" w:other="7"/>
      <w:pgNumType w:fmt="numberInDash"/>
      <w:cols w:space="720" w:num="1"/>
      <w:titlePg/>
      <w:docGrid w:type="linesAndChar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E0002AFF" w:usb1="C0007841"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10"/>
      </w:rPr>
    </w:pPr>
    <w:r>
      <w:rPr>
        <w:rStyle w:val="10"/>
        <w:rFonts w:hint="eastAsia"/>
      </w:rPr>
      <w:t>—</w:t>
    </w:r>
    <w:r>
      <w:rPr>
        <w:rFonts w:hint="eastAsia" w:ascii="仿宋_GB2312"/>
        <w:sz w:val="28"/>
        <w:szCs w:val="28"/>
      </w:rPr>
      <w:fldChar w:fldCharType="begin"/>
    </w:r>
    <w:r>
      <w:rPr>
        <w:rStyle w:val="10"/>
        <w:rFonts w:hint="eastAsia" w:ascii="仿宋_GB2312"/>
        <w:sz w:val="28"/>
        <w:szCs w:val="28"/>
      </w:rPr>
      <w:instrText xml:space="preserve">PAGE  </w:instrText>
    </w:r>
    <w:r>
      <w:rPr>
        <w:rFonts w:hint="eastAsia" w:ascii="仿宋_GB2312"/>
        <w:sz w:val="28"/>
        <w:szCs w:val="28"/>
      </w:rPr>
      <w:fldChar w:fldCharType="separate"/>
    </w:r>
    <w:r>
      <w:rPr>
        <w:rStyle w:val="10"/>
        <w:rFonts w:ascii="仿宋_GB2312"/>
        <w:sz w:val="28"/>
        <w:szCs w:val="28"/>
        <w:lang/>
      </w:rPr>
      <w:t>- 3 -</w:t>
    </w:r>
    <w:r>
      <w:rPr>
        <w:rFonts w:hint="eastAsia" w:ascii="仿宋_GB2312"/>
        <w:sz w:val="28"/>
        <w:szCs w:val="28"/>
      </w:rPr>
      <w:fldChar w:fldCharType="end"/>
    </w:r>
    <w:r>
      <w:rPr>
        <w:rStyle w:val="10"/>
        <w:rFonts w:hint="eastAsia"/>
      </w:rPr>
      <w:t>—</w:t>
    </w:r>
  </w:p>
  <w:p>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140"/>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lang/>
      </w:rPr>
      <w:t xml:space="preserve"> 49 -</w:t>
    </w:r>
    <w:r>
      <w:rPr>
        <w:rFonts w:ascii="宋体" w:hAnsi="宋体" w:eastAsia="宋体"/>
        <w:sz w:val="28"/>
        <w:szCs w:val="28"/>
      </w:rPr>
      <w:fldChar w:fldCharType="end"/>
    </w:r>
  </w:p>
  <w:p>
    <w:pPr>
      <w:pStyle w:val="4"/>
      <w:ind w:right="360" w:firstLine="360"/>
      <w:jc w:val="right"/>
      <w:rPr>
        <w:rFonts w:hint="eastAsia" w:ascii="宋体" w:hAnsi="宋体" w:eastAsia="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140" w:firstLineChars="50"/>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lang/>
      </w:rPr>
      <w:t xml:space="preserve"> 50 -</w:t>
    </w:r>
    <w:r>
      <w:rPr>
        <w:rFonts w:ascii="宋体" w:hAnsi="宋体" w:eastAsia="宋体"/>
        <w:sz w:val="28"/>
        <w:szCs w:val="28"/>
      </w:rPr>
      <w:fldChar w:fldCharType="end"/>
    </w:r>
  </w:p>
  <w:p>
    <w:pPr>
      <w:pStyle w:val="4"/>
      <w:ind w:right="360" w:firstLine="360"/>
      <w:rPr>
        <w:rFonts w:hint="eastAsia" w:ascii="宋体" w:hAnsi="宋体" w:eastAsia="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01250F"/>
    <w:multiLevelType w:val="singleLevel"/>
    <w:tmpl w:val="5F01250F"/>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782"/>
    <w:rsid w:val="002D251B"/>
    <w:rsid w:val="003B4C14"/>
    <w:rsid w:val="00451782"/>
    <w:rsid w:val="005805B2"/>
    <w:rsid w:val="007B109C"/>
    <w:rsid w:val="00941D21"/>
    <w:rsid w:val="00A3069F"/>
    <w:rsid w:val="00BA3927"/>
    <w:rsid w:val="00BF4CA6"/>
    <w:rsid w:val="00D31FF6"/>
    <w:rsid w:val="00E43750"/>
    <w:rsid w:val="00FA5851"/>
    <w:rsid w:val="1A7577AA"/>
    <w:rsid w:val="1DA01BE8"/>
    <w:rsid w:val="3362044C"/>
    <w:rsid w:val="47CD7E8B"/>
    <w:rsid w:val="49126E09"/>
    <w:rsid w:val="72442A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w:hAnsi="Times" w:eastAsia="仿宋_GB2312" w:cs="Times New Roman"/>
      <w:kern w:val="2"/>
      <w:sz w:val="32"/>
      <w:szCs w:val="32"/>
      <w:lang w:val="en-US" w:eastAsia="zh-CN" w:bidi="ar-SA"/>
    </w:rPr>
  </w:style>
  <w:style w:type="paragraph" w:styleId="2">
    <w:name w:val="heading 2"/>
    <w:basedOn w:val="1"/>
    <w:next w:val="1"/>
    <w:link w:val="14"/>
    <w:qFormat/>
    <w:uiPriority w:val="0"/>
    <w:pPr>
      <w:keepNext/>
      <w:widowControl/>
      <w:spacing w:before="240" w:after="60"/>
      <w:jc w:val="left"/>
      <w:outlineLvl w:val="1"/>
    </w:pPr>
    <w:rPr>
      <w:rFonts w:ascii="Cambria" w:hAnsi="Cambria" w:eastAsia="宋体"/>
      <w:b/>
      <w:bCs/>
      <w:i/>
      <w:iCs/>
      <w:kern w:val="0"/>
      <w:sz w:val="28"/>
      <w:szCs w:val="28"/>
      <w:lang w:eastAsia="en-US" w:bidi="en-US"/>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Balloon Text"/>
    <w:basedOn w:val="1"/>
    <w:link w:val="15"/>
    <w:uiPriority w:val="0"/>
    <w:rPr>
      <w:sz w:val="18"/>
      <w:szCs w:val="18"/>
    </w:rPr>
  </w:style>
  <w:style w:type="paragraph" w:styleId="4">
    <w:name w:val="footer"/>
    <w:basedOn w:val="1"/>
    <w:link w:val="13"/>
    <w:uiPriority w:val="99"/>
    <w:pPr>
      <w:tabs>
        <w:tab w:val="center" w:pos="4153"/>
        <w:tab w:val="right" w:pos="8306"/>
      </w:tabs>
      <w:snapToGrid w:val="0"/>
      <w:jc w:val="left"/>
    </w:pPr>
    <w:rPr>
      <w:sz w:val="18"/>
      <w:szCs w:val="18"/>
    </w:rPr>
  </w:style>
  <w:style w:type="paragraph" w:styleId="5">
    <w:name w:val="header"/>
    <w:basedOn w:val="1"/>
    <w:link w:val="12"/>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eastAsia="宋体" w:cs="宋体"/>
      <w:color w:val="000000"/>
      <w:kern w:val="0"/>
      <w:sz w:val="24"/>
      <w:szCs w:val="24"/>
    </w:rPr>
  </w:style>
  <w:style w:type="character" w:styleId="9">
    <w:name w:val="Strong"/>
    <w:qFormat/>
    <w:uiPriority w:val="0"/>
    <w:rPr>
      <w:rFonts w:ascii="Times New Roman" w:hAnsi="Times New Roman" w:eastAsia="宋体" w:cs="Times New Roman"/>
      <w:b/>
      <w:bCs/>
    </w:rPr>
  </w:style>
  <w:style w:type="character" w:styleId="10">
    <w:name w:val="page number"/>
    <w:basedOn w:val="8"/>
    <w:uiPriority w:val="0"/>
    <w:rPr>
      <w:rFonts w:ascii="Times New Roman" w:hAnsi="Times New Roman" w:eastAsia="宋体" w:cs="Times New Roman"/>
    </w:rPr>
  </w:style>
  <w:style w:type="character" w:styleId="11">
    <w:name w:val="Hyperlink"/>
    <w:uiPriority w:val="0"/>
    <w:rPr>
      <w:rFonts w:ascii="Times New Roman" w:hAnsi="Times New Roman" w:eastAsia="宋体" w:cs="Times New Roman"/>
      <w:color w:val="0000FF"/>
      <w:u w:val="single"/>
    </w:rPr>
  </w:style>
  <w:style w:type="character" w:customStyle="1" w:styleId="12">
    <w:name w:val="页眉 Char"/>
    <w:link w:val="5"/>
    <w:uiPriority w:val="0"/>
    <w:rPr>
      <w:rFonts w:ascii="Times New Roman" w:hAnsi="Times New Roman" w:eastAsia="宋体" w:cs="Times New Roman"/>
      <w:sz w:val="18"/>
      <w:szCs w:val="18"/>
    </w:rPr>
  </w:style>
  <w:style w:type="character" w:customStyle="1" w:styleId="13">
    <w:name w:val="页脚 Char"/>
    <w:link w:val="4"/>
    <w:uiPriority w:val="99"/>
    <w:rPr>
      <w:rFonts w:ascii="Times New Roman" w:hAnsi="Times New Roman" w:eastAsia="宋体" w:cs="Times New Roman"/>
      <w:sz w:val="18"/>
      <w:szCs w:val="18"/>
    </w:rPr>
  </w:style>
  <w:style w:type="character" w:customStyle="1" w:styleId="14">
    <w:name w:val="标题 2 Char"/>
    <w:link w:val="2"/>
    <w:uiPriority w:val="0"/>
    <w:rPr>
      <w:rFonts w:ascii="Cambria" w:hAnsi="Cambria" w:eastAsia="宋体" w:cs="Times New Roman"/>
      <w:b/>
      <w:bCs/>
      <w:i/>
      <w:iCs/>
      <w:kern w:val="0"/>
      <w:sz w:val="28"/>
      <w:szCs w:val="28"/>
      <w:lang w:eastAsia="en-US" w:bidi="en-US"/>
    </w:rPr>
  </w:style>
  <w:style w:type="character" w:customStyle="1" w:styleId="15">
    <w:name w:val="批注框文本 Char"/>
    <w:link w:val="3"/>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12018</Words>
  <Characters>12353</Characters>
  <Lines>0</Lines>
  <Paragraphs>0</Paragraphs>
  <TotalTime>5</TotalTime>
  <ScaleCrop>false</ScaleCrop>
  <LinksUpToDate>false</LinksUpToDate>
  <CharactersWithSpaces>13523</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2021-12-24T08:08:00Z</dcterms:created>
  <dc:creator>空白</dc:creator>
  <cp:lastModifiedBy>空白</cp:lastModifiedBy>
  <dcterms:modified xsi:type="dcterms:W3CDTF">2021-12-24T08:13:48Z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E139B8FB80404ADDA353940DCCA40593</vt:lpwstr>
  </property>
</Properties>
</file>