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ascii="仿宋_GB2312" w:hAnsi="黑体" w:eastAsia="仿宋_GB2312"/>
          <w:sz w:val="32"/>
          <w:szCs w:val="32"/>
        </w:rPr>
      </w:pPr>
      <w:bookmarkStart w:id="0" w:name="_GoBack"/>
      <w:bookmarkEnd w:id="0"/>
    </w:p>
    <w:p>
      <w:pPr>
        <w:spacing w:line="57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东至县“互联网+政务服务”工作领导小组关于加快</w:t>
      </w:r>
    </w:p>
    <w:p>
      <w:pPr>
        <w:spacing w:line="57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推进7x24小时不打烊“随时办”</w:t>
      </w:r>
    </w:p>
    <w:p>
      <w:pPr>
        <w:spacing w:line="57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政务服务工作的通知</w:t>
      </w:r>
    </w:p>
    <w:p>
      <w:pPr>
        <w:spacing w:line="520" w:lineRule="exact"/>
        <w:rPr>
          <w:rFonts w:ascii="仿宋" w:hAnsi="仿宋" w:eastAsia="仿宋"/>
          <w:sz w:val="32"/>
          <w:szCs w:val="32"/>
        </w:rPr>
      </w:pPr>
    </w:p>
    <w:p>
      <w:pPr>
        <w:spacing w:line="520" w:lineRule="exac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县直有关单位：</w:t>
      </w:r>
    </w:p>
    <w:p>
      <w:pPr>
        <w:spacing w:after="0" w:line="57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为深入贯彻落实《安徽省实施&lt;优化营商环境条例&gt;办法》有关规定和《2020年县政府工作报告》有关要求，全面推行7x24小时不打烊“随时办”政务服务，实现窗口服务不“断档”、自助服务无“空挡”、网上服务无“阻挡”的目标，经县委县政府同意，现将有关事项通知如下：</w:t>
      </w:r>
    </w:p>
    <w:p>
      <w:pPr>
        <w:spacing w:after="0" w:line="570" w:lineRule="exact"/>
        <w:ind w:firstLine="640" w:firstLineChars="20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一、实施范围</w:t>
      </w:r>
    </w:p>
    <w:p>
      <w:pPr>
        <w:spacing w:after="0" w:line="57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县政务服务大厅、县公安车管分厅、县婚姻登记分厅、县公共法律服务大厅、县公积金大厅、县残联大厅及县公共资源交易大厅。</w:t>
      </w:r>
    </w:p>
    <w:p>
      <w:pPr>
        <w:spacing w:after="0" w:line="570" w:lineRule="exact"/>
        <w:ind w:firstLine="640" w:firstLineChars="20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二、推进7x24小时政务服务大厅建设</w:t>
      </w:r>
    </w:p>
    <w:p>
      <w:pPr>
        <w:spacing w:after="0" w:line="57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县政务服务大厅通过改造自助服务区，建立标识规范统一、设备满足需求、空间相对独立、能满足7x24小时政务服务需求的自助大厅。各职能部门加强协作配合，尽快将自助设备有计划地配置到县政务服务大厅，统一对外开放自助服务。县公安、司法、残联、民政、公共资源交易等设部门分厅的单位，要升级自助服务设备，上架更多服务事项，并相对集中到县政务服务大厅，促进“只进一扇门”的深度落实。要做好自助终端运行维护、软件升级，做到自助服务可持续、不间断。</w:t>
      </w:r>
    </w:p>
    <w:p>
      <w:pPr>
        <w:spacing w:after="0" w:line="57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三、建立非工作时间窗口服务制度</w:t>
      </w:r>
    </w:p>
    <w:p>
      <w:pPr>
        <w:spacing w:after="0" w:line="57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县政务服务大厅、部门分厅要建立人工服务和自助服务相结合的7x24小时政务服务机制，实施三个层次的人工服务。</w:t>
      </w:r>
      <w:r>
        <w:rPr>
          <w:rFonts w:hint="eastAsia" w:ascii="仿宋_GB2312" w:eastAsia="仿宋_GB2312"/>
          <w:b/>
          <w:sz w:val="32"/>
          <w:szCs w:val="32"/>
        </w:rPr>
        <w:t>一是大业务流量窗口实行双休日值班制。</w:t>
      </w:r>
      <w:r>
        <w:rPr>
          <w:rFonts w:hint="eastAsia" w:ascii="仿宋_GB2312" w:eastAsia="仿宋_GB2312"/>
          <w:sz w:val="32"/>
          <w:szCs w:val="32"/>
        </w:rPr>
        <w:t>司法、公积金、车管、税务、人社、医保、林业、不动产和房地产服务等大业务流量窗口安排人员值班，保障群众刚需高频事项线上线下正常受理。</w:t>
      </w:r>
      <w:r>
        <w:rPr>
          <w:rFonts w:hint="eastAsia" w:ascii="仿宋_GB2312" w:eastAsia="仿宋_GB2312"/>
          <w:b/>
          <w:sz w:val="32"/>
          <w:szCs w:val="32"/>
        </w:rPr>
        <w:t>二是一般窗口双休日预约办理。</w:t>
      </w:r>
      <w:r>
        <w:rPr>
          <w:rFonts w:hint="eastAsia" w:ascii="仿宋_GB2312" w:eastAsia="仿宋_GB2312"/>
          <w:sz w:val="32"/>
          <w:szCs w:val="32"/>
        </w:rPr>
        <w:t>在政务服务网和“皖事通”APP向群众提供窗口预约服务入口，相关窗口接预约通知后到岗正常受理，无预约不需到岗。</w:t>
      </w:r>
      <w:r>
        <w:rPr>
          <w:rFonts w:hint="eastAsia" w:ascii="仿宋_GB2312" w:eastAsia="仿宋_GB2312"/>
          <w:b/>
          <w:sz w:val="32"/>
          <w:szCs w:val="32"/>
        </w:rPr>
        <w:t>三是大厅总服务台节假日安排专人收件。</w:t>
      </w:r>
      <w:r>
        <w:rPr>
          <w:rFonts w:hint="eastAsia" w:ascii="仿宋_GB2312" w:eastAsia="仿宋_GB2312"/>
          <w:sz w:val="32"/>
          <w:szCs w:val="32"/>
        </w:rPr>
        <w:t>政务服务大厅安排专人在总值班台负责答疑和收件，材料齐全、符合受理条件的，窗口在正常工作日优先办理。</w:t>
      </w:r>
    </w:p>
    <w:p>
      <w:pPr>
        <w:spacing w:after="0" w:line="570" w:lineRule="exact"/>
        <w:ind w:firstLine="640" w:firstLineChars="200"/>
        <w:jc w:val="both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四、落实不打烊服务的相关保障</w:t>
      </w:r>
    </w:p>
    <w:p>
      <w:pPr>
        <w:spacing w:after="0" w:line="570" w:lineRule="exact"/>
        <w:ind w:firstLine="643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一是</w:t>
      </w:r>
      <w:r>
        <w:rPr>
          <w:rFonts w:hint="eastAsia" w:ascii="仿宋_GB2312" w:eastAsia="仿宋_GB2312"/>
          <w:sz w:val="32"/>
          <w:szCs w:val="32"/>
        </w:rPr>
        <w:t>加强组织领导。县委、县政府已将7x24小时不打烊“随时办”服务纳入优化营商环境和2020年度政府重点工作，实行重点调度。各部门要高度重视，立即部署实施，不断优化工作运行机制，做好人财物保障，确保任务落实落细。窗口工作人员延长工作时间报酬待相关规定出台后参照执行。</w:t>
      </w:r>
    </w:p>
    <w:p>
      <w:pPr>
        <w:spacing w:after="0" w:line="570" w:lineRule="exact"/>
        <w:ind w:firstLine="643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二是</w:t>
      </w:r>
      <w:r>
        <w:rPr>
          <w:rFonts w:hint="eastAsia" w:ascii="仿宋_GB2312" w:eastAsia="仿宋_GB2312"/>
          <w:sz w:val="32"/>
          <w:szCs w:val="32"/>
        </w:rPr>
        <w:t>打造皖事通办平台。利用政务服务网、皖事通APP，拓展全程网办、智能审批、自助服务事项，让群众办事像网购一样方便。</w:t>
      </w:r>
    </w:p>
    <w:p>
      <w:pPr>
        <w:spacing w:after="0" w:line="570" w:lineRule="exact"/>
        <w:ind w:firstLine="643" w:firstLineChars="200"/>
        <w:jc w:val="both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三是</w:t>
      </w:r>
      <w:r>
        <w:rPr>
          <w:rFonts w:hint="eastAsia" w:ascii="仿宋_GB2312" w:eastAsia="仿宋_GB2312"/>
          <w:sz w:val="32"/>
          <w:szCs w:val="32"/>
        </w:rPr>
        <w:t>强化政策宣传。畅通渠道，利用网络、电视、报纸媒体广而告之，提高社会认知度和办事体验感。同时要注重收集群众评价反馈意见,不断完善和提升7x24小时不打烊“随时办”服务水平。</w:t>
      </w:r>
    </w:p>
    <w:p>
      <w:pPr>
        <w:spacing w:after="0" w:line="57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</w:p>
    <w:p>
      <w:pPr>
        <w:spacing w:after="0" w:line="57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</w:p>
    <w:p>
      <w:pPr>
        <w:spacing w:after="0" w:line="57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</w:p>
    <w:p>
      <w:pPr>
        <w:spacing w:line="520" w:lineRule="exact"/>
        <w:ind w:firstLine="960" w:firstLineChars="3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东至县加快推进“互联网+政务服务”工作领导小组</w:t>
      </w:r>
    </w:p>
    <w:p>
      <w:pPr>
        <w:spacing w:line="520" w:lineRule="exact"/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 2020年7月22日</w:t>
      </w:r>
    </w:p>
    <w:p>
      <w:pPr>
        <w:spacing w:after="0" w:line="570" w:lineRule="exact"/>
        <w:ind w:firstLine="640" w:firstLineChars="200"/>
        <w:jc w:val="both"/>
        <w:rPr>
          <w:rFonts w:ascii="仿宋_GB2312" w:eastAsia="仿宋_GB2312"/>
          <w:sz w:val="32"/>
          <w:szCs w:val="32"/>
        </w:rPr>
      </w:pPr>
    </w:p>
    <w:sectPr>
      <w:pgSz w:w="11906" w:h="16838"/>
      <w:pgMar w:top="1304" w:right="1797" w:bottom="1304" w:left="1797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081633"/>
    <w:rsid w:val="000B3130"/>
    <w:rsid w:val="000F1988"/>
    <w:rsid w:val="001127BF"/>
    <w:rsid w:val="00113444"/>
    <w:rsid w:val="00126FDB"/>
    <w:rsid w:val="001510A0"/>
    <w:rsid w:val="00163E4D"/>
    <w:rsid w:val="001647CC"/>
    <w:rsid w:val="00171CC7"/>
    <w:rsid w:val="00185402"/>
    <w:rsid w:val="0019533B"/>
    <w:rsid w:val="001B72AB"/>
    <w:rsid w:val="001C31C8"/>
    <w:rsid w:val="00201501"/>
    <w:rsid w:val="00205249"/>
    <w:rsid w:val="002067BA"/>
    <w:rsid w:val="0021166D"/>
    <w:rsid w:val="00235B17"/>
    <w:rsid w:val="002C34F3"/>
    <w:rsid w:val="002C4C4A"/>
    <w:rsid w:val="002F222B"/>
    <w:rsid w:val="002F393F"/>
    <w:rsid w:val="002F4252"/>
    <w:rsid w:val="00323B43"/>
    <w:rsid w:val="003A5B2D"/>
    <w:rsid w:val="003D37D8"/>
    <w:rsid w:val="003D60AB"/>
    <w:rsid w:val="003E1FFA"/>
    <w:rsid w:val="003F565F"/>
    <w:rsid w:val="003F7B50"/>
    <w:rsid w:val="004053E4"/>
    <w:rsid w:val="00411149"/>
    <w:rsid w:val="00426133"/>
    <w:rsid w:val="004358AB"/>
    <w:rsid w:val="00454474"/>
    <w:rsid w:val="00476C49"/>
    <w:rsid w:val="004B276E"/>
    <w:rsid w:val="004D4D60"/>
    <w:rsid w:val="00513DBE"/>
    <w:rsid w:val="00540A3C"/>
    <w:rsid w:val="00561D20"/>
    <w:rsid w:val="00577046"/>
    <w:rsid w:val="005C1499"/>
    <w:rsid w:val="005E1B47"/>
    <w:rsid w:val="005E51D8"/>
    <w:rsid w:val="00617DCC"/>
    <w:rsid w:val="006453F3"/>
    <w:rsid w:val="00666F28"/>
    <w:rsid w:val="00670B1C"/>
    <w:rsid w:val="00696CE4"/>
    <w:rsid w:val="006E2588"/>
    <w:rsid w:val="00740619"/>
    <w:rsid w:val="00742B88"/>
    <w:rsid w:val="00751CA0"/>
    <w:rsid w:val="0077252A"/>
    <w:rsid w:val="00790770"/>
    <w:rsid w:val="007B0107"/>
    <w:rsid w:val="007C4367"/>
    <w:rsid w:val="007E3FD7"/>
    <w:rsid w:val="007F3A5D"/>
    <w:rsid w:val="00800E04"/>
    <w:rsid w:val="00801E75"/>
    <w:rsid w:val="00835E33"/>
    <w:rsid w:val="008609BB"/>
    <w:rsid w:val="008B7726"/>
    <w:rsid w:val="008D1343"/>
    <w:rsid w:val="008F7DF1"/>
    <w:rsid w:val="00924607"/>
    <w:rsid w:val="00931FE7"/>
    <w:rsid w:val="00952EEC"/>
    <w:rsid w:val="009665DB"/>
    <w:rsid w:val="009830E7"/>
    <w:rsid w:val="0098708F"/>
    <w:rsid w:val="00990700"/>
    <w:rsid w:val="009C501F"/>
    <w:rsid w:val="00A4451C"/>
    <w:rsid w:val="00A60FCC"/>
    <w:rsid w:val="00A745D2"/>
    <w:rsid w:val="00A97B19"/>
    <w:rsid w:val="00AB4C4E"/>
    <w:rsid w:val="00AB77C6"/>
    <w:rsid w:val="00AE5FB0"/>
    <w:rsid w:val="00B23F81"/>
    <w:rsid w:val="00B276C4"/>
    <w:rsid w:val="00B65007"/>
    <w:rsid w:val="00B67E67"/>
    <w:rsid w:val="00B80927"/>
    <w:rsid w:val="00B9514F"/>
    <w:rsid w:val="00B95CFD"/>
    <w:rsid w:val="00BA0378"/>
    <w:rsid w:val="00C7749F"/>
    <w:rsid w:val="00CB4C63"/>
    <w:rsid w:val="00D31D50"/>
    <w:rsid w:val="00D91E9F"/>
    <w:rsid w:val="00D95C4B"/>
    <w:rsid w:val="00DB3177"/>
    <w:rsid w:val="00DD21FE"/>
    <w:rsid w:val="00DD2FD5"/>
    <w:rsid w:val="00DF1F1B"/>
    <w:rsid w:val="00DF294D"/>
    <w:rsid w:val="00DF3C40"/>
    <w:rsid w:val="00E118A3"/>
    <w:rsid w:val="00E13F3A"/>
    <w:rsid w:val="00E50186"/>
    <w:rsid w:val="00E55375"/>
    <w:rsid w:val="00E66172"/>
    <w:rsid w:val="00E85D02"/>
    <w:rsid w:val="00EA7DD4"/>
    <w:rsid w:val="00EC341D"/>
    <w:rsid w:val="00F13615"/>
    <w:rsid w:val="00F53ADD"/>
    <w:rsid w:val="00F80765"/>
    <w:rsid w:val="00F835E0"/>
    <w:rsid w:val="00F86556"/>
    <w:rsid w:val="00F9105F"/>
    <w:rsid w:val="00F91C7A"/>
    <w:rsid w:val="00F94B67"/>
    <w:rsid w:val="00FA5149"/>
    <w:rsid w:val="00FC0B91"/>
    <w:rsid w:val="00FC2A87"/>
    <w:rsid w:val="00FE17BA"/>
    <w:rsid w:val="00FE2ECE"/>
    <w:rsid w:val="00FF7C0B"/>
    <w:rsid w:val="24E7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5">
    <w:name w:val="Normal (Web)"/>
    <w:basedOn w:val="1"/>
    <w:uiPriority w:val="0"/>
    <w:pPr>
      <w:widowControl w:val="0"/>
      <w:adjustRightInd/>
      <w:snapToGrid/>
      <w:spacing w:before="100" w:beforeAutospacing="1" w:after="100" w:afterAutospacing="1"/>
    </w:pPr>
    <w:rPr>
      <w:rFonts w:ascii="Calibri" w:hAnsi="Calibri" w:eastAsia="宋体" w:cs="Times New Roman"/>
      <w:sz w:val="24"/>
      <w:szCs w:val="24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Hyperlink"/>
    <w:basedOn w:val="7"/>
    <w:unhideWhenUsed/>
    <w:uiPriority w:val="99"/>
    <w:rPr>
      <w:color w:val="0000FF"/>
      <w:u w:val="single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ahoma" w:hAnsi="Tahoma"/>
      <w:sz w:val="18"/>
      <w:szCs w:val="18"/>
    </w:rPr>
  </w:style>
  <w:style w:type="character" w:customStyle="1" w:styleId="11">
    <w:name w:val="页脚 Char"/>
    <w:basedOn w:val="7"/>
    <w:link w:val="3"/>
    <w:semiHidden/>
    <w:uiPriority w:val="99"/>
    <w:rPr>
      <w:rFonts w:ascii="Tahoma" w:hAnsi="Tahoma"/>
      <w:sz w:val="18"/>
      <w:szCs w:val="18"/>
    </w:rPr>
  </w:style>
  <w:style w:type="character" w:customStyle="1" w:styleId="12">
    <w:name w:val="日期 Char"/>
    <w:basedOn w:val="7"/>
    <w:link w:val="2"/>
    <w:semiHidden/>
    <w:uiPriority w:val="99"/>
    <w:rPr>
      <w:rFonts w:ascii="Tahoma" w:hAnsi="Tahoma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177</Words>
  <Characters>1011</Characters>
  <Lines>8</Lines>
  <Paragraphs>2</Paragraphs>
  <TotalTime>12</TotalTime>
  <ScaleCrop>false</ScaleCrop>
  <LinksUpToDate>false</LinksUpToDate>
  <CharactersWithSpaces>1186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2020-07-22T01:43:00Z</dcterms:created>
  <dc:creator>Administrator</dc:creator>
  <cp:lastModifiedBy>霓宁儿</cp:lastModifiedBy>
  <cp:lastPrinted>2020-07-22T01:44:00Z</cp:lastPrinted>
  <dcterms:modified xsi:type="dcterms:W3CDTF">2020-09-02T03:51:53Z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